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1A3A5C"/>
          <w:sz w:val="44"/>
        </w:rPr>
        <w:t>[COMPANY NAME]</w:t>
      </w:r>
    </w:p>
    <w:p>
      <w:pPr>
        <w:jc w:val="center"/>
      </w:pPr>
      <w:r>
        <w:rPr>
          <w:rFonts w:ascii="Calibri" w:hAnsi="Calibri"/>
          <w:i/>
          <w:color w:val="666666"/>
          <w:sz w:val="22"/>
        </w:rPr>
        <w:t>[SOUTH AFRICA] -- Compensation for Occupational Injuries and Diseases Act 130 of 1993</w:t>
      </w:r>
    </w:p>
    <w:p>
      <w:pPr>
        <w:pStyle w:val="Heading1"/>
      </w:pPr>
      <w:r>
        <w:t>Compensation for Occupational Injuries and Diseases Act (COIDA) Policy</w:t>
      </w:r>
    </w:p>
    <w:p/>
    <w:tbl>
      <w:tblPr>
        <w:tblW w:type="auto" w:w="0"/>
        <w:tblLook w:firstColumn="1" w:firstRow="1" w:lastColumn="0" w:lastRow="0" w:noHBand="0" w:noVBand="1" w:val="04A0"/>
      </w:tblPr>
      <w:tblGrid>
        <w:gridCol w:w="4320"/>
        <w:gridCol w:w="4320"/>
      </w:tblGrid>
      <w:tr>
        <w:tc>
          <w:tcPr>
            <w:tcW w:type="dxa" w:w="4320"/>
          </w:tcPr>
          <w:p>
            <w:r/>
            <w:r>
              <w:rPr>
                <w:rFonts w:ascii="Calibri" w:hAnsi="Calibri"/>
                <w:sz w:val="20"/>
              </w:rPr>
              <w:t>Policy Number:</w:t>
            </w:r>
          </w:p>
        </w:tc>
        <w:tc>
          <w:tcPr>
            <w:tcW w:type="dxa" w:w="4320"/>
          </w:tcPr>
          <w:p>
            <w:r/>
            <w:r>
              <w:rPr>
                <w:rFonts w:ascii="Calibri" w:hAnsi="Calibri"/>
                <w:sz w:val="20"/>
              </w:rPr>
              <w:t>[POLICY-SA-005]</w:t>
            </w:r>
          </w:p>
        </w:tc>
      </w:tr>
      <w:tr>
        <w:tc>
          <w:tcPr>
            <w:tcW w:type="dxa" w:w="4320"/>
          </w:tcPr>
          <w:p>
            <w:r/>
            <w:r>
              <w:rPr>
                <w:rFonts w:ascii="Calibri" w:hAnsi="Calibri"/>
                <w:sz w:val="20"/>
              </w:rPr>
              <w:t>Version:</w:t>
            </w:r>
          </w:p>
        </w:tc>
        <w:tc>
          <w:tcPr>
            <w:tcW w:type="dxa" w:w="4320"/>
          </w:tcPr>
          <w:p>
            <w:r/>
            <w:r>
              <w:rPr>
                <w:rFonts w:ascii="Calibri" w:hAnsi="Calibri"/>
                <w:sz w:val="20"/>
              </w:rPr>
              <w:t>1.0</w:t>
            </w:r>
          </w:p>
        </w:tc>
      </w:tr>
      <w:tr>
        <w:tc>
          <w:tcPr>
            <w:tcW w:type="dxa" w:w="4320"/>
          </w:tcPr>
          <w:p>
            <w:r/>
            <w:r>
              <w:rPr>
                <w:rFonts w:ascii="Calibri" w:hAnsi="Calibri"/>
                <w:sz w:val="20"/>
              </w:rPr>
              <w:t>Effective Date:</w:t>
            </w:r>
          </w:p>
        </w:tc>
        <w:tc>
          <w:tcPr>
            <w:tcW w:type="dxa" w:w="4320"/>
          </w:tcPr>
          <w:p>
            <w:r/>
            <w:r>
              <w:rPr>
                <w:rFonts w:ascii="Calibri" w:hAnsi="Calibri"/>
                <w:sz w:val="20"/>
              </w:rPr>
              <w:t>[EFFECTIVE DATE]</w:t>
            </w:r>
          </w:p>
        </w:tc>
      </w:tr>
      <w:tr>
        <w:tc>
          <w:tcPr>
            <w:tcW w:type="dxa" w:w="4320"/>
          </w:tcPr>
          <w:p>
            <w:r/>
            <w:r>
              <w:rPr>
                <w:rFonts w:ascii="Calibri" w:hAnsi="Calibri"/>
                <w:sz w:val="20"/>
              </w:rPr>
              <w:t>Review Date:</w:t>
            </w:r>
          </w:p>
        </w:tc>
        <w:tc>
          <w:tcPr>
            <w:tcW w:type="dxa" w:w="4320"/>
          </w:tcPr>
          <w:p>
            <w:r/>
            <w:r>
              <w:rPr>
                <w:rFonts w:ascii="Calibri" w:hAnsi="Calibri"/>
                <w:sz w:val="20"/>
              </w:rPr>
              <w:t>[REVIEW DATE]</w:t>
            </w:r>
          </w:p>
        </w:tc>
      </w:tr>
      <w:tr>
        <w:tc>
          <w:tcPr>
            <w:tcW w:type="dxa" w:w="4320"/>
          </w:tcPr>
          <w:p>
            <w:r/>
            <w:r>
              <w:rPr>
                <w:rFonts w:ascii="Calibri" w:hAnsi="Calibri"/>
                <w:sz w:val="20"/>
              </w:rPr>
              <w:t>Owner:</w:t>
            </w:r>
          </w:p>
        </w:tc>
        <w:tc>
          <w:tcPr>
            <w:tcW w:type="dxa" w:w="4320"/>
          </w:tcPr>
          <w:p>
            <w:r/>
            <w:r>
              <w:rPr>
                <w:rFonts w:ascii="Calibri" w:hAnsi="Calibri"/>
                <w:sz w:val="20"/>
              </w:rPr>
              <w:t>Human Resources</w:t>
            </w:r>
          </w:p>
        </w:tc>
      </w:tr>
    </w:tbl>
    <w:p>
      <w:pPr>
        <w:pStyle w:val="Heading2"/>
      </w:pPr>
      <w:r>
        <w:t>1. Purpose</w:t>
      </w:r>
    </w:p>
    <w:p>
      <w:r>
        <w:t>This policy outlines [COMPANY NAME]'s obligations and procedures under the Compensation for Occupational Injuries and Diseases Act 130 of 1993 (COIDA), as amended. COIDA provides a no-fault compensation system for employees who are injured, contract diseases, or die as a result of workplace accidents or occupational diseases arising out of and in the course of their employment.</w:t>
      </w:r>
    </w:p>
    <w:p>
      <w:pPr>
        <w:pStyle w:val="Heading2"/>
      </w:pPr>
      <w:r>
        <w:t>2. Scope</w:t>
      </w:r>
    </w:p>
    <w:p>
      <w:r>
        <w:t>This policy applies to all employees of [COMPANY NAME] in South Africa, including full-time, part-time, temporary, and casual employees. It does not apply to members of the South African National Defence Force, the South African Police Service, or domestic workers in private households (who are covered under separate arrangements).</w:t>
      </w:r>
    </w:p>
    <w:p>
      <w:pPr>
        <w:pStyle w:val="Heading2"/>
      </w:pPr>
      <w:r>
        <w:t>3. Employer Registration</w:t>
      </w:r>
    </w:p>
    <w:p>
      <w:r>
        <w:t>Every employer in South Africa that employs one or more employees is required to register with the Compensation Fund (administered by the Department of Employment and Labour) or with a licensed mutual association (such as the Federated Employers' Mutual Assurance Company, the Rand Mutual Assurance Company, or others operating in specific sectors).</w:t>
      </w:r>
    </w:p>
    <w:p>
      <w:pPr>
        <w:pStyle w:val="ListBullet"/>
      </w:pPr>
      <w:r>
        <w:t>Registration must be completed within seven days of employing the first employee;</w:t>
      </w:r>
    </w:p>
    <w:p>
      <w:pPr>
        <w:pStyle w:val="ListBullet"/>
      </w:pPr>
      <w:r>
        <w:t>The employer must submit a return of earnings (W.As.8 form) annually, by 31 March, declaring the total earnings paid to all employees during the preceding year;</w:t>
      </w:r>
    </w:p>
    <w:p>
      <w:pPr>
        <w:pStyle w:val="ListBullet"/>
      </w:pPr>
      <w:r>
        <w:t>Failure to register is a criminal offence and exposes the employer to personal liability for compensation claims.</w:t>
      </w:r>
    </w:p>
    <w:p>
      <w:pPr>
        <w:pStyle w:val="Heading2"/>
      </w:pPr>
      <w:r>
        <w:t>4. Assessment and Premium Calculations</w:t>
      </w:r>
    </w:p>
    <w:p>
      <w:r>
        <w:t>The Compensation Fund calculates the employer's annual assessment (premium) based on:</w:t>
      </w:r>
    </w:p>
    <w:p>
      <w:pPr>
        <w:pStyle w:val="ListBullet"/>
      </w:pPr>
      <w:r>
        <w:t>The industry classification and associated tariff rate for the employer's sector;</w:t>
      </w:r>
    </w:p>
    <w:p>
      <w:pPr>
        <w:pStyle w:val="ListBullet"/>
      </w:pPr>
      <w:r>
        <w:t>The total annual earnings of all employees (as declared in the return of earnings);</w:t>
      </w:r>
    </w:p>
    <w:p>
      <w:pPr>
        <w:pStyle w:val="ListBullet"/>
      </w:pPr>
      <w:r>
        <w:t>The employer's claims history (the merit/demerit rebate system rewards employers with low claims ratios and penalises those with high claims);</w:t>
      </w:r>
    </w:p>
    <w:p>
      <w:pPr>
        <w:pStyle w:val="ListBullet"/>
      </w:pPr>
      <w:r>
        <w:t>Assessments must be paid within 30 days of the date of the assessment notice. Late payment incurs a 10% penalty plus interest.</w:t>
      </w:r>
    </w:p>
    <w:p>
      <w:pPr>
        <w:pStyle w:val="Heading2"/>
      </w:pPr>
      <w:r>
        <w:t>5. Reporting Workplace Injuries</w:t>
      </w:r>
    </w:p>
    <w:p>
      <w:r>
        <w:t>An employer must report a workplace injury or occupational disease to the Compensation Commissioner as follows:</w:t>
      </w:r>
    </w:p>
    <w:p>
      <w:pPr>
        <w:pStyle w:val="ListBullet"/>
      </w:pPr>
      <w:r>
        <w:rPr>
          <w:b/>
        </w:rPr>
        <w:t xml:space="preserve">Step 1 -- </w:t>
      </w:r>
      <w:r>
        <w:t>Notification: The employer must report the accident within seven (7) days of the date on which the accident occurred or the date on which the employer became aware of it;</w:t>
      </w:r>
    </w:p>
    <w:p>
      <w:pPr>
        <w:pStyle w:val="ListBullet"/>
      </w:pPr>
      <w:r>
        <w:rPr>
          <w:b/>
        </w:rPr>
        <w:t xml:space="preserve">Step 2 -- </w:t>
      </w:r>
      <w:r>
        <w:t>Form W.Cl.2: The employer must complete and submit the Employer's Report of an Accident (Form W.Cl.2) to the Compensation Commissioner or the relevant mutual association;</w:t>
      </w:r>
    </w:p>
    <w:p>
      <w:pPr>
        <w:pStyle w:val="ListBullet"/>
      </w:pPr>
      <w:r>
        <w:rPr>
          <w:b/>
        </w:rPr>
        <w:t xml:space="preserve">Step 3 -- </w:t>
      </w:r>
      <w:r>
        <w:t>Medical Report: The first medical report (Form W.Cl.4) must be submitted by the attending medical practitioner within 14 days of the first consultation;</w:t>
      </w:r>
    </w:p>
    <w:p>
      <w:pPr>
        <w:pStyle w:val="ListBullet"/>
      </w:pPr>
      <w:r>
        <w:rPr>
          <w:b/>
        </w:rPr>
        <w:t xml:space="preserve">Step 4 -- </w:t>
      </w:r>
      <w:r>
        <w:t>Progress Reports: Subsequent progress and final medical reports must be submitted as required by the Compensation Commissioner;</w:t>
      </w:r>
    </w:p>
    <w:p>
      <w:pPr>
        <w:pStyle w:val="ListBullet"/>
      </w:pPr>
      <w:r>
        <w:t>Death: If the employee dies as a result of the accident, the employer must report the death immediately.</w:t>
      </w:r>
    </w:p>
    <w:p>
      <w:r>
        <w:t>Failure to report within the prescribed period is an offence. The employer may also be held liable for any additional costs incurred as a result of the late report.</w:t>
      </w:r>
    </w:p>
    <w:p>
      <w:pPr>
        <w:pStyle w:val="Heading2"/>
      </w:pPr>
      <w:r>
        <w:t>6. Claims Process</w:t>
      </w:r>
    </w:p>
    <w:p>
      <w:r>
        <w:t>The claims process under COIDA is as follows:</w:t>
      </w:r>
    </w:p>
    <w:p>
      <w:pPr>
        <w:pStyle w:val="ListBullet"/>
      </w:pPr>
      <w:r>
        <w:t>The employee sustains an injury or is diagnosed with an occupational disease arising out of and in the course of employment;</w:t>
      </w:r>
    </w:p>
    <w:p>
      <w:pPr>
        <w:pStyle w:val="ListBullet"/>
      </w:pPr>
      <w:r>
        <w:t>The employee reports the injury or disease to the employer as soon as possible;</w:t>
      </w:r>
    </w:p>
    <w:p>
      <w:pPr>
        <w:pStyle w:val="ListBullet"/>
      </w:pPr>
      <w:r>
        <w:t>The employer completes and submits Form W.Cl.2 to the Compensation Commissioner within seven days;</w:t>
      </w:r>
    </w:p>
    <w:p>
      <w:pPr>
        <w:pStyle w:val="ListBullet"/>
      </w:pPr>
      <w:r>
        <w:t>The employee's medical practitioner submits the medical report (Form W.Cl.4);</w:t>
      </w:r>
    </w:p>
    <w:p>
      <w:pPr>
        <w:pStyle w:val="ListBullet"/>
      </w:pPr>
      <w:r>
        <w:t>The Compensation Commissioner assesses the claim and determines the level of disability (if any);</w:t>
      </w:r>
    </w:p>
    <w:p>
      <w:pPr>
        <w:pStyle w:val="ListBullet"/>
      </w:pPr>
      <w:r>
        <w:t>The employee receives compensation in the form of medical expenses, temporary disability benefits, permanent disability benefits, or dependants' benefits (in the case of death).</w:t>
      </w:r>
    </w:p>
    <w:p>
      <w:r>
        <w:t>The employee does not need to prove negligence on the part of the employer. In exchange for the no-fault compensation system, the employee is barred from suing the employer for damages arising from the workplace injury (the 'COIDA bar').</w:t>
      </w:r>
    </w:p>
    <w:p>
      <w:pPr>
        <w:pStyle w:val="Heading2"/>
      </w:pPr>
      <w:r>
        <w:t>7. Temporary and Permanent Disability Benefits</w:t>
      </w:r>
    </w:p>
    <w:p>
      <w:pPr>
        <w:pStyle w:val="Heading3"/>
      </w:pPr>
      <w:r>
        <w:t>7.1 Temporary Disability</w:t>
      </w:r>
    </w:p>
    <w:p>
      <w:r>
        <w:t>An employee who is temporarily disabled as a result of a workplace injury is entitled to:</w:t>
      </w:r>
    </w:p>
    <w:p>
      <w:pPr>
        <w:pStyle w:val="ListBullet"/>
      </w:pPr>
      <w:r>
        <w:t>Compensation for the period of temporary disability, calculated as 75% of the employee's monthly earnings (subject to the maximum earnings ceiling prescribed by the Minister);</w:t>
      </w:r>
    </w:p>
    <w:p>
      <w:pPr>
        <w:pStyle w:val="ListBullet"/>
      </w:pPr>
      <w:r>
        <w:t>The employer must pay the employee for the first three months of disability and is then reimbursed by the Compensation Fund;</w:t>
      </w:r>
    </w:p>
    <w:p>
      <w:pPr>
        <w:pStyle w:val="ListBullet"/>
      </w:pPr>
      <w:r>
        <w:t>The employee is entitled to all reasonable and necessary medical treatment at the expense of the Compensation Fund.</w:t>
      </w:r>
    </w:p>
    <w:p>
      <w:pPr>
        <w:pStyle w:val="Heading3"/>
      </w:pPr>
      <w:r>
        <w:t>7.2 Permanent Disability</w:t>
      </w:r>
    </w:p>
    <w:p>
      <w:r>
        <w:t>If the employee suffers a permanent disability, the level of disability is assessed as a percentage by the Compensation Commissioner based on the medical evidence:</w:t>
      </w:r>
    </w:p>
    <w:p>
      <w:pPr>
        <w:pStyle w:val="ListBullet"/>
      </w:pPr>
      <w:r>
        <w:t>Permanent disability of less than 30%: The employee receives a once-off lump sum payment;</w:t>
      </w:r>
    </w:p>
    <w:p>
      <w:pPr>
        <w:pStyle w:val="ListBullet"/>
      </w:pPr>
      <w:r>
        <w:t>Permanent disability of 30% or more: The employee receives a monthly pension for life (calculated as a percentage of the employee's earnings, subject to the maximum earnings ceiling);</w:t>
      </w:r>
    </w:p>
    <w:p>
      <w:pPr>
        <w:pStyle w:val="ListBullet"/>
      </w:pPr>
      <w:r>
        <w:t>100% permanent disability: The employee receives a full pension equivalent to 75% of their monthly earnings.</w:t>
      </w:r>
    </w:p>
    <w:p>
      <w:pPr>
        <w:pStyle w:val="Heading3"/>
      </w:pPr>
      <w:r>
        <w:t>7.3 Death Benefits</w:t>
      </w:r>
    </w:p>
    <w:p>
      <w:r>
        <w:t>If an employee dies as a result of a workplace injury or occupational disease, the dependants of the employee are entitled to a monthly pension and/or a lump sum payment, as determined by the Compensation Commissioner.</w:t>
      </w:r>
    </w:p>
    <w:p>
      <w:pPr>
        <w:pStyle w:val="Heading2"/>
      </w:pPr>
      <w:r>
        <w:t>8. 2026 Amendments</w:t>
      </w:r>
    </w:p>
    <w:p>
      <w:r>
        <w:t>The Compensation for Occupational Injuries and Diseases Amendment Act (2026) introduced the following key changes:</w:t>
      </w:r>
    </w:p>
    <w:p>
      <w:pPr>
        <w:pStyle w:val="ListBullet"/>
      </w:pPr>
      <w:r>
        <w:t>Updated compliance duties: Employers must now maintain digital records of all workplace injuries and submit reports electronically through the CompEasy online system;</w:t>
      </w:r>
    </w:p>
    <w:p>
      <w:pPr>
        <w:pStyle w:val="ListBullet"/>
      </w:pPr>
      <w:r>
        <w:t>Administrative penalties: The Commissioner may now impose administrative penalties (up to R500,000) for non-compliance with reporting obligations, without the need for criminal prosecution;</w:t>
      </w:r>
    </w:p>
    <w:p>
      <w:pPr>
        <w:pStyle w:val="ListBullet"/>
      </w:pPr>
      <w:r>
        <w:t>Expanded coverage: Clarification that employees working from home or remotely are covered by COIDA if the injury arises out of and in the course of their employment;</w:t>
      </w:r>
    </w:p>
    <w:p>
      <w:pPr>
        <w:pStyle w:val="ListBullet"/>
      </w:pPr>
      <w:r>
        <w:t>Faster adjudication: The establishment of a Compensation Court to expedite the resolution of disputed claims;</w:t>
      </w:r>
    </w:p>
    <w:p>
      <w:pPr>
        <w:pStyle w:val="ListBullet"/>
      </w:pPr>
      <w:r>
        <w:t>Enhanced medical provider management: The Commissioner may prescribe approved medical service providers and fee schedules to control costs.</w:t>
      </w:r>
    </w:p>
    <w:p>
      <w:pPr>
        <w:pStyle w:val="Heading2"/>
      </w:pPr>
      <w:r>
        <w:t>9. Employer Obligations Summary</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320"/>
        <w:gridCol w:w="4320"/>
      </w:tblGrid>
      <w:tr>
        <w:tc>
          <w:tcPr>
            <w:tcW w:type="dxa" w:w="4320"/>
            <w:shd w:fill="1A3A5C"/>
          </w:tcPr>
          <w:p>
            <w:r>
              <w:rPr>
                <w:rFonts w:ascii="Calibri" w:hAnsi="Calibri"/>
                <w:b/>
                <w:color w:val="FFFFFF"/>
                <w:sz w:val="20"/>
              </w:rPr>
              <w:t>Obligation</w:t>
            </w:r>
          </w:p>
        </w:tc>
        <w:tc>
          <w:tcPr>
            <w:tcW w:type="dxa" w:w="4320"/>
            <w:shd w:fill="1A3A5C"/>
          </w:tcPr>
          <w:p>
            <w:r>
              <w:rPr>
                <w:rFonts w:ascii="Calibri" w:hAnsi="Calibri"/>
                <w:b/>
                <w:color w:val="FFFFFF"/>
                <w:sz w:val="20"/>
              </w:rPr>
              <w:t>Deadline / Requirement</w:t>
            </w:r>
          </w:p>
        </w:tc>
      </w:tr>
      <w:tr>
        <w:tc>
          <w:tcPr>
            <w:tcW w:type="dxa" w:w="4320"/>
          </w:tcPr>
          <w:p>
            <w:r/>
            <w:r>
              <w:rPr>
                <w:rFonts w:ascii="Calibri" w:hAnsi="Calibri"/>
                <w:b/>
                <w:sz w:val="20"/>
              </w:rPr>
              <w:t>Register with Compensation Fund</w:t>
            </w:r>
          </w:p>
        </w:tc>
        <w:tc>
          <w:tcPr>
            <w:tcW w:type="dxa" w:w="4320"/>
          </w:tcPr>
          <w:p>
            <w:r/>
            <w:r>
              <w:rPr>
                <w:rFonts w:ascii="Calibri" w:hAnsi="Calibri"/>
                <w:sz w:val="20"/>
              </w:rPr>
              <w:t>Within 7 days of first employee</w:t>
            </w:r>
          </w:p>
        </w:tc>
      </w:tr>
      <w:tr>
        <w:tc>
          <w:tcPr>
            <w:tcW w:type="dxa" w:w="4320"/>
          </w:tcPr>
          <w:p>
            <w:r/>
            <w:r>
              <w:rPr>
                <w:rFonts w:ascii="Calibri" w:hAnsi="Calibri"/>
                <w:b/>
                <w:sz w:val="20"/>
              </w:rPr>
              <w:t>Submit Return of Earnings (W.As.8)</w:t>
            </w:r>
          </w:p>
        </w:tc>
        <w:tc>
          <w:tcPr>
            <w:tcW w:type="dxa" w:w="4320"/>
          </w:tcPr>
          <w:p>
            <w:r/>
            <w:r>
              <w:rPr>
                <w:rFonts w:ascii="Calibri" w:hAnsi="Calibri"/>
                <w:sz w:val="20"/>
              </w:rPr>
              <w:t>By 31 March annually</w:t>
            </w:r>
          </w:p>
        </w:tc>
      </w:tr>
      <w:tr>
        <w:tc>
          <w:tcPr>
            <w:tcW w:type="dxa" w:w="4320"/>
          </w:tcPr>
          <w:p>
            <w:r/>
            <w:r>
              <w:rPr>
                <w:rFonts w:ascii="Calibri" w:hAnsi="Calibri"/>
                <w:b/>
                <w:sz w:val="20"/>
              </w:rPr>
              <w:t>Pay annual assessment</w:t>
            </w:r>
          </w:p>
        </w:tc>
        <w:tc>
          <w:tcPr>
            <w:tcW w:type="dxa" w:w="4320"/>
          </w:tcPr>
          <w:p>
            <w:r/>
            <w:r>
              <w:rPr>
                <w:rFonts w:ascii="Calibri" w:hAnsi="Calibri"/>
                <w:sz w:val="20"/>
              </w:rPr>
              <w:t>Within 30 days of notice</w:t>
            </w:r>
          </w:p>
        </w:tc>
      </w:tr>
      <w:tr>
        <w:tc>
          <w:tcPr>
            <w:tcW w:type="dxa" w:w="4320"/>
          </w:tcPr>
          <w:p>
            <w:r/>
            <w:r>
              <w:rPr>
                <w:rFonts w:ascii="Calibri" w:hAnsi="Calibri"/>
                <w:b/>
                <w:sz w:val="20"/>
              </w:rPr>
              <w:t>Report workplace injury (W.Cl.2)</w:t>
            </w:r>
          </w:p>
        </w:tc>
        <w:tc>
          <w:tcPr>
            <w:tcW w:type="dxa" w:w="4320"/>
          </w:tcPr>
          <w:p>
            <w:r/>
            <w:r>
              <w:rPr>
                <w:rFonts w:ascii="Calibri" w:hAnsi="Calibri"/>
                <w:sz w:val="20"/>
              </w:rPr>
              <w:t>Within 7 days of accident</w:t>
            </w:r>
          </w:p>
        </w:tc>
      </w:tr>
      <w:tr>
        <w:tc>
          <w:tcPr>
            <w:tcW w:type="dxa" w:w="4320"/>
          </w:tcPr>
          <w:p>
            <w:r/>
            <w:r>
              <w:rPr>
                <w:rFonts w:ascii="Calibri" w:hAnsi="Calibri"/>
                <w:b/>
                <w:sz w:val="20"/>
              </w:rPr>
              <w:t>Report death</w:t>
            </w:r>
          </w:p>
        </w:tc>
        <w:tc>
          <w:tcPr>
            <w:tcW w:type="dxa" w:w="4320"/>
          </w:tcPr>
          <w:p>
            <w:r/>
            <w:r>
              <w:rPr>
                <w:rFonts w:ascii="Calibri" w:hAnsi="Calibri"/>
                <w:sz w:val="20"/>
              </w:rPr>
              <w:t>Immediately</w:t>
            </w:r>
          </w:p>
        </w:tc>
      </w:tr>
      <w:tr>
        <w:tc>
          <w:tcPr>
            <w:tcW w:type="dxa" w:w="4320"/>
          </w:tcPr>
          <w:p>
            <w:r/>
            <w:r>
              <w:rPr>
                <w:rFonts w:ascii="Calibri" w:hAnsi="Calibri"/>
                <w:b/>
                <w:sz w:val="20"/>
              </w:rPr>
              <w:t>Maintain injury records</w:t>
            </w:r>
          </w:p>
        </w:tc>
        <w:tc>
          <w:tcPr>
            <w:tcW w:type="dxa" w:w="4320"/>
          </w:tcPr>
          <w:p>
            <w:r/>
            <w:r>
              <w:rPr>
                <w:rFonts w:ascii="Calibri" w:hAnsi="Calibri"/>
                <w:sz w:val="20"/>
              </w:rPr>
              <w:t>For at least 4 years</w:t>
            </w:r>
          </w:p>
        </w:tc>
      </w:tr>
      <w:tr>
        <w:tc>
          <w:tcPr>
            <w:tcW w:type="dxa" w:w="4320"/>
          </w:tcPr>
          <w:p>
            <w:r/>
            <w:r>
              <w:rPr>
                <w:rFonts w:ascii="Calibri" w:hAnsi="Calibri"/>
                <w:b/>
                <w:sz w:val="20"/>
              </w:rPr>
              <w:t>Display COIDA poster</w:t>
            </w:r>
          </w:p>
        </w:tc>
        <w:tc>
          <w:tcPr>
            <w:tcW w:type="dxa" w:w="4320"/>
          </w:tcPr>
          <w:p>
            <w:r/>
            <w:r>
              <w:rPr>
                <w:rFonts w:ascii="Calibri" w:hAnsi="Calibri"/>
                <w:sz w:val="20"/>
              </w:rPr>
              <w:t>At all times in the workplace</w:t>
            </w:r>
          </w:p>
        </w:tc>
      </w:tr>
    </w:tbl>
    <w:p/>
    <w:p>
      <w:pPr>
        <w:pStyle w:val="Heading2"/>
      </w:pPr>
      <w:r>
        <w:t>10. Policy Review</w:t>
      </w:r>
    </w:p>
    <w:p>
      <w:r>
        <w:t>This policy will be reviewed annually, or as required by amendments to COIDA, changes in the assessment tariff, or directives from the Compensation Commissioner.</w:t>
      </w:r>
    </w:p>
    <w:p>
      <w:pPr>
        <w:pStyle w:val="Heading2"/>
      </w:pPr>
      <w:r>
        <w:t>Approval</w:t>
      </w:r>
    </w:p>
    <w:tbl>
      <w:tblPr>
        <w:tblW w:type="auto" w:w="0"/>
        <w:tblLook w:firstColumn="1" w:firstRow="1" w:lastColumn="0" w:lastRow="0" w:noHBand="0" w:noVBand="1" w:val="04A0"/>
      </w:tblPr>
      <w:tblGrid>
        <w:gridCol w:w="2880"/>
        <w:gridCol w:w="2880"/>
        <w:gridCol w:w="2880"/>
      </w:tblGrid>
      <w:tr>
        <w:tc>
          <w:tcPr>
            <w:tcW w:type="dxa" w:w="2880"/>
          </w:tcPr>
          <w:p>
            <w:r/>
            <w:r>
              <w:rPr>
                <w:rFonts w:ascii="Calibri" w:hAnsi="Calibri"/>
                <w:b/>
                <w:sz w:val="20"/>
              </w:rPr>
              <w:t>Role</w:t>
            </w:r>
          </w:p>
        </w:tc>
        <w:tc>
          <w:tcPr>
            <w:tcW w:type="dxa" w:w="2880"/>
          </w:tcPr>
          <w:p>
            <w:r/>
            <w:r>
              <w:rPr>
                <w:rFonts w:ascii="Calibri" w:hAnsi="Calibri"/>
                <w:b/>
                <w:sz w:val="20"/>
              </w:rPr>
              <w:t>Name</w:t>
            </w:r>
          </w:p>
        </w:tc>
        <w:tc>
          <w:tcPr>
            <w:tcW w:type="dxa" w:w="2880"/>
          </w:tcPr>
          <w:p>
            <w:r/>
            <w:r>
              <w:rPr>
                <w:rFonts w:ascii="Calibri" w:hAnsi="Calibri"/>
                <w:b/>
                <w:sz w:val="20"/>
              </w:rPr>
              <w:t>Signature / Date</w:t>
            </w:r>
          </w:p>
        </w:tc>
      </w:tr>
      <w:tr>
        <w:tc>
          <w:tcPr>
            <w:tcW w:type="dxa" w:w="2880"/>
          </w:tcPr>
          <w:p>
            <w:r>
              <w:t>President / CEO</w:t>
            </w:r>
          </w:p>
        </w:tc>
        <w:tc>
          <w:tcPr>
            <w:tcW w:type="dxa" w:w="2880"/>
          </w:tcPr>
          <w:p>
            <w:r>
              <w:t>________________________</w:t>
            </w:r>
          </w:p>
        </w:tc>
        <w:tc>
          <w:tcPr>
            <w:tcW w:type="dxa" w:w="2880"/>
          </w:tcPr>
          <w:p>
            <w:r>
              <w:t>________________________</w:t>
            </w:r>
          </w:p>
        </w:tc>
      </w:tr>
      <w:tr>
        <w:tc>
          <w:tcPr>
            <w:tcW w:type="dxa" w:w="2880"/>
          </w:tcPr>
          <w:p>
            <w:r>
              <w:t>VP, Human Resources</w:t>
            </w:r>
          </w:p>
        </w:tc>
        <w:tc>
          <w:tcPr>
            <w:tcW w:type="dxa" w:w="2880"/>
          </w:tcPr>
          <w:p>
            <w:r>
              <w:t>________________________</w:t>
            </w:r>
          </w:p>
        </w:tc>
        <w:tc>
          <w:tcPr>
            <w:tcW w:type="dxa" w:w="2880"/>
          </w:tcPr>
          <w:p>
            <w:r>
              <w:t>________________________</w:t>
            </w:r>
          </w:p>
        </w:tc>
      </w:tr>
      <w:tr>
        <w:tc>
          <w:tcPr>
            <w:tcW w:type="dxa" w:w="2880"/>
          </w:tcPr>
          <w:p>
            <w:r>
              <w:t>Legal Counsel</w:t>
            </w:r>
          </w:p>
        </w:tc>
        <w:tc>
          <w:tcPr>
            <w:tcW w:type="dxa" w:w="2880"/>
          </w:tcPr>
          <w:p>
            <w:r>
              <w:t>________________________</w:t>
            </w:r>
          </w:p>
        </w:tc>
        <w:tc>
          <w:tcPr>
            <w:tcW w:type="dxa" w:w="2880"/>
          </w:tcPr>
          <w:p>
            <w:r>
              <w:t>________________________</w:t>
            </w:r>
          </w:p>
        </w:tc>
      </w:tr>
    </w:tbl>
    <w:p>
      <w:pPr>
        <w:pStyle w:val="Heading2"/>
      </w:pPr>
      <w:r>
        <w:t>Employee Acknowledgment</w:t>
      </w:r>
    </w:p>
    <w:p>
      <w:r>
        <w:t>I, ________________________ (print name), acknowledge that I have received, read, and understood this policy. I agree to comply with its terms and conditions as a condition of my employment with [COMPANY NAME].</w:t>
      </w:r>
    </w:p>
    <w:p/>
    <w:tbl>
      <w:tblPr>
        <w:tblW w:type="auto" w:w="0"/>
        <w:tblLook w:firstColumn="1" w:firstRow="1" w:lastColumn="0" w:lastRow="0" w:noHBand="0" w:noVBand="1" w:val="04A0"/>
      </w:tblPr>
      <w:tblGrid>
        <w:gridCol w:w="4320"/>
        <w:gridCol w:w="4320"/>
      </w:tblGrid>
      <w:tr>
        <w:tc>
          <w:tcPr>
            <w:tcW w:type="dxa" w:w="4320"/>
          </w:tcPr>
          <w:p>
            <w:r>
              <w:t>Employee Signature: ________________________</w:t>
            </w:r>
          </w:p>
        </w:tc>
        <w:tc>
          <w:tcPr>
            <w:tcW w:type="dxa" w:w="4320"/>
          </w:tcPr>
          <w:p>
            <w:r>
              <w:t>Date: ________________________</w:t>
            </w:r>
          </w:p>
        </w:tc>
      </w:tr>
      <w:tr>
        <w:tc>
          <w:tcPr>
            <w:tcW w:type="dxa" w:w="4320"/>
          </w:tcPr>
          <w:p>
            <w:r>
              <w:t>Employee Name (Print): ________________________</w:t>
            </w:r>
          </w:p>
        </w:tc>
        <w:tc>
          <w:tcPr>
            <w:tcW w:type="dxa" w:w="4320"/>
          </w:tcPr>
          <w:p>
            <w:r>
              <w:t>Employee ID: ________________________</w:t>
            </w:r>
          </w:p>
        </w:tc>
      </w:tr>
      <w:tr>
        <w:tc>
          <w:tcPr>
            <w:tcW w:type="dxa" w:w="4320"/>
          </w:tcPr>
          <w:p>
            <w:r>
              <w:t>Department: ________________________</w:t>
            </w:r>
          </w:p>
        </w:tc>
        <w:tc>
          <w:tcPr>
            <w:tcW w:type="dxa" w:w="4320"/>
          </w:tcPr>
          <w:p>
            <w:r>
              <w:t>Position: ________________________</w:t>
            </w:r>
          </w:p>
        </w:tc>
      </w:tr>
    </w:tbl>
    <w:p/>
    <w:p/>
    <w:p>
      <w:pPr>
        <w:jc w:val="center"/>
      </w:pPr>
      <w:r>
        <w:rPr>
          <w:i/>
          <w:color w:val="999999"/>
          <w:sz w:val="16"/>
        </w:rPr>
        <w:t>Prepared by [COMPANY NAME] | COIDA Policy -- South Africa | [DATE]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A3A5C"/>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A3A5C"/>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A3A5C"/>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libri" w:hAnsi="Calibri"/>
      <w:color w:val="333333"/>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