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Employment Equity Act 55 of 1998</w:t>
      </w:r>
    </w:p>
    <w:p>
      <w:pPr>
        <w:pStyle w:val="Heading1"/>
      </w:pPr>
      <w:r>
        <w:t>Employment Equity Act (EEA)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[POLICY-SA-003]</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sets out [COMPANY NAME]'s commitment to employment equity in accordance with the Employment Equity Act 55 of 1998 (EEA), as amended by the Employment Equity Amendment Act 4 of 2022 (effective 1 January 2025). The EEA aims to achieve equity in the workplace by promoting equal opportunity and fair treatment through the elimination of unfair discrimination, and by implementing affirmative action measures to redress the disadvantages in employment experienced by designated groups.</w:t>
      </w:r>
    </w:p>
    <w:p>
      <w:pPr>
        <w:pStyle w:val="Heading2"/>
      </w:pPr>
      <w:r>
        <w:t>2. Scope</w:t>
      </w:r>
    </w:p>
    <w:p>
      <w:r>
        <w:t>This policy applies to all employees of [COMPANY NAME] in South Africa. Specific obligations under Chapters II and III of the EEA apply to designated employers.</w:t>
      </w:r>
    </w:p>
    <w:p>
      <w:pPr>
        <w:pStyle w:val="Heading3"/>
      </w:pPr>
      <w:r>
        <w:t>2.1 Designated Employers</w:t>
      </w:r>
    </w:p>
    <w:p>
      <w:r>
        <w:t>A designated employer is an employer that:</w:t>
      </w:r>
    </w:p>
    <w:p>
      <w:pPr>
        <w:pStyle w:val="ListBullet"/>
      </w:pPr>
      <w:r>
        <w:t>Employs 50 or more employees; or</w:t>
      </w:r>
    </w:p>
    <w:p>
      <w:pPr>
        <w:pStyle w:val="ListBullet"/>
      </w:pPr>
      <w:r>
        <w:t>Has a total annual turnover that is equal to or above the applicable threshold prescribed in Schedule 4 of the EEA (varying by sector); or</w:t>
      </w:r>
    </w:p>
    <w:p>
      <w:pPr>
        <w:pStyle w:val="ListBullet"/>
      </w:pPr>
      <w:r>
        <w:t>Is a municipality, an organ of state, or is bound by a collective agreement to implement employment equity; or</w:t>
      </w:r>
    </w:p>
    <w:p>
      <w:pPr>
        <w:pStyle w:val="ListBullet"/>
      </w:pPr>
      <w:r>
        <w:t>Has been designated by the Minister of Employment and Labour.</w:t>
      </w:r>
    </w:p>
    <w:p>
      <w:pPr>
        <w:pStyle w:val="Heading3"/>
      </w:pPr>
      <w:r>
        <w:t>2.2 Designated Groups</w:t>
      </w:r>
    </w:p>
    <w:p>
      <w:r>
        <w:t>Designated groups means Black people (including Africans, Coloureds, and Indians), women, and people with disabilities who are citizens of the Republic of South Africa by birth or descent, or who became citizens by naturalisation before the commencement of the Constitution of the Republic of South Africa, 1993.</w:t>
      </w:r>
    </w:p>
    <w:p>
      <w:pPr>
        <w:pStyle w:val="Heading2"/>
      </w:pPr>
      <w:r>
        <w:t>3. Prohibition of Unfair Discrimination</w:t>
      </w:r>
    </w:p>
    <w:p>
      <w:r>
        <w:t>No person may unfairly discriminate, directly or indirectly, against an employee in any employment policy or practice on one or more grounds, including race, gender, sex, pregnancy, marital status, family responsibility, ethnic or social origin, colour, sexual orientation, age, disability, religion, HIV status, conscience, belief, political opinion, culture, language, birth, or on any other arbitrary ground.</w:t>
      </w:r>
    </w:p>
    <w:p>
      <w:r>
        <w:t>Discrimination on a listed ground is presumed to be unfair unless the employer can demonstrate that the discrimination is fair.</w:t>
      </w:r>
    </w:p>
    <w:p>
      <w:pPr>
        <w:pStyle w:val="Heading2"/>
      </w:pPr>
      <w:r>
        <w:t>4. Employment Equity Plans</w:t>
      </w:r>
    </w:p>
    <w:p>
      <w:r>
        <w:t>A designated employer must prepare and implement an employment equity plan (EE Plan). The EE Plan must include:</w:t>
      </w:r>
    </w:p>
    <w:p>
      <w:pPr>
        <w:pStyle w:val="ListBullet"/>
      </w:pPr>
      <w:r>
        <w:t>The objectives to be achieved for each year of the plan;</w:t>
      </w:r>
    </w:p>
    <w:p>
      <w:pPr>
        <w:pStyle w:val="ListBullet"/>
      </w:pPr>
      <w:r>
        <w:t>The affirmative action measures to be implemented;</w:t>
      </w:r>
    </w:p>
    <w:p>
      <w:pPr>
        <w:pStyle w:val="ListBullet"/>
      </w:pPr>
      <w:r>
        <w:t>The numerical goals to achieve equitable representation of suitably qualified people from designated groups in each occupational level;</w:t>
      </w:r>
    </w:p>
    <w:p>
      <w:pPr>
        <w:pStyle w:val="ListBullet"/>
      </w:pPr>
      <w:r>
        <w:t>The timetable for each year of the plan;</w:t>
      </w:r>
    </w:p>
    <w:p>
      <w:pPr>
        <w:pStyle w:val="ListBullet"/>
      </w:pPr>
      <w:r>
        <w:t>The duration of the plan (between three and five years);</w:t>
      </w:r>
    </w:p>
    <w:p>
      <w:pPr>
        <w:pStyle w:val="ListBullet"/>
      </w:pPr>
      <w:r>
        <w:t>The internal monitoring and evaluation procedures;</w:t>
      </w:r>
    </w:p>
    <w:p>
      <w:pPr>
        <w:pStyle w:val="ListBullet"/>
      </w:pPr>
      <w:r>
        <w:t>The internal dispute resolution mechanisms.</w:t>
      </w:r>
    </w:p>
    <w:p>
      <w:pPr>
        <w:pStyle w:val="Heading3"/>
      </w:pPr>
      <w:r>
        <w:t>4.1 Five-Year Cycle: 2025-2030</w:t>
      </w:r>
    </w:p>
    <w:p>
      <w:r>
        <w:t>The current five-year employment equity cycle runs from 2025 to 2030. Employers must ensure their EE Plans are aligned with the sector-specific numerical targets published by the Minister of Employment and Labour (see Section 7 below).</w:t>
      </w:r>
    </w:p>
    <w:p>
      <w:pPr>
        <w:pStyle w:val="Heading2"/>
      </w:pPr>
      <w:r>
        <w:t>5. Affirmative Action Measures</w:t>
      </w:r>
    </w:p>
    <w:p>
      <w:r>
        <w:t>Affirmative action measures are measures designed to ensure that suitably qualified people from designated groups have equal employment opportunities and are equitably represented in all occupational levels of the workforce. These measures include:</w:t>
      </w:r>
    </w:p>
    <w:p>
      <w:pPr>
        <w:pStyle w:val="ListBullet"/>
      </w:pPr>
      <w:r>
        <w:t>Identifying and eliminating employment barriers that adversely affect designated groups;</w:t>
      </w:r>
    </w:p>
    <w:p>
      <w:pPr>
        <w:pStyle w:val="ListBullet"/>
      </w:pPr>
      <w:r>
        <w:t>Measures to further diversity in the workplace;</w:t>
      </w:r>
    </w:p>
    <w:p>
      <w:pPr>
        <w:pStyle w:val="ListBullet"/>
      </w:pPr>
      <w:r>
        <w:t>Making reasonable accommodation for people from designated groups to ensure they enjoy equal opportunities;</w:t>
      </w:r>
    </w:p>
    <w:p>
      <w:pPr>
        <w:pStyle w:val="ListBullet"/>
      </w:pPr>
      <w:r>
        <w:t>Retention and development strategies for designated groups;</w:t>
      </w:r>
    </w:p>
    <w:p>
      <w:pPr>
        <w:pStyle w:val="ListBullet"/>
      </w:pPr>
      <w:r>
        <w:t>Preferential treatment and numerical goals (but not quotas) in recruitment, promotion, and training.</w:t>
      </w:r>
    </w:p>
    <w:p>
      <w:pPr>
        <w:pStyle w:val="Heading2"/>
      </w:pPr>
      <w:r>
        <w:t>6. Income Differentials and Equal Pay</w:t>
      </w:r>
    </w:p>
    <w:p>
      <w:r>
        <w:t>Section 27 of the EEA requires designated employers to report on their remuneration and benefits received in each occupational level. The employer must take steps to progressively reduce disproportionate income differentials. The Employment Conditions Commission may investigate and make recommendations on income differentials.</w:t>
      </w:r>
    </w:p>
    <w:p>
      <w:r>
        <w:t>Equal pay for work of equal value is a fundamental principle of the EEA. The Regulations on Equal Pay (2014) provide that a difference in terms and conditions of employment between employees of the same employer performing the same or substantially the same work, or work of equal value, that is directly or indirectly based on any one or more of the listed grounds of unfair discrimination, is unfair.</w:t>
      </w:r>
    </w:p>
    <w:p>
      <w:pPr>
        <w:pStyle w:val="Heading2"/>
      </w:pPr>
      <w:r>
        <w:t>7. Sector-Specific Numerical Targets (2025 Regulations)</w:t>
      </w:r>
    </w:p>
    <w:p>
      <w:r>
        <w:t>The Employment Equity Amendment Act 4 of 2022 introduced the power of the Minister to set sector-specific numerical targets for designated groups. These regulations, effective from 2025, require:</w:t>
      </w:r>
    </w:p>
    <w:p>
      <w:pPr>
        <w:pStyle w:val="ListBullet"/>
      </w:pPr>
      <w:r>
        <w:t>Designated employers to align their EE Plans with sector-specific targets published by the Minister for their economic sector;</w:t>
      </w:r>
    </w:p>
    <w:p>
      <w:pPr>
        <w:pStyle w:val="ListBullet"/>
      </w:pPr>
      <w:r>
        <w:t>Targets are set based on the national and regional demographics and are intended to reflect the national economically active population (EAP);</w:t>
      </w:r>
    </w:p>
    <w:p>
      <w:pPr>
        <w:pStyle w:val="ListBullet"/>
      </w:pPr>
      <w:r>
        <w:t>Employers must demonstrate good-faith efforts to achieve the targets, including evidence of active recruitment, training, and promotion of designated group members;</w:t>
      </w:r>
    </w:p>
    <w:p>
      <w:pPr>
        <w:pStyle w:val="ListBullet"/>
      </w:pPr>
      <w:r>
        <w:t>Non-compliance may result in the employer's compliance certificate being refused, which affects the employer's ability to contract with state entities.</w:t>
      </w:r>
    </w:p>
    <w:p>
      <w:pPr>
        <w:pStyle w:val="Heading2"/>
      </w:pPr>
      <w:r>
        <w:t>8. EEA Reporting Requirements</w:t>
      </w:r>
    </w:p>
    <w:p>
      <w:r>
        <w:t>Designated employers must submit an annual Employment Equity Report (EEA2 / EEA4) to the Department of Employment and Labour:</w:t>
      </w:r>
    </w:p>
    <w:p>
      <w:pPr>
        <w:pStyle w:val="ListBullet"/>
      </w:pPr>
      <w:r>
        <w:t>Employers with fewer than 150 employees: Report by 15 January of each year (or the first working day thereafter);</w:t>
      </w:r>
    </w:p>
    <w:p>
      <w:pPr>
        <w:pStyle w:val="ListBullet"/>
      </w:pPr>
      <w:r>
        <w:t>Employers with 150 or more employees: Report by 1 October of each year (or the first working day thereafter);</w:t>
      </w:r>
    </w:p>
    <w:p>
      <w:pPr>
        <w:pStyle w:val="ListBullet"/>
      </w:pPr>
      <w:r>
        <w:t>Reports must be submitted electronically via the Department's online portal;</w:t>
      </w:r>
    </w:p>
    <w:p>
      <w:pPr>
        <w:pStyle w:val="ListBullet"/>
      </w:pPr>
      <w:r>
        <w:t>The report must include the employer's workforce profile, income differentials, and progress against the EE Plan targets;</w:t>
      </w:r>
    </w:p>
    <w:p>
      <w:pPr>
        <w:pStyle w:val="ListBullet"/>
      </w:pPr>
      <w:r>
        <w:t>A summary of the EE Report must be displayed at the workplace for employee access.</w:t>
      </w:r>
    </w:p>
    <w:p>
      <w:pPr>
        <w:pStyle w:val="Heading2"/>
      </w:pPr>
      <w:r>
        <w:t>9. Penalties for Non-Compliance</w:t>
      </w:r>
    </w:p>
    <w:p>
      <w:r>
        <w:t>The EEA prescribes significant penalties for non-compliance, which were substantially increased by the 2022 Amendment Act: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1A3A5C"/>
          </w:tcPr>
          <w:p>
            <w:r>
              <w:rPr>
                <w:rFonts w:ascii="Calibri" w:hAnsi="Calibri"/>
                <w:b/>
                <w:color w:val="FFFFFF"/>
                <w:sz w:val="20"/>
              </w:rPr>
              <w:t>Contravention</w:t>
            </w:r>
          </w:p>
        </w:tc>
        <w:tc>
          <w:tcPr>
            <w:tcW w:type="dxa" w:w="4320"/>
            <w:shd w:fill="1A3A5C"/>
          </w:tcPr>
          <w:p>
            <w:r>
              <w:rPr>
                <w:rFonts w:ascii="Calibri" w:hAnsi="Calibri"/>
                <w:b/>
                <w:color w:val="FFFFFF"/>
                <w:sz w:val="20"/>
              </w:rPr>
              <w:t>Maximum Penalty</w:t>
            </w:r>
          </w:p>
        </w:tc>
      </w:tr>
      <w:tr>
        <w:tc>
          <w:tcPr>
            <w:tcW w:type="dxa" w:w="4320"/>
          </w:tcPr>
          <w:p>
            <w:r/>
            <w:r>
              <w:rPr>
                <w:rFonts w:ascii="Calibri" w:hAnsi="Calibri"/>
                <w:b/>
                <w:sz w:val="20"/>
              </w:rPr>
              <w:t>First contravention</w:t>
            </w:r>
          </w:p>
        </w:tc>
        <w:tc>
          <w:tcPr>
            <w:tcW w:type="dxa" w:w="4320"/>
          </w:tcPr>
          <w:p>
            <w:r/>
            <w:r>
              <w:rPr>
                <w:rFonts w:ascii="Calibri" w:hAnsi="Calibri"/>
                <w:sz w:val="20"/>
              </w:rPr>
              <w:t>R1,500,000 or 2% of turnover (whichever is greater)</w:t>
            </w:r>
          </w:p>
        </w:tc>
      </w:tr>
      <w:tr>
        <w:tc>
          <w:tcPr>
            <w:tcW w:type="dxa" w:w="4320"/>
          </w:tcPr>
          <w:p>
            <w:r/>
            <w:r>
              <w:rPr>
                <w:rFonts w:ascii="Calibri" w:hAnsi="Calibri"/>
                <w:b/>
                <w:sz w:val="20"/>
              </w:rPr>
              <w:t>Second contravention</w:t>
            </w:r>
          </w:p>
        </w:tc>
        <w:tc>
          <w:tcPr>
            <w:tcW w:type="dxa" w:w="4320"/>
          </w:tcPr>
          <w:p>
            <w:r/>
            <w:r>
              <w:rPr>
                <w:rFonts w:ascii="Calibri" w:hAnsi="Calibri"/>
                <w:sz w:val="20"/>
              </w:rPr>
              <w:t>R1,800,000 or 4% of turnover</w:t>
            </w:r>
          </w:p>
        </w:tc>
      </w:tr>
      <w:tr>
        <w:tc>
          <w:tcPr>
            <w:tcW w:type="dxa" w:w="4320"/>
          </w:tcPr>
          <w:p>
            <w:r/>
            <w:r>
              <w:rPr>
                <w:rFonts w:ascii="Calibri" w:hAnsi="Calibri"/>
                <w:b/>
                <w:sz w:val="20"/>
              </w:rPr>
              <w:t>Third contravention</w:t>
            </w:r>
          </w:p>
        </w:tc>
        <w:tc>
          <w:tcPr>
            <w:tcW w:type="dxa" w:w="4320"/>
          </w:tcPr>
          <w:p>
            <w:r/>
            <w:r>
              <w:rPr>
                <w:rFonts w:ascii="Calibri" w:hAnsi="Calibri"/>
                <w:sz w:val="20"/>
              </w:rPr>
              <w:t>R2,100,000 or 6% of turnover</w:t>
            </w:r>
          </w:p>
        </w:tc>
      </w:tr>
      <w:tr>
        <w:tc>
          <w:tcPr>
            <w:tcW w:type="dxa" w:w="4320"/>
          </w:tcPr>
          <w:p>
            <w:r/>
            <w:r>
              <w:rPr>
                <w:rFonts w:ascii="Calibri" w:hAnsi="Calibri"/>
                <w:b/>
                <w:sz w:val="20"/>
              </w:rPr>
              <w:t>Fourth and subsequent</w:t>
            </w:r>
          </w:p>
        </w:tc>
        <w:tc>
          <w:tcPr>
            <w:tcW w:type="dxa" w:w="4320"/>
          </w:tcPr>
          <w:p>
            <w:r/>
            <w:r>
              <w:rPr>
                <w:rFonts w:ascii="Calibri" w:hAnsi="Calibri"/>
                <w:sz w:val="20"/>
              </w:rPr>
              <w:t>R2,700,000 or 8% of turnover</w:t>
            </w:r>
          </w:p>
        </w:tc>
      </w:tr>
    </w:tbl>
    <w:p/>
    <w:p>
      <w:r>
        <w:t>In addition to financial penalties, the Director-General may apply to the Labour Court for an order compelling the employer to comply, and the employer may be barred from contracting with any organ of state.</w:t>
      </w:r>
    </w:p>
    <w:p>
      <w:pPr>
        <w:pStyle w:val="Heading2"/>
      </w:pPr>
      <w:r>
        <w:t>10. Compliance Certificate</w:t>
      </w:r>
    </w:p>
    <w:p>
      <w:r>
        <w:t>A designated employer must obtain a compliance certificate from the Minister of Employment and Labour in order to contract with any organ of state. The certificate confirms that the employer is in compliance with the EEA. An employer may be refused a certificate if it has not submitted an EE Report, has not prepared or implemented an EE Plan, or has not made good-faith efforts to achieve its numerical targets.</w:t>
      </w:r>
    </w:p>
    <w:p>
      <w:pPr>
        <w:pStyle w:val="Heading2"/>
      </w:pPr>
      <w:r>
        <w:t>11. Policy Review</w:t>
      </w:r>
    </w:p>
    <w:p>
      <w:r>
        <w:t>This policy will be reviewed annually, or as required by amendments to the EEA, the publication of new sector-specific targets, or changes in the employer's designated employer status.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EEA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