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[SOUTH AFRICA] -- Statutory Deductions: UIF, PAYE, SDL, COIDA</w:t>
      </w:r>
    </w:p>
    <w:p>
      <w:pPr>
        <w:pStyle w:val="Heading1"/>
      </w:pPr>
      <w:r>
        <w:t>Statutory Deductions Policy: UIF, PAYE, SDL, and COIDA Contributions</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[POLICY-SA-006]</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This policy outlines [COMPANY NAME]'s obligations regarding statutory deductions and contributions required by South African law. Employers are required to deduct certain amounts from employee remuneration and to make additional employer contributions, and to remit these to the relevant government authorities within prescribed timeframes. Non-compliance may result in penalties, interest charges, and criminal prosecution.</w:t>
      </w:r>
    </w:p>
    <w:p>
      <w:pPr>
        <w:pStyle w:val="Heading2"/>
      </w:pPr>
      <w:r>
        <w:t>2. Scope</w:t>
      </w:r>
    </w:p>
    <w:p>
      <w:r>
        <w:t>This policy applies to [COMPANY NAME] and all employees employed in the Republic of South Africa. The payroll department is responsible for the accurate calculation, deduction, and remittance of all statutory amounts.</w:t>
      </w:r>
    </w:p>
    <w:p>
      <w:pPr>
        <w:pStyle w:val="Heading2"/>
      </w:pPr>
      <w:r>
        <w:t>3. Unemployment Insurance Fund (UIF)</w:t>
      </w:r>
    </w:p>
    <w:p>
      <w:r>
        <w:t>The Unemployment Insurance Act 63 of 2001 and the Unemployment Insurance Contributions Act 4 of 2002 require:</w:t>
      </w:r>
    </w:p>
    <w:p>
      <w:pPr>
        <w:pStyle w:val="Heading3"/>
      </w:pPr>
      <w:r>
        <w:t>3.1 Contributions</w:t>
      </w:r>
    </w:p>
    <w:p>
      <w:pPr>
        <w:pStyle w:val="ListBullet"/>
      </w:pPr>
      <w:r>
        <w:t>Employee contribution: 1% of the employee's remuneration (deducted from salary);</w:t>
      </w:r>
    </w:p>
    <w:p>
      <w:pPr>
        <w:pStyle w:val="ListBullet"/>
      </w:pPr>
      <w:r>
        <w:t>Employer contribution: 1% of the employee's remuneration (paid by the employer);</w:t>
      </w:r>
    </w:p>
    <w:p>
      <w:pPr>
        <w:pStyle w:val="ListBullet"/>
      </w:pPr>
      <w:r>
        <w:t>Total UIF contribution: 2% of remuneration (1% employee + 1% employer);</w:t>
      </w:r>
    </w:p>
    <w:p>
      <w:pPr>
        <w:pStyle w:val="ListBullet"/>
      </w:pPr>
      <w:r>
        <w:t>Remuneration is subject to the UIF earnings ceiling (currently R17,712 per month; maximum contribution per employee is R177.12 per month);</w:t>
      </w:r>
    </w:p>
    <w:p>
      <w:pPr>
        <w:pStyle w:val="ListBullet"/>
      </w:pPr>
      <w:r>
        <w:t>Employees who work less than 24 hours per month for an employer, and learners on learnership agreements, are excluded from UIF contributions.</w:t>
      </w:r>
    </w:p>
    <w:p>
      <w:pPr>
        <w:pStyle w:val="Heading3"/>
      </w:pPr>
      <w:r>
        <w:t>3.2 Filing and Payment</w:t>
      </w:r>
    </w:p>
    <w:p>
      <w:pPr>
        <w:pStyle w:val="ListBullet"/>
      </w:pPr>
      <w:r>
        <w:t>UIF contributions must be paid to SARS monthly, by the 7th day of the month following the month in which the remuneration was paid;</w:t>
      </w:r>
    </w:p>
    <w:p>
      <w:pPr>
        <w:pStyle w:val="ListBullet"/>
      </w:pPr>
      <w:r>
        <w:t>Monthly declarations are submitted via the EMP201 return;</w:t>
      </w:r>
    </w:p>
    <w:p>
      <w:pPr>
        <w:pStyle w:val="ListBullet"/>
      </w:pPr>
      <w:r>
        <w:t>The annual UIF reconciliation is submitted with the EMP501 annual reconciliation by 31 May each year.</w:t>
      </w:r>
    </w:p>
    <w:p>
      <w:pPr>
        <w:pStyle w:val="Heading3"/>
      </w:pPr>
      <w:r>
        <w:t>3.3 UIF Benefits</w:t>
      </w:r>
    </w:p>
    <w:p>
      <w:r>
        <w:t>Employees who have contributed to the UIF may claim the following benefits: unemployment benefits (up to 238 days), illness benefits, maternity benefits, adoption benefits, parental leave benefits, and dependant's benefits (in the event of the contributor's death).</w:t>
      </w:r>
    </w:p>
    <w:p>
      <w:pPr>
        <w:pStyle w:val="Heading2"/>
      </w:pPr>
      <w:r>
        <w:t>4. Pay As You Earn (PAYE)</w:t>
      </w:r>
    </w:p>
    <w:p>
      <w:r>
        <w:t>The Income Tax Act 58 of 1962 requires employers to deduct income tax (PAYE) from employees' remuneration and remit it to the South African Revenue Service (SARS).</w:t>
      </w:r>
    </w:p>
    <w:p>
      <w:pPr>
        <w:pStyle w:val="Heading3"/>
      </w:pPr>
      <w:r>
        <w:t>4.1 Obligations</w:t>
      </w:r>
    </w:p>
    <w:p>
      <w:pPr>
        <w:pStyle w:val="ListBullet"/>
      </w:pPr>
      <w:r>
        <w:t>The employer must register as an employer with SARS within 21 business days of becoming an employer;</w:t>
      </w:r>
    </w:p>
    <w:p>
      <w:pPr>
        <w:pStyle w:val="ListBullet"/>
      </w:pPr>
      <w:r>
        <w:t>PAYE must be deducted from all remuneration paid to employees, based on the applicable tax tables issued by SARS;</w:t>
      </w:r>
    </w:p>
    <w:p>
      <w:pPr>
        <w:pStyle w:val="ListBullet"/>
      </w:pPr>
      <w:r>
        <w:t>PAYE is calculated on a cumulative basis over the tax year (1 March to 28/29 February);</w:t>
      </w:r>
    </w:p>
    <w:p>
      <w:pPr>
        <w:pStyle w:val="ListBullet"/>
      </w:pPr>
      <w:r>
        <w:t>Tax deductions must take into account the employee's tax rebates (primary, secondary, tertiary), medical tax credits, and any approved deductions.</w:t>
      </w:r>
    </w:p>
    <w:p>
      <w:pPr>
        <w:pStyle w:val="Heading3"/>
      </w:pPr>
      <w:r>
        <w:t>4.2 Filing and Payment</w:t>
      </w:r>
    </w:p>
    <w:p>
      <w:pPr>
        <w:pStyle w:val="ListBullet"/>
      </w:pPr>
      <w:r>
        <w:t>Monthly PAYE must be paid to SARS by the 7th day of the month following the month in which the remuneration was paid (EMP201 return);</w:t>
      </w:r>
    </w:p>
    <w:p>
      <w:pPr>
        <w:pStyle w:val="ListBullet"/>
      </w:pPr>
      <w:r>
        <w:t>The bi-annual reconciliation (EMP501) must be submitted by September (interim) and by May (annual);</w:t>
      </w:r>
    </w:p>
    <w:p>
      <w:pPr>
        <w:pStyle w:val="ListBullet"/>
      </w:pPr>
      <w:r>
        <w:t>IRP5/IT3(a) certificates must be issued to each employee annually, reflecting total remuneration and tax deducted;</w:t>
      </w:r>
    </w:p>
    <w:p>
      <w:pPr>
        <w:pStyle w:val="ListBullet"/>
      </w:pPr>
      <w:r>
        <w:t>Late payment or non-payment results in a 10% penalty on the outstanding amount plus interest at the prescribed rate.</w:t>
      </w:r>
    </w:p>
    <w:p>
      <w:pPr>
        <w:pStyle w:val="Heading2"/>
      </w:pPr>
      <w:r>
        <w:t>5. Skills Development Levy (SDL)</w:t>
      </w:r>
    </w:p>
    <w:p>
      <w:r>
        <w:t>The Skills Development Levies Act 9 of 1999 requires:</w:t>
      </w:r>
    </w:p>
    <w:p>
      <w:pPr>
        <w:pStyle w:val="Heading3"/>
      </w:pPr>
      <w:r>
        <w:t>5.1 Obligations</w:t>
      </w:r>
    </w:p>
    <w:p>
      <w:pPr>
        <w:pStyle w:val="ListBullet"/>
      </w:pPr>
      <w:r>
        <w:t>Every employer whose total annual payroll exceeds R500,000 must pay the SDL;</w:t>
      </w:r>
    </w:p>
    <w:p>
      <w:pPr>
        <w:pStyle w:val="ListBullet"/>
      </w:pPr>
      <w:r>
        <w:t>The SDL is calculated at 1% of the total leviable amount (total remuneration paid to all employees);</w:t>
      </w:r>
    </w:p>
    <w:p>
      <w:pPr>
        <w:pStyle w:val="ListBullet"/>
      </w:pPr>
      <w:r>
        <w:t>The SDL is an employer cost and may not be deducted from employee remuneration;</w:t>
      </w:r>
    </w:p>
    <w:p>
      <w:pPr>
        <w:pStyle w:val="ListBullet"/>
      </w:pPr>
      <w:r>
        <w:t>National and provincial government departments, public entities listed in Schedule 1 and Part A of Schedule 3 of the PFMA, municipalities, and certain exempt employers are not required to pay the SDL.</w:t>
      </w:r>
    </w:p>
    <w:p>
      <w:pPr>
        <w:pStyle w:val="Heading3"/>
      </w:pPr>
      <w:r>
        <w:t>5.2 Filing and Payment</w:t>
      </w:r>
    </w:p>
    <w:p>
      <w:pPr>
        <w:pStyle w:val="ListBullet"/>
      </w:pPr>
      <w:r>
        <w:t>The SDL must be paid to SARS monthly, together with UIF and PAYE, via the EMP201 return;</w:t>
      </w:r>
    </w:p>
    <w:p>
      <w:pPr>
        <w:pStyle w:val="ListBullet"/>
      </w:pPr>
      <w:r>
        <w:t>Payment is due by the 7th day of the month following the month in which the remuneration was paid;</w:t>
      </w:r>
    </w:p>
    <w:p>
      <w:pPr>
        <w:pStyle w:val="ListBullet"/>
      </w:pPr>
      <w:r>
        <w:t>Late payment results in a 10% penalty on the outstanding amount plus interest.</w:t>
      </w:r>
    </w:p>
    <w:p>
      <w:pPr>
        <w:pStyle w:val="Heading3"/>
      </w:pPr>
      <w:r>
        <w:t>5.3 SETA Grants</w:t>
      </w:r>
    </w:p>
    <w:p>
      <w:r>
        <w:t>Employers who pay the SDL may claim grants from their relevant Sector Education and Training Authority (SETA):</w:t>
      </w:r>
    </w:p>
    <w:p>
      <w:pPr>
        <w:pStyle w:val="ListBullet"/>
      </w:pPr>
      <w:r>
        <w:t>Mandatory grant: 20% of the SDL paid, subject to the employer submitting a Workplace Skills Plan (WSP) and Annual Training Report (ATR) by 30 April each year;</w:t>
      </w:r>
    </w:p>
    <w:p>
      <w:pPr>
        <w:pStyle w:val="ListBullet"/>
      </w:pPr>
      <w:r>
        <w:t>Discretionary grant: Allocated by the SETA for specific training and skills development projects.</w:t>
      </w:r>
    </w:p>
    <w:p>
      <w:pPr>
        <w:pStyle w:val="Heading2"/>
      </w:pPr>
      <w:r>
        <w:t>6. COIDA Assessment Contributions</w:t>
      </w:r>
    </w:p>
    <w:p>
      <w:r>
        <w:t>In addition to the requirements detailed in the COIDA Policy (Policy SA-005), the employer must:</w:t>
      </w:r>
    </w:p>
    <w:p>
      <w:pPr>
        <w:pStyle w:val="ListBullet"/>
      </w:pPr>
      <w:r>
        <w:t>Pay the annual COIDA assessment to the Compensation Fund (or licensed mutual association) within 30 days of the assessment notice;</w:t>
      </w:r>
    </w:p>
    <w:p>
      <w:pPr>
        <w:pStyle w:val="ListBullet"/>
      </w:pPr>
      <w:r>
        <w:t>Submit the annual Return of Earnings by 31 March each year;</w:t>
      </w:r>
    </w:p>
    <w:p>
      <w:pPr>
        <w:pStyle w:val="ListBullet"/>
      </w:pPr>
      <w:r>
        <w:t>The COIDA assessment is an employer cost and may not be deducted from employee remuneration.</w:t>
      </w:r>
    </w:p>
    <w:p>
      <w:pPr>
        <w:pStyle w:val="Heading2"/>
      </w:pPr>
      <w:r>
        <w:t>7. Summary of Statutory Deductions and Contributions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1728"/>
            <w:shd w:fill="1A3A5C"/>
          </w:tcPr>
          <w:p>
            <w:r>
              <w:rPr>
                <w:rFonts w:ascii="Calibri" w:hAnsi="Calibri"/>
                <w:b/>
                <w:color w:val="FFFFFF"/>
                <w:sz w:val="20"/>
              </w:rPr>
              <w:t>Item</w:t>
            </w:r>
          </w:p>
        </w:tc>
        <w:tc>
          <w:tcPr>
            <w:tcW w:type="dxa" w:w="1728"/>
            <w:shd w:fill="1A3A5C"/>
          </w:tcPr>
          <w:p>
            <w:r>
              <w:rPr>
                <w:rFonts w:ascii="Calibri" w:hAnsi="Calibri"/>
                <w:b/>
                <w:color w:val="FFFFFF"/>
                <w:sz w:val="20"/>
              </w:rPr>
              <w:t>Rate</w:t>
            </w:r>
          </w:p>
        </w:tc>
        <w:tc>
          <w:tcPr>
            <w:tcW w:type="dxa" w:w="1728"/>
            <w:shd w:fill="1A3A5C"/>
          </w:tcPr>
          <w:p>
            <w:r>
              <w:rPr>
                <w:rFonts w:ascii="Calibri" w:hAnsi="Calibri"/>
                <w:b/>
                <w:color w:val="FFFFFF"/>
                <w:sz w:val="20"/>
              </w:rPr>
              <w:t>Who Pays</w:t>
            </w:r>
          </w:p>
        </w:tc>
        <w:tc>
          <w:tcPr>
            <w:tcW w:type="dxa" w:w="1728"/>
            <w:shd w:fill="1A3A5C"/>
          </w:tcPr>
          <w:p>
            <w:r>
              <w:rPr>
                <w:rFonts w:ascii="Calibri" w:hAnsi="Calibri"/>
                <w:b/>
                <w:color w:val="FFFFFF"/>
                <w:sz w:val="20"/>
              </w:rPr>
              <w:t>Paid To</w:t>
            </w:r>
          </w:p>
        </w:tc>
        <w:tc>
          <w:tcPr>
            <w:tcW w:type="dxa" w:w="1728"/>
            <w:shd w:fill="1A3A5C"/>
          </w:tcPr>
          <w:p>
            <w:r>
              <w:rPr>
                <w:rFonts w:ascii="Calibri" w:hAnsi="Calibri"/>
                <w:b/>
                <w:color w:val="FFFFFF"/>
                <w:sz w:val="20"/>
              </w:rPr>
              <w:t>Deadline</w:t>
            </w:r>
          </w:p>
        </w:tc>
      </w:tr>
      <w:tr>
        <w:tc>
          <w:tcPr>
            <w:tcW w:type="dxa" w:w="1728"/>
          </w:tcPr>
          <w:p>
            <w:r/>
            <w:r>
              <w:rPr>
                <w:rFonts w:ascii="Calibri" w:hAnsi="Calibri"/>
                <w:b/>
                <w:sz w:val="20"/>
              </w:rPr>
              <w:t>UIF (employee)</w:t>
            </w:r>
          </w:p>
        </w:tc>
        <w:tc>
          <w:tcPr>
            <w:tcW w:type="dxa" w:w="1728"/>
          </w:tcPr>
          <w:p>
            <w:r/>
            <w:r>
              <w:rPr>
                <w:rFonts w:ascii="Calibri" w:hAnsi="Calibri"/>
                <w:sz w:val="20"/>
              </w:rPr>
              <w:t>1% of remuneration</w:t>
            </w:r>
          </w:p>
        </w:tc>
        <w:tc>
          <w:tcPr>
            <w:tcW w:type="dxa" w:w="1728"/>
          </w:tcPr>
          <w:p>
            <w:r/>
            <w:r>
              <w:rPr>
                <w:rFonts w:ascii="Calibri" w:hAnsi="Calibri"/>
                <w:sz w:val="20"/>
              </w:rPr>
              <w:t>Employee (deducted)</w:t>
            </w:r>
          </w:p>
        </w:tc>
        <w:tc>
          <w:tcPr>
            <w:tcW w:type="dxa" w:w="1728"/>
          </w:tcPr>
          <w:p>
            <w:r/>
            <w:r>
              <w:rPr>
                <w:rFonts w:ascii="Calibri" w:hAnsi="Calibri"/>
                <w:sz w:val="20"/>
              </w:rPr>
              <w:t>SARS</w:t>
            </w:r>
          </w:p>
        </w:tc>
        <w:tc>
          <w:tcPr>
            <w:tcW w:type="dxa" w:w="1728"/>
          </w:tcPr>
          <w:p>
            <w:r/>
            <w:r>
              <w:rPr>
                <w:rFonts w:ascii="Calibri" w:hAnsi="Calibri"/>
                <w:sz w:val="20"/>
              </w:rPr>
              <w:t>7th of following month</w:t>
            </w:r>
          </w:p>
        </w:tc>
      </w:tr>
      <w:tr>
        <w:tc>
          <w:tcPr>
            <w:tcW w:type="dxa" w:w="1728"/>
          </w:tcPr>
          <w:p>
            <w:r/>
            <w:r>
              <w:rPr>
                <w:rFonts w:ascii="Calibri" w:hAnsi="Calibri"/>
                <w:b/>
                <w:sz w:val="20"/>
              </w:rPr>
              <w:t>UIF (employer)</w:t>
            </w:r>
          </w:p>
        </w:tc>
        <w:tc>
          <w:tcPr>
            <w:tcW w:type="dxa" w:w="1728"/>
          </w:tcPr>
          <w:p>
            <w:r/>
            <w:r>
              <w:rPr>
                <w:rFonts w:ascii="Calibri" w:hAnsi="Calibri"/>
                <w:sz w:val="20"/>
              </w:rPr>
              <w:t>1% of remuneration</w:t>
            </w:r>
          </w:p>
        </w:tc>
        <w:tc>
          <w:tcPr>
            <w:tcW w:type="dxa" w:w="1728"/>
          </w:tcPr>
          <w:p>
            <w:r/>
            <w:r>
              <w:rPr>
                <w:rFonts w:ascii="Calibri" w:hAnsi="Calibri"/>
                <w:sz w:val="20"/>
              </w:rPr>
              <w:t>Employer</w:t>
            </w:r>
          </w:p>
        </w:tc>
        <w:tc>
          <w:tcPr>
            <w:tcW w:type="dxa" w:w="1728"/>
          </w:tcPr>
          <w:p>
            <w:r/>
            <w:r>
              <w:rPr>
                <w:rFonts w:ascii="Calibri" w:hAnsi="Calibri"/>
                <w:sz w:val="20"/>
              </w:rPr>
              <w:t>SARS</w:t>
            </w:r>
          </w:p>
        </w:tc>
        <w:tc>
          <w:tcPr>
            <w:tcW w:type="dxa" w:w="1728"/>
          </w:tcPr>
          <w:p>
            <w:r/>
            <w:r>
              <w:rPr>
                <w:rFonts w:ascii="Calibri" w:hAnsi="Calibri"/>
                <w:sz w:val="20"/>
              </w:rPr>
              <w:t>7th of following month</w:t>
            </w:r>
          </w:p>
        </w:tc>
      </w:tr>
      <w:tr>
        <w:tc>
          <w:tcPr>
            <w:tcW w:type="dxa" w:w="1728"/>
          </w:tcPr>
          <w:p>
            <w:r/>
            <w:r>
              <w:rPr>
                <w:rFonts w:ascii="Calibri" w:hAnsi="Calibri"/>
                <w:b/>
                <w:sz w:val="20"/>
              </w:rPr>
              <w:t>PAYE</w:t>
            </w:r>
          </w:p>
        </w:tc>
        <w:tc>
          <w:tcPr>
            <w:tcW w:type="dxa" w:w="1728"/>
          </w:tcPr>
          <w:p>
            <w:r/>
            <w:r>
              <w:rPr>
                <w:rFonts w:ascii="Calibri" w:hAnsi="Calibri"/>
                <w:sz w:val="20"/>
              </w:rPr>
              <w:t>Per tax tables</w:t>
            </w:r>
          </w:p>
        </w:tc>
        <w:tc>
          <w:tcPr>
            <w:tcW w:type="dxa" w:w="1728"/>
          </w:tcPr>
          <w:p>
            <w:r/>
            <w:r>
              <w:rPr>
                <w:rFonts w:ascii="Calibri" w:hAnsi="Calibri"/>
                <w:sz w:val="20"/>
              </w:rPr>
              <w:t>Employee (deducted)</w:t>
            </w:r>
          </w:p>
        </w:tc>
        <w:tc>
          <w:tcPr>
            <w:tcW w:type="dxa" w:w="1728"/>
          </w:tcPr>
          <w:p>
            <w:r/>
            <w:r>
              <w:rPr>
                <w:rFonts w:ascii="Calibri" w:hAnsi="Calibri"/>
                <w:sz w:val="20"/>
              </w:rPr>
              <w:t>SARS</w:t>
            </w:r>
          </w:p>
        </w:tc>
        <w:tc>
          <w:tcPr>
            <w:tcW w:type="dxa" w:w="1728"/>
          </w:tcPr>
          <w:p>
            <w:r/>
            <w:r>
              <w:rPr>
                <w:rFonts w:ascii="Calibri" w:hAnsi="Calibri"/>
                <w:sz w:val="20"/>
              </w:rPr>
              <w:t>7th of following month</w:t>
            </w:r>
          </w:p>
        </w:tc>
      </w:tr>
      <w:tr>
        <w:tc>
          <w:tcPr>
            <w:tcW w:type="dxa" w:w="1728"/>
          </w:tcPr>
          <w:p>
            <w:r/>
            <w:r>
              <w:rPr>
                <w:rFonts w:ascii="Calibri" w:hAnsi="Calibri"/>
                <w:b/>
                <w:sz w:val="20"/>
              </w:rPr>
              <w:t>SDL</w:t>
            </w:r>
          </w:p>
        </w:tc>
        <w:tc>
          <w:tcPr>
            <w:tcW w:type="dxa" w:w="1728"/>
          </w:tcPr>
          <w:p>
            <w:r/>
            <w:r>
              <w:rPr>
                <w:rFonts w:ascii="Calibri" w:hAnsi="Calibri"/>
                <w:sz w:val="20"/>
              </w:rPr>
              <w:t>1% of payroll</w:t>
            </w:r>
          </w:p>
        </w:tc>
        <w:tc>
          <w:tcPr>
            <w:tcW w:type="dxa" w:w="1728"/>
          </w:tcPr>
          <w:p>
            <w:r/>
            <w:r>
              <w:rPr>
                <w:rFonts w:ascii="Calibri" w:hAnsi="Calibri"/>
                <w:sz w:val="20"/>
              </w:rPr>
              <w:t>Employer</w:t>
            </w:r>
          </w:p>
        </w:tc>
        <w:tc>
          <w:tcPr>
            <w:tcW w:type="dxa" w:w="1728"/>
          </w:tcPr>
          <w:p>
            <w:r/>
            <w:r>
              <w:rPr>
                <w:rFonts w:ascii="Calibri" w:hAnsi="Calibri"/>
                <w:sz w:val="20"/>
              </w:rPr>
              <w:t>SARS</w:t>
            </w:r>
          </w:p>
        </w:tc>
        <w:tc>
          <w:tcPr>
            <w:tcW w:type="dxa" w:w="1728"/>
          </w:tcPr>
          <w:p>
            <w:r/>
            <w:r>
              <w:rPr>
                <w:rFonts w:ascii="Calibri" w:hAnsi="Calibri"/>
                <w:sz w:val="20"/>
              </w:rPr>
              <w:t>7th of following month</w:t>
            </w:r>
          </w:p>
        </w:tc>
      </w:tr>
      <w:tr>
        <w:tc>
          <w:tcPr>
            <w:tcW w:type="dxa" w:w="1728"/>
          </w:tcPr>
          <w:p>
            <w:r/>
            <w:r>
              <w:rPr>
                <w:rFonts w:ascii="Calibri" w:hAnsi="Calibri"/>
                <w:b/>
                <w:sz w:val="20"/>
              </w:rPr>
              <w:t>COIDA assessment</w:t>
            </w:r>
          </w:p>
        </w:tc>
        <w:tc>
          <w:tcPr>
            <w:tcW w:type="dxa" w:w="1728"/>
          </w:tcPr>
          <w:p>
            <w:r/>
            <w:r>
              <w:rPr>
                <w:rFonts w:ascii="Calibri" w:hAnsi="Calibri"/>
                <w:sz w:val="20"/>
              </w:rPr>
              <w:t>Per sector tariff</w:t>
            </w:r>
          </w:p>
        </w:tc>
        <w:tc>
          <w:tcPr>
            <w:tcW w:type="dxa" w:w="1728"/>
          </w:tcPr>
          <w:p>
            <w:r/>
            <w:r>
              <w:rPr>
                <w:rFonts w:ascii="Calibri" w:hAnsi="Calibri"/>
                <w:sz w:val="20"/>
              </w:rPr>
              <w:t>Employer</w:t>
            </w:r>
          </w:p>
        </w:tc>
        <w:tc>
          <w:tcPr>
            <w:tcW w:type="dxa" w:w="1728"/>
          </w:tcPr>
          <w:p>
            <w:r/>
            <w:r>
              <w:rPr>
                <w:rFonts w:ascii="Calibri" w:hAnsi="Calibri"/>
                <w:sz w:val="20"/>
              </w:rPr>
              <w:t>Compensation Fund</w:t>
            </w:r>
          </w:p>
        </w:tc>
        <w:tc>
          <w:tcPr>
            <w:tcW w:type="dxa" w:w="1728"/>
          </w:tcPr>
          <w:p>
            <w:r/>
            <w:r>
              <w:rPr>
                <w:rFonts w:ascii="Calibri" w:hAnsi="Calibri"/>
                <w:sz w:val="20"/>
              </w:rPr>
              <w:t>Within 30 days of notice</w:t>
            </w:r>
          </w:p>
        </w:tc>
      </w:tr>
    </w:tbl>
    <w:p/>
    <w:p>
      <w:pPr>
        <w:pStyle w:val="Heading2"/>
      </w:pPr>
      <w:r>
        <w:t>8. Penalties for Non-Compliance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1A3A5C"/>
          </w:tcPr>
          <w:p>
            <w:r>
              <w:rPr>
                <w:rFonts w:ascii="Calibri" w:hAnsi="Calibri"/>
                <w:b/>
                <w:color w:val="FFFFFF"/>
                <w:sz w:val="20"/>
              </w:rPr>
              <w:t>Offence</w:t>
            </w:r>
          </w:p>
        </w:tc>
        <w:tc>
          <w:tcPr>
            <w:tcW w:type="dxa" w:w="4320"/>
            <w:shd w:fill="1A3A5C"/>
          </w:tcPr>
          <w:p>
            <w:r>
              <w:rPr>
                <w:rFonts w:ascii="Calibri" w:hAnsi="Calibri"/>
                <w:b/>
                <w:color w:val="FFFFFF"/>
                <w:sz w:val="20"/>
              </w:rPr>
              <w:t>Penalty</w:t>
            </w:r>
          </w:p>
        </w:tc>
      </w:tr>
      <w:tr>
        <w:tc>
          <w:tcPr>
            <w:tcW w:type="dxa" w:w="4320"/>
          </w:tcPr>
          <w:p>
            <w:r/>
            <w:r>
              <w:rPr>
                <w:rFonts w:ascii="Calibri" w:hAnsi="Calibri"/>
                <w:b/>
                <w:sz w:val="20"/>
              </w:rPr>
              <w:t>Late payment of PAYE/UIF/SDL</w:t>
            </w:r>
          </w:p>
        </w:tc>
        <w:tc>
          <w:tcPr>
            <w:tcW w:type="dxa" w:w="4320"/>
          </w:tcPr>
          <w:p>
            <w:r/>
            <w:r>
              <w:rPr>
                <w:rFonts w:ascii="Calibri" w:hAnsi="Calibri"/>
                <w:sz w:val="20"/>
              </w:rPr>
              <w:t>10% penalty + interest at prescribed rate</w:t>
            </w:r>
          </w:p>
        </w:tc>
      </w:tr>
      <w:tr>
        <w:tc>
          <w:tcPr>
            <w:tcW w:type="dxa" w:w="4320"/>
          </w:tcPr>
          <w:p>
            <w:r/>
            <w:r>
              <w:rPr>
                <w:rFonts w:ascii="Calibri" w:hAnsi="Calibri"/>
                <w:b/>
                <w:sz w:val="20"/>
              </w:rPr>
              <w:t>Failure to register as employer</w:t>
            </w:r>
          </w:p>
        </w:tc>
        <w:tc>
          <w:tcPr>
            <w:tcW w:type="dxa" w:w="4320"/>
          </w:tcPr>
          <w:p>
            <w:r/>
            <w:r>
              <w:rPr>
                <w:rFonts w:ascii="Calibri" w:hAnsi="Calibri"/>
                <w:sz w:val="20"/>
              </w:rPr>
              <w:t>Criminal prosecution, fines</w:t>
            </w:r>
          </w:p>
        </w:tc>
      </w:tr>
      <w:tr>
        <w:tc>
          <w:tcPr>
            <w:tcW w:type="dxa" w:w="4320"/>
          </w:tcPr>
          <w:p>
            <w:r/>
            <w:r>
              <w:rPr>
                <w:rFonts w:ascii="Calibri" w:hAnsi="Calibri"/>
                <w:b/>
                <w:sz w:val="20"/>
              </w:rPr>
              <w:t>Late filing of EMP201/EMP501</w:t>
            </w:r>
          </w:p>
        </w:tc>
        <w:tc>
          <w:tcPr>
            <w:tcW w:type="dxa" w:w="4320"/>
          </w:tcPr>
          <w:p>
            <w:r/>
            <w:r>
              <w:rPr>
                <w:rFonts w:ascii="Calibri" w:hAnsi="Calibri"/>
                <w:sz w:val="20"/>
              </w:rPr>
              <w:t>Administrative penalties per SARS</w:t>
            </w:r>
          </w:p>
        </w:tc>
      </w:tr>
      <w:tr>
        <w:tc>
          <w:tcPr>
            <w:tcW w:type="dxa" w:w="4320"/>
          </w:tcPr>
          <w:p>
            <w:r/>
            <w:r>
              <w:rPr>
                <w:rFonts w:ascii="Calibri" w:hAnsi="Calibri"/>
                <w:b/>
                <w:sz w:val="20"/>
              </w:rPr>
              <w:t>Failure to issue IRP5 certificates</w:t>
            </w:r>
          </w:p>
        </w:tc>
        <w:tc>
          <w:tcPr>
            <w:tcW w:type="dxa" w:w="4320"/>
          </w:tcPr>
          <w:p>
            <w:r/>
            <w:r>
              <w:rPr>
                <w:rFonts w:ascii="Calibri" w:hAnsi="Calibri"/>
                <w:sz w:val="20"/>
              </w:rPr>
              <w:t>R250 per day per certificate</w:t>
            </w:r>
          </w:p>
        </w:tc>
      </w:tr>
      <w:tr>
        <w:tc>
          <w:tcPr>
            <w:tcW w:type="dxa" w:w="4320"/>
          </w:tcPr>
          <w:p>
            <w:r/>
            <w:r>
              <w:rPr>
                <w:rFonts w:ascii="Calibri" w:hAnsi="Calibri"/>
                <w:b/>
                <w:sz w:val="20"/>
              </w:rPr>
              <w:t>Late COIDA Return of Earnings</w:t>
            </w:r>
          </w:p>
        </w:tc>
        <w:tc>
          <w:tcPr>
            <w:tcW w:type="dxa" w:w="4320"/>
          </w:tcPr>
          <w:p>
            <w:r/>
            <w:r>
              <w:rPr>
                <w:rFonts w:ascii="Calibri" w:hAnsi="Calibri"/>
                <w:sz w:val="20"/>
              </w:rPr>
              <w:t>10% penalty + interest</w:t>
            </w:r>
          </w:p>
        </w:tc>
      </w:tr>
      <w:tr>
        <w:tc>
          <w:tcPr>
            <w:tcW w:type="dxa" w:w="4320"/>
          </w:tcPr>
          <w:p>
            <w:r/>
            <w:r>
              <w:rPr>
                <w:rFonts w:ascii="Calibri" w:hAnsi="Calibri"/>
                <w:b/>
                <w:sz w:val="20"/>
              </w:rPr>
              <w:t>Failure to register with Compensation Fund</w:t>
            </w:r>
          </w:p>
        </w:tc>
        <w:tc>
          <w:tcPr>
            <w:tcW w:type="dxa" w:w="4320"/>
          </w:tcPr>
          <w:p>
            <w:r/>
            <w:r>
              <w:rPr>
                <w:rFonts w:ascii="Calibri" w:hAnsi="Calibri"/>
                <w:sz w:val="20"/>
              </w:rPr>
              <w:t>Criminal offence, personal liability</w:t>
            </w:r>
          </w:p>
        </w:tc>
      </w:tr>
    </w:tbl>
    <w:p/>
    <w:p>
      <w:pPr>
        <w:pStyle w:val="Heading2"/>
      </w:pPr>
      <w:r>
        <w:t>9. Policy Review</w:t>
      </w:r>
    </w:p>
    <w:p>
      <w:r>
        <w:t>This policy will be reviewed annually, or upon changes to tax tables, contribution rates, earnings ceilings, or other legislative amendments.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Statutory Deductions Policy -- South Africa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