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A5C"/>
          <w:sz w:val="44"/>
        </w:rPr>
        <w:t>[COMPANY NAME]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[SOUTH AFRICA] -- Compliance Standard Operating Procedures</w:t>
      </w:r>
    </w:p>
    <w:p>
      <w:pPr>
        <w:pStyle w:val="Heading1"/>
      </w:pPr>
      <w:r>
        <w:t>South Africa Compliance SOP Pack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Policy Number: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[SOP-SA-001]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Version: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Effective Date: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[EFFECTIVE DATE]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Review Date: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[REVIEW DATE]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Owner: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Human Resources</w:t>
            </w:r>
          </w:p>
        </w:tc>
      </w:tr>
    </w:tbl>
    <w:p>
      <w:r>
        <w:t>This document contains five standard operating procedures (SOPs) for South African compliance. Each SOP provides step-by-step instructions for critical HR and legal compliance processes.</w:t>
      </w:r>
    </w:p>
    <w:p>
      <w:r>
        <w:br w:type="page"/>
      </w:r>
    </w:p>
    <w:p>
      <w:pPr>
        <w:pStyle w:val="Heading1"/>
      </w:pPr>
      <w:r>
        <w:t>SOP 1: OHSA Incident Reporting and Investigation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SOP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SOP-SA-001-01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Department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Health &amp; Safety / Human Resources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Review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Prepared By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[Name, Title]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[Name, Title]</w:t>
            </w:r>
          </w:p>
        </w:tc>
      </w:tr>
    </w:tbl>
    <w:p/>
    <w:p>
      <w:pPr>
        <w:pStyle w:val="Heading2"/>
      </w:pPr>
      <w:r>
        <w:t>1.1 Purpose</w:t>
      </w:r>
    </w:p>
    <w:p>
      <w:r>
        <w:t>To establish a standardised procedure for reporting and investigating workplace incidents (accidents, injuries, diseases, near-misses, and dangerous occurrences) in compliance with the Occupational Health and Safety Act 85 of 1993 (OHSA) and the General Administrative Regulations.</w:t>
      </w:r>
    </w:p>
    <w:p>
      <w:pPr>
        <w:pStyle w:val="Heading2"/>
      </w:pPr>
      <w:r>
        <w:t>1.2 Scope</w:t>
      </w:r>
    </w:p>
    <w:p>
      <w:r>
        <w:t>This SOP applies to all incidents occurring on [COMPANY NAME] premises, at project/client sites, during work-related travel, and any location where work is being performed on behalf of [COMPANY NAME].</w:t>
      </w:r>
    </w:p>
    <w:p>
      <w:pPr>
        <w:pStyle w:val="Heading2"/>
      </w:pPr>
      <w:r>
        <w:t>1.3 Procedure</w:t>
      </w:r>
    </w:p>
    <w:p>
      <w:r>
        <w:rPr>
          <w:b/>
        </w:rPr>
        <w:t>Step 1: Immediate Response (0-30 minutes)</w:t>
      </w:r>
    </w:p>
    <w:p>
      <w:pPr>
        <w:pStyle w:val="ListBullet"/>
      </w:pPr>
      <w:r>
        <w:t>Render first aid to the injured person(s) and call emergency services if required;</w:t>
      </w:r>
    </w:p>
    <w:p>
      <w:pPr>
        <w:pStyle w:val="ListBullet"/>
      </w:pPr>
      <w:r>
        <w:t>Secure the scene to prevent further injuries;</w:t>
      </w:r>
    </w:p>
    <w:p>
      <w:pPr>
        <w:pStyle w:val="ListBullet"/>
      </w:pPr>
      <w:r>
        <w:t>Do NOT disturb the scene unless necessary to prevent further harm (OHSA Section 24(3));</w:t>
      </w:r>
    </w:p>
    <w:p>
      <w:pPr>
        <w:pStyle w:val="ListBullet"/>
      </w:pPr>
      <w:r>
        <w:t>Notify the line manager and the Health and Safety Representative immediately.</w:t>
      </w:r>
    </w:p>
    <w:p>
      <w:r>
        <w:rPr>
          <w:b/>
        </w:rPr>
        <w:t>Step 2: Initial Report (Within 24 hours)</w:t>
      </w:r>
    </w:p>
    <w:p>
      <w:pPr>
        <w:pStyle w:val="ListBullet"/>
      </w:pPr>
      <w:r>
        <w:t>Complete the internal Incident Report Form (capturing date, time, location, description, witnesses, injuries);</w:t>
      </w:r>
    </w:p>
    <w:p>
      <w:pPr>
        <w:pStyle w:val="ListBullet"/>
      </w:pPr>
      <w:r>
        <w:t>Take photographs of the scene, equipment, and any contributing factors;</w:t>
      </w:r>
    </w:p>
    <w:p>
      <w:pPr>
        <w:pStyle w:val="ListBullet"/>
      </w:pPr>
      <w:r>
        <w:t>Record witness statements.</w:t>
      </w:r>
    </w:p>
    <w:p>
      <w:r>
        <w:rPr>
          <w:b/>
        </w:rPr>
        <w:t>Step 3: Statutory Notification (Section 24 -- as applicable)</w:t>
      </w:r>
    </w:p>
    <w:p>
      <w:pPr>
        <w:pStyle w:val="ListBullet"/>
      </w:pPr>
      <w:r>
        <w:t>If the incident involves death, unconsciousness, loss of a limb, or serious injury: notify the Provincial Director of the Department of Employment and Labour immediately (telephonically) and follow up in writing within 24 hours;</w:t>
      </w:r>
    </w:p>
    <w:p>
      <w:pPr>
        <w:pStyle w:val="ListBullet"/>
      </w:pPr>
      <w:r>
        <w:t>Complete Form W.Cl.2 (COIDA Employer's Report of an Accident) and submit to the Compensation Commissioner within 7 days (see SOP 2).</w:t>
      </w:r>
    </w:p>
    <w:p>
      <w:r>
        <w:rPr>
          <w:b/>
        </w:rPr>
        <w:t>Step 4: Investigation (Within 48 hours)</w:t>
      </w:r>
    </w:p>
    <w:p>
      <w:pPr>
        <w:pStyle w:val="ListBullet"/>
      </w:pPr>
      <w:r>
        <w:t>Appoint an investigation team (line manager + H&amp;S representative + additional members as needed);</w:t>
      </w:r>
    </w:p>
    <w:p>
      <w:pPr>
        <w:pStyle w:val="ListBullet"/>
      </w:pPr>
      <w:r>
        <w:t>Conduct root cause analysis (using 5 Whys, Fishbone/Ishikawa, or similar methodology);</w:t>
      </w:r>
    </w:p>
    <w:p>
      <w:pPr>
        <w:pStyle w:val="ListBullet"/>
      </w:pPr>
      <w:r>
        <w:t>Identify contributing factors (human, environmental, procedural, equipment);</w:t>
      </w:r>
    </w:p>
    <w:p>
      <w:pPr>
        <w:pStyle w:val="ListBullet"/>
      </w:pPr>
      <w:r>
        <w:t>Document findings in the Investigation Report.</w:t>
      </w:r>
    </w:p>
    <w:p>
      <w:r>
        <w:rPr>
          <w:b/>
        </w:rPr>
        <w:t>Step 5: Corrective Actions (Within 7 days)</w:t>
      </w:r>
    </w:p>
    <w:p>
      <w:pPr>
        <w:pStyle w:val="ListBullet"/>
      </w:pPr>
      <w:r>
        <w:t>Implement immediate corrective actions to prevent recurrence;</w:t>
      </w:r>
    </w:p>
    <w:p>
      <w:pPr>
        <w:pStyle w:val="ListBullet"/>
      </w:pPr>
      <w:r>
        <w:t>Assign responsibility and deadlines for longer-term corrective actions;</w:t>
      </w:r>
    </w:p>
    <w:p>
      <w:pPr>
        <w:pStyle w:val="ListBullet"/>
      </w:pPr>
      <w:r>
        <w:t>Update risk assessments and safe work procedures as required;</w:t>
      </w:r>
    </w:p>
    <w:p>
      <w:pPr>
        <w:pStyle w:val="ListBullet"/>
      </w:pPr>
      <w:r>
        <w:t>Communicate findings and corrective actions to all affected employees.</w:t>
      </w:r>
    </w:p>
    <w:p>
      <w:r>
        <w:rPr>
          <w:b/>
        </w:rPr>
        <w:t>Step 6: Record Retention</w:t>
      </w:r>
    </w:p>
    <w:p>
      <w:pPr>
        <w:pStyle w:val="ListBullet"/>
      </w:pPr>
      <w:r>
        <w:t>Retain all incident reports, investigation reports, and corrective action records for a minimum of 3 years;</w:t>
      </w:r>
    </w:p>
    <w:p>
      <w:pPr>
        <w:pStyle w:val="ListBullet"/>
      </w:pPr>
      <w:r>
        <w:t>Records must be available for inspection by a Department of Employment and Labour inspector.</w:t>
      </w:r>
    </w:p>
    <w:p>
      <w:r>
        <w:br w:type="page"/>
      </w:r>
    </w:p>
    <w:p>
      <w:pPr>
        <w:pStyle w:val="Heading1"/>
      </w:pPr>
      <w:r>
        <w:t>SOP 2: COIDA Injury Claim Filing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SOP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SOP-SA-001-02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Department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Human Resources / Finance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Review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</w:tr>
    </w:tbl>
    <w:p/>
    <w:p>
      <w:pPr>
        <w:pStyle w:val="Heading2"/>
      </w:pPr>
      <w:r>
        <w:t>2.1 Purpose</w:t>
      </w:r>
    </w:p>
    <w:p>
      <w:r>
        <w:t>To establish a standardised procedure for filing compensation claims under the Compensation for Occupational Injuries and Diseases Act 130 of 1993 (COIDA) when an employee sustains a workplace injury or is diagnosed with an occupational disease.</w:t>
      </w:r>
    </w:p>
    <w:p>
      <w:pPr>
        <w:pStyle w:val="Heading2"/>
      </w:pPr>
      <w:r>
        <w:t>2.2 Procedure</w:t>
      </w:r>
    </w:p>
    <w:p>
      <w:r>
        <w:rPr>
          <w:b/>
        </w:rPr>
        <w:t>Step 1: Employee Reports Injury (Day 0)</w:t>
      </w:r>
    </w:p>
    <w:p>
      <w:pPr>
        <w:pStyle w:val="ListBullet"/>
      </w:pPr>
      <w:r>
        <w:t>Employee reports the injury or disease to their line manager as soon as possible after the incident;</w:t>
      </w:r>
    </w:p>
    <w:p>
      <w:pPr>
        <w:pStyle w:val="ListBullet"/>
      </w:pPr>
      <w:r>
        <w:t>The line manager records the details and ensures the employee receives medical attention.</w:t>
      </w:r>
    </w:p>
    <w:p>
      <w:r>
        <w:rPr>
          <w:b/>
        </w:rPr>
        <w:t>Step 2: Employer Completes Form W.Cl.2 (Within 7 days)</w:t>
      </w:r>
    </w:p>
    <w:p>
      <w:pPr>
        <w:pStyle w:val="ListBullet"/>
      </w:pPr>
      <w:r>
        <w:t>HR completes the Employer's Report of an Accident (Form W.Cl.2);</w:t>
      </w:r>
    </w:p>
    <w:p>
      <w:pPr>
        <w:pStyle w:val="ListBullet"/>
      </w:pPr>
      <w:r>
        <w:t>The form must include: employee details, date/time/place of accident, nature of injury, description of how the accident occurred, witness details, and the employer's assessment number;</w:t>
      </w:r>
    </w:p>
    <w:p>
      <w:pPr>
        <w:pStyle w:val="ListBullet"/>
      </w:pPr>
      <w:r>
        <w:t>Submit the completed form to the Compensation Commissioner (or the relevant mutual association).</w:t>
      </w:r>
    </w:p>
    <w:p>
      <w:r>
        <w:rPr>
          <w:b/>
        </w:rPr>
        <w:t>Step 3: Medical Practitioner Submits First Medical Report (Within 14 days)</w:t>
      </w:r>
    </w:p>
    <w:p>
      <w:pPr>
        <w:pStyle w:val="ListBullet"/>
      </w:pPr>
      <w:r>
        <w:t>The attending medical practitioner completes Form W.Cl.4 (First Medical Report);</w:t>
      </w:r>
    </w:p>
    <w:p>
      <w:pPr>
        <w:pStyle w:val="ListBullet"/>
      </w:pPr>
      <w:r>
        <w:t>HR follows up with the medical practitioner to ensure timely submission;</w:t>
      </w:r>
    </w:p>
    <w:p>
      <w:pPr>
        <w:pStyle w:val="ListBullet"/>
      </w:pPr>
      <w:r>
        <w:t>Ensure the employee attends all follow-up appointments.</w:t>
      </w:r>
    </w:p>
    <w:p>
      <w:r>
        <w:rPr>
          <w:b/>
        </w:rPr>
        <w:t>Step 4: Employer Pays First 3 Months of Temporary Disability</w:t>
      </w:r>
    </w:p>
    <w:p>
      <w:pPr>
        <w:pStyle w:val="ListBullet"/>
      </w:pPr>
      <w:r>
        <w:t>If the employee is temporarily disabled, the employer must pay 75% of the employee's earnings for the first 3 months;</w:t>
      </w:r>
    </w:p>
    <w:p>
      <w:pPr>
        <w:pStyle w:val="ListBullet"/>
      </w:pPr>
      <w:r>
        <w:t>Submit a claim for reimbursement to the Compensation Fund;</w:t>
      </w:r>
    </w:p>
    <w:p>
      <w:pPr>
        <w:pStyle w:val="ListBullet"/>
      </w:pPr>
      <w:r>
        <w:t>The Compensation Fund takes over payment from month 4 onwards (if disability continues).</w:t>
      </w:r>
    </w:p>
    <w:p>
      <w:r>
        <w:rPr>
          <w:b/>
        </w:rPr>
        <w:t>Step 5: Follow-Up and Closure</w:t>
      </w:r>
    </w:p>
    <w:p>
      <w:pPr>
        <w:pStyle w:val="ListBullet"/>
      </w:pPr>
      <w:r>
        <w:t>Monitor the employee's recovery and return-to-work progress;</w:t>
      </w:r>
    </w:p>
    <w:p>
      <w:pPr>
        <w:pStyle w:val="ListBullet"/>
      </w:pPr>
      <w:r>
        <w:t>Submit progress reports (Form W.Cl.5) and the final medical report (Form W.Cl.26) as required;</w:t>
      </w:r>
    </w:p>
    <w:p>
      <w:pPr>
        <w:pStyle w:val="ListBullet"/>
      </w:pPr>
      <w:r>
        <w:t>If permanent disability is assessed, submit the application for permanent disability benefits;</w:t>
      </w:r>
    </w:p>
    <w:p>
      <w:pPr>
        <w:pStyle w:val="ListBullet"/>
      </w:pPr>
      <w:r>
        <w:t>Retain all documentation for at least 4 years.</w:t>
      </w:r>
    </w:p>
    <w:p>
      <w:pPr>
        <w:pStyle w:val="Heading2"/>
      </w:pPr>
      <w:r>
        <w:t>2.3 Key Deadlines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Report injury to employer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As soon as possible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Employer submits W.Cl.2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Within 7 days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First Medical Report (W.Cl.4)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Within 14 days of first consultation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Employer pays temp disability (first 3 months)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On normal pay dates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Report death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Immediately</w:t>
            </w:r>
          </w:p>
        </w:tc>
      </w:tr>
    </w:tbl>
    <w:p/>
    <w:p>
      <w:r>
        <w:br w:type="page"/>
      </w:r>
    </w:p>
    <w:p>
      <w:pPr>
        <w:pStyle w:val="Heading1"/>
      </w:pPr>
      <w:r>
        <w:t>SOP 3: Disciplinary Hearing Procedure (LRA Compliant)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SOP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SOP-SA-001-03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Department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Human Resources / Line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Review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</w:tr>
    </w:tbl>
    <w:p/>
    <w:p>
      <w:pPr>
        <w:pStyle w:val="Heading2"/>
      </w:pPr>
      <w:r>
        <w:t>3.1 Purpose</w:t>
      </w:r>
    </w:p>
    <w:p>
      <w:r>
        <w:t>To establish a standardised, LRA-compliant disciplinary hearing procedure that ensures both substantive and procedural fairness in all disciplinary matters at [COMPANY NAME].</w:t>
      </w:r>
    </w:p>
    <w:p>
      <w:pPr>
        <w:pStyle w:val="Heading2"/>
      </w:pPr>
      <w:r>
        <w:t>3.2 Progressive Discipline Framework</w:t>
      </w:r>
    </w:p>
    <w:p>
      <w:r>
        <w:t>Before initiating a formal hearing, managers should apply progressive discipline: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Offence Severity</w:t>
            </w:r>
          </w:p>
        </w:tc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Recommended Action</w:t>
            </w:r>
          </w:p>
        </w:tc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Validity Period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Minor first offence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Verbal warning (documented)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 months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Minor repeated offence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First written warning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 months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Serious offence / repeated minor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Final written warning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12 months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Gross misconduct / repeated after final warning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Disciplinary hearing (dismissal possible)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</w:tr>
    </w:tbl>
    <w:p/>
    <w:p>
      <w:pPr>
        <w:pStyle w:val="Heading2"/>
      </w:pPr>
      <w:r>
        <w:t>3.3 Formal Hearing Procedure</w:t>
      </w:r>
    </w:p>
    <w:p>
      <w:r>
        <w:rPr>
          <w:b/>
        </w:rPr>
        <w:t>Step 1: Investigation</w:t>
      </w:r>
    </w:p>
    <w:p>
      <w:pPr>
        <w:pStyle w:val="ListBullet"/>
      </w:pPr>
      <w:r>
        <w:t>Investigate the alleged misconduct thoroughly before charging the employee;</w:t>
      </w:r>
    </w:p>
    <w:p>
      <w:pPr>
        <w:pStyle w:val="ListBullet"/>
      </w:pPr>
      <w:r>
        <w:t>Gather evidence (documents, CCTV, witness statements);</w:t>
      </w:r>
    </w:p>
    <w:p>
      <w:pPr>
        <w:pStyle w:val="ListBullet"/>
      </w:pPr>
      <w:r>
        <w:t>Consider precautionary suspension (with full pay) only if the employee's presence may interfere with the investigation or endanger others.</w:t>
      </w:r>
    </w:p>
    <w:p>
      <w:r>
        <w:rPr>
          <w:b/>
        </w:rPr>
        <w:t>Step 2: Charge Sheet and Notice</w:t>
      </w:r>
    </w:p>
    <w:p>
      <w:pPr>
        <w:pStyle w:val="ListBullet"/>
      </w:pPr>
      <w:r>
        <w:t>Draft the charge sheet with specific, detailed charges;</w:t>
      </w:r>
    </w:p>
    <w:p>
      <w:pPr>
        <w:pStyle w:val="ListBullet"/>
      </w:pPr>
      <w:r>
        <w:t>Issue written notice of the hearing at least 48 hours in advance;</w:t>
      </w:r>
    </w:p>
    <w:p>
      <w:pPr>
        <w:pStyle w:val="ListBullet"/>
      </w:pPr>
      <w:r>
        <w:t>Notify the employee of: the date, time, and venue; the specific charges; the right to representation (fellow employee or union representative); the right to call witnesses and present evidence; and the possible sanctions.</w:t>
      </w:r>
    </w:p>
    <w:p>
      <w:r>
        <w:rPr>
          <w:b/>
        </w:rPr>
        <w:t>Step 3: Hearing</w:t>
      </w:r>
    </w:p>
    <w:p>
      <w:pPr>
        <w:pStyle w:val="ListBullet"/>
      </w:pPr>
      <w:r>
        <w:t>Appoint an impartial chairperson (not the complainant or the employee's direct supervisor);</w:t>
      </w:r>
    </w:p>
    <w:p>
      <w:pPr>
        <w:pStyle w:val="ListBullet"/>
      </w:pPr>
      <w:r>
        <w:t>The initiator presents the case and calls witnesses;</w:t>
      </w:r>
    </w:p>
    <w:p>
      <w:pPr>
        <w:pStyle w:val="ListBullet"/>
      </w:pPr>
      <w:r>
        <w:t>The employee (or representative) cross-examines, presents a defence, and calls witnesses;</w:t>
      </w:r>
    </w:p>
    <w:p>
      <w:pPr>
        <w:pStyle w:val="ListBullet"/>
      </w:pPr>
      <w:r>
        <w:t>Record the proceedings (minutes or audio recording);</w:t>
      </w:r>
    </w:p>
    <w:p>
      <w:pPr>
        <w:pStyle w:val="ListBullet"/>
      </w:pPr>
      <w:r>
        <w:t>The chairperson may adjourn to consider the evidence.</w:t>
      </w:r>
    </w:p>
    <w:p>
      <w:r>
        <w:rPr>
          <w:b/>
        </w:rPr>
        <w:t>Step 4: Finding</w:t>
      </w:r>
    </w:p>
    <w:p>
      <w:pPr>
        <w:pStyle w:val="ListBullet"/>
      </w:pPr>
      <w:r>
        <w:t>The chairperson makes a finding (guilty/not guilty) on each charge;</w:t>
      </w:r>
    </w:p>
    <w:p>
      <w:pPr>
        <w:pStyle w:val="ListBullet"/>
      </w:pPr>
      <w:r>
        <w:t>If guilty, consider mitigating and aggravating factors (length of service, disciplinary record, remorse, personal circumstances, severity of the offence, impact on the business);</w:t>
      </w:r>
    </w:p>
    <w:p>
      <w:pPr>
        <w:pStyle w:val="ListBullet"/>
      </w:pPr>
      <w:r>
        <w:t>Determine the appropriate sanction.</w:t>
      </w:r>
    </w:p>
    <w:p>
      <w:r>
        <w:rPr>
          <w:b/>
        </w:rPr>
        <w:t>Step 5: Communication and Appeal</w:t>
      </w:r>
    </w:p>
    <w:p>
      <w:pPr>
        <w:pStyle w:val="ListBullet"/>
      </w:pPr>
      <w:r>
        <w:t>Communicate the outcome in writing within 3 working days;</w:t>
      </w:r>
    </w:p>
    <w:p>
      <w:pPr>
        <w:pStyle w:val="ListBullet"/>
      </w:pPr>
      <w:r>
        <w:t>Inform the employee of the right to internal appeal (within 5 working days);</w:t>
      </w:r>
    </w:p>
    <w:p>
      <w:pPr>
        <w:pStyle w:val="ListBullet"/>
      </w:pPr>
      <w:r>
        <w:t>Inform the employee of the right to refer the matter to the CCMA (within 30 calendar days of dismissal);</w:t>
      </w:r>
    </w:p>
    <w:p>
      <w:pPr>
        <w:pStyle w:val="ListBullet"/>
      </w:pPr>
      <w:r>
        <w:t>File all documentation (charge sheet, notice, hearing minutes, outcome letter, appeal).</w:t>
      </w:r>
    </w:p>
    <w:p>
      <w:r>
        <w:br w:type="page"/>
      </w:r>
    </w:p>
    <w:p>
      <w:pPr>
        <w:pStyle w:val="Heading1"/>
      </w:pPr>
      <w:r>
        <w:t>SOP 4: Retrenchment Consultation (Section 189/189A)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SOP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SOP-SA-001-04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Department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Human Resources / Executive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Review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</w:tr>
    </w:tbl>
    <w:p/>
    <w:p>
      <w:pPr>
        <w:pStyle w:val="Heading2"/>
      </w:pPr>
      <w:r>
        <w:t>4.1 Purpose</w:t>
      </w:r>
    </w:p>
    <w:p>
      <w:r>
        <w:t>To establish a standardised procedure for conducting retrenchments (dismissals for operational requirements) in compliance with Section 189 and Section 189A of the Labour Relations Act 66 of 1995.</w:t>
      </w:r>
    </w:p>
    <w:p>
      <w:pPr>
        <w:pStyle w:val="Heading2"/>
      </w:pPr>
      <w:r>
        <w:t>4.2 Applicability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Applicable Section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Employer contemplating retrenchment of fewer than 50 employees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Section 189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Employer with 50+ employees contemplating retrenchment of 50 or more employees, or the number specified in the 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Section 189A (large-scale retrenchment)</w:t>
            </w:r>
          </w:p>
        </w:tc>
      </w:tr>
    </w:tbl>
    <w:p/>
    <w:p>
      <w:pPr>
        <w:pStyle w:val="Heading2"/>
      </w:pPr>
      <w:r>
        <w:t>4.3 Procedure (Section 189)</w:t>
      </w:r>
    </w:p>
    <w:p>
      <w:r>
        <w:rPr>
          <w:b/>
        </w:rPr>
        <w:t>Step 1: Issue Section 189(3) Notice</w:t>
      </w:r>
    </w:p>
    <w:p>
      <w:pPr>
        <w:pStyle w:val="ListBullet"/>
      </w:pPr>
      <w:r>
        <w:t>Issue a written notice to the consulting parties (recognised trade union, workplace forum, or affected employees) disclosing:</w:t>
      </w:r>
    </w:p>
    <w:p>
      <w:pPr>
        <w:pStyle w:val="ListBullet"/>
      </w:pPr>
      <w:r>
        <w:t xml:space="preserve">  (a) The reasons for the proposed dismissals;</w:t>
      </w:r>
    </w:p>
    <w:p>
      <w:pPr>
        <w:pStyle w:val="ListBullet"/>
      </w:pPr>
      <w:r>
        <w:t xml:space="preserve">  (b) The alternatives considered before resorting to retrenchment;</w:t>
      </w:r>
    </w:p>
    <w:p>
      <w:pPr>
        <w:pStyle w:val="ListBullet"/>
      </w:pPr>
      <w:r>
        <w:t xml:space="preserve">  (c) The number of employees likely to be affected;</w:t>
      </w:r>
    </w:p>
    <w:p>
      <w:pPr>
        <w:pStyle w:val="ListBullet"/>
      </w:pPr>
      <w:r>
        <w:t xml:space="preserve">  (d) The proposed selection criteria;</w:t>
      </w:r>
    </w:p>
    <w:p>
      <w:pPr>
        <w:pStyle w:val="ListBullet"/>
      </w:pPr>
      <w:r>
        <w:t xml:space="preserve">  (e) The proposed timing of dismissals;</w:t>
      </w:r>
    </w:p>
    <w:p>
      <w:pPr>
        <w:pStyle w:val="ListBullet"/>
      </w:pPr>
      <w:r>
        <w:t xml:space="preserve">  (f) The severance pay proposed;</w:t>
      </w:r>
    </w:p>
    <w:p>
      <w:pPr>
        <w:pStyle w:val="ListBullet"/>
      </w:pPr>
      <w:r>
        <w:t xml:space="preserve">  (g) Any assistance the employer proposes (e.g., job seeking, retraining).</w:t>
      </w:r>
    </w:p>
    <w:p>
      <w:r>
        <w:rPr>
          <w:b/>
        </w:rPr>
        <w:t>Step 2: Meaningful Consultation</w:t>
      </w:r>
    </w:p>
    <w:p>
      <w:pPr>
        <w:pStyle w:val="ListBullet"/>
      </w:pPr>
      <w:r>
        <w:t>Engage in meaningful joint consultation with the consulting parties;</w:t>
      </w:r>
    </w:p>
    <w:p>
      <w:pPr>
        <w:pStyle w:val="ListBullet"/>
      </w:pPr>
      <w:r>
        <w:t>Consultation must be in good faith and aimed at reaching consensus on:</w:t>
      </w:r>
    </w:p>
    <w:p>
      <w:pPr>
        <w:pStyle w:val="ListBullet"/>
      </w:pPr>
      <w:r>
        <w:t xml:space="preserve">  (a) Measures to avoid dismissals (hiring freeze, short-time, reduced overtime, voluntary retrenchment);</w:t>
      </w:r>
    </w:p>
    <w:p>
      <w:pPr>
        <w:pStyle w:val="ListBullet"/>
      </w:pPr>
      <w:r>
        <w:t xml:space="preserve">  (b) Measures to minimise the number of dismissals;</w:t>
      </w:r>
    </w:p>
    <w:p>
      <w:pPr>
        <w:pStyle w:val="ListBullet"/>
      </w:pPr>
      <w:r>
        <w:t xml:space="preserve">  (c) Measures to mitigate the effects (outplacement, retraining, extended benefits);</w:t>
      </w:r>
    </w:p>
    <w:p>
      <w:pPr>
        <w:pStyle w:val="ListBullet"/>
      </w:pPr>
      <w:r>
        <w:t xml:space="preserve">  (d) The method for selecting employees to be dismissed;</w:t>
      </w:r>
    </w:p>
    <w:p>
      <w:pPr>
        <w:pStyle w:val="ListBullet"/>
      </w:pPr>
      <w:r>
        <w:t xml:space="preserve">  (e) The timing of dismissals;</w:t>
      </w:r>
    </w:p>
    <w:p>
      <w:pPr>
        <w:pStyle w:val="ListBullet"/>
      </w:pPr>
      <w:r>
        <w:t xml:space="preserve">  (f) Severance pay.</w:t>
      </w:r>
    </w:p>
    <w:p>
      <w:r>
        <w:t>The employer must consider and respond to representations made by the consulting parties.</w:t>
      </w:r>
    </w:p>
    <w:p>
      <w:r>
        <w:rPr>
          <w:b/>
        </w:rPr>
        <w:t>Step 3: Selection Criteria</w:t>
      </w:r>
    </w:p>
    <w:p>
      <w:pPr>
        <w:pStyle w:val="ListBullet"/>
      </w:pPr>
      <w:r>
        <w:t>Apply fair and objective selection criteria (LIFO is the default unless an alternative is agreed or justified);</w:t>
      </w:r>
    </w:p>
    <w:p>
      <w:pPr>
        <w:pStyle w:val="ListBullet"/>
      </w:pPr>
      <w:r>
        <w:t>Selection criteria must not directly or indirectly discriminate on any prohibited ground;</w:t>
      </w:r>
    </w:p>
    <w:p>
      <w:pPr>
        <w:pStyle w:val="ListBullet"/>
      </w:pPr>
      <w:r>
        <w:t>Document the selection process and the rationale for each affected employee.</w:t>
      </w:r>
    </w:p>
    <w:p>
      <w:r>
        <w:rPr>
          <w:b/>
        </w:rPr>
        <w:t>Step 4: Notice and Severance Pay</w:t>
      </w:r>
    </w:p>
    <w:p>
      <w:pPr>
        <w:pStyle w:val="ListBullet"/>
      </w:pPr>
      <w:r>
        <w:t>Provide the statutory notice period (1 week / 2 weeks / 4 weeks, depending on length of service);</w:t>
      </w:r>
    </w:p>
    <w:p>
      <w:pPr>
        <w:pStyle w:val="ListBullet"/>
      </w:pPr>
      <w:r>
        <w:t>Pay severance pay of at least one week's remuneration per completed year of continuous service;</w:t>
      </w:r>
    </w:p>
    <w:p>
      <w:pPr>
        <w:pStyle w:val="ListBullet"/>
      </w:pPr>
      <w:r>
        <w:t>Issue the employee with a certificate of service;</w:t>
      </w:r>
    </w:p>
    <w:p>
      <w:pPr>
        <w:pStyle w:val="ListBullet"/>
      </w:pPr>
      <w:r>
        <w:t>Provide a letter confirming the retrenchment and the employee's right to refer a dispute to the CCMA within 30 days.</w:t>
      </w:r>
    </w:p>
    <w:p>
      <w:r>
        <w:rPr>
          <w:b/>
        </w:rPr>
        <w:t>Step 5: Section 189A Additional Requirements (Large-Scale)</w:t>
      </w:r>
    </w:p>
    <w:p>
      <w:pPr>
        <w:pStyle w:val="ListBullet"/>
      </w:pPr>
      <w:r>
        <w:t>If Section 189A applies, the consultation period must be at least 60 days;</w:t>
      </w:r>
    </w:p>
    <w:p>
      <w:pPr>
        <w:pStyle w:val="ListBullet"/>
      </w:pPr>
      <w:r>
        <w:t>Either party may request a facilitator from the CCMA;</w:t>
      </w:r>
    </w:p>
    <w:p>
      <w:pPr>
        <w:pStyle w:val="ListBullet"/>
      </w:pPr>
      <w:r>
        <w:t>Employees may strike in protest against the retrenchment (after following the required procedures);</w:t>
      </w:r>
    </w:p>
    <w:p>
      <w:pPr>
        <w:pStyle w:val="ListBullet"/>
      </w:pPr>
      <w:r>
        <w:t>The Labour Court may adjudicate the substantive and procedural fairness of the retrenchment.</w:t>
      </w:r>
    </w:p>
    <w:p>
      <w:r>
        <w:br w:type="page"/>
      </w:r>
    </w:p>
    <w:p>
      <w:pPr>
        <w:pStyle w:val="Heading1"/>
      </w:pPr>
      <w:r>
        <w:t>SOP 5: Employment Equity Plan Review and Reporting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SOP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SOP-SA-001-05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Department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Human Resources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Review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</w:tr>
    </w:tbl>
    <w:p/>
    <w:p>
      <w:pPr>
        <w:pStyle w:val="Heading2"/>
      </w:pPr>
      <w:r>
        <w:t>5.1 Purpose</w:t>
      </w:r>
    </w:p>
    <w:p>
      <w:r>
        <w:t>To establish a standardised procedure for developing, reviewing, and reporting on the [COMPANY NAME] Employment Equity Plan in compliance with the Employment Equity Act 55 of 1998 (EEA), as amended.</w:t>
      </w:r>
    </w:p>
    <w:p>
      <w:pPr>
        <w:pStyle w:val="Heading2"/>
      </w:pPr>
      <w:r>
        <w:t>5.2 Annual Cycle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Month</w:t>
            </w:r>
          </w:p>
        </w:tc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January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Collect workforce profile data (race, gender, disability by occupational level)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HR / Payroll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February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Conduct analysis: compare workforce profile to EAP and sector targets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HR / EE Committee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March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Review barriers to employment equity (policies, practices, workplace culture)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EE Committee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April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Update EE Plan: set/revise numerical goals, affirmative action measures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HR / EE Committee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May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Conduct income differential analysis (Section 27)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HR / Finance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June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Present updated EE Plan to EE Consultative Forum/Committee for input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July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Finalise EE Plan and submit to CEO/Managing Director for approval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HR / CEO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August-September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Prepare EEA2/EEA4 report for electronic submission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1 October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Submit EE Report to Department of Employment and Labour (150+ employees)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15 January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Submit EE Report to Department of Employment and Labour (&lt;150 employees)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Ongoing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 progress against targets and implement affirmative action measures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HR / Line Managers</w:t>
            </w:r>
          </w:p>
        </w:tc>
      </w:tr>
    </w:tbl>
    <w:p/>
    <w:p>
      <w:pPr>
        <w:pStyle w:val="Heading2"/>
      </w:pPr>
      <w:r>
        <w:t>5.3 EE Committee/Consultative Forum</w:t>
      </w:r>
    </w:p>
    <w:p>
      <w:pPr>
        <w:pStyle w:val="ListBullet"/>
      </w:pPr>
      <w:r>
        <w:t>Establish an EE Committee with representatives from all occupational levels, designated groups, and trade unions;</w:t>
      </w:r>
    </w:p>
    <w:p>
      <w:pPr>
        <w:pStyle w:val="ListBullet"/>
      </w:pPr>
      <w:r>
        <w:t>The committee must meet at least quarterly to review progress;</w:t>
      </w:r>
    </w:p>
    <w:p>
      <w:pPr>
        <w:pStyle w:val="ListBullet"/>
      </w:pPr>
      <w:r>
        <w:t>Minutes of meetings must be kept and made available to inspectors;</w:t>
      </w:r>
    </w:p>
    <w:p>
      <w:pPr>
        <w:pStyle w:val="ListBullet"/>
      </w:pPr>
      <w:r>
        <w:t>The committee provides input on the EE Plan, reviews barriers, and monitors progress.</w:t>
      </w:r>
    </w:p>
    <w:p>
      <w:pPr>
        <w:pStyle w:val="Heading2"/>
      </w:pPr>
      <w:r>
        <w:t>5.4 Display and Communication</w:t>
      </w:r>
    </w:p>
    <w:p>
      <w:pPr>
        <w:pStyle w:val="ListBullet"/>
      </w:pPr>
      <w:r>
        <w:t>A summary of the most recent EE Report must be displayed at a prominent place in the workplace accessible to all employees;</w:t>
      </w:r>
    </w:p>
    <w:p>
      <w:pPr>
        <w:pStyle w:val="ListBullet"/>
      </w:pPr>
      <w:r>
        <w:t>Employees must be informed of the contents of the EE Plan and their role in achieving equity targets;</w:t>
      </w:r>
    </w:p>
    <w:p>
      <w:pPr>
        <w:pStyle w:val="ListBullet"/>
      </w:pPr>
      <w:r>
        <w:t>The EE Plan must be made available for inspection by any employee or inspector upon request.</w:t>
      </w:r>
    </w:p>
    <w:p>
      <w:pPr>
        <w:pStyle w:val="Heading2"/>
      </w:pPr>
      <w:r>
        <w:t>5.5 Compliance Certificate</w:t>
      </w:r>
    </w:p>
    <w:p>
      <w:pPr>
        <w:pStyle w:val="ListBullet"/>
      </w:pPr>
      <w:r>
        <w:t>Before contracting with any organ of state, confirm that [COMPANY NAME] has a valid compliance certificate;</w:t>
      </w:r>
    </w:p>
    <w:p>
      <w:pPr>
        <w:pStyle w:val="ListBullet"/>
      </w:pPr>
      <w:r>
        <w:t>If the certificate has been refused, take immediate corrective action and reapply;</w:t>
      </w:r>
    </w:p>
    <w:p>
      <w:pPr>
        <w:pStyle w:val="ListBullet"/>
      </w:pPr>
      <w:r>
        <w:t>Monitor the certificate's expiry date and renew proactively.</w:t>
      </w:r>
    </w:p>
    <w:p>
      <w:pPr>
        <w:pStyle w:val="Heading2"/>
      </w:pPr>
      <w:r>
        <w:t>5.6 Record Retention</w:t>
      </w:r>
    </w:p>
    <w:p>
      <w:pPr>
        <w:pStyle w:val="ListBullet"/>
      </w:pPr>
      <w:r>
        <w:t>Retain all EE Plans, EE Reports, committee minutes, workforce analyses, and correspondence with the Department for at least five years;</w:t>
      </w:r>
    </w:p>
    <w:p>
      <w:pPr>
        <w:pStyle w:val="ListBullet"/>
      </w:pPr>
      <w:r>
        <w:t>Records must be produced upon request by a Department inspector.</w:t>
      </w:r>
    </w:p>
    <w:p>
      <w:r>
        <w:br w:type="page"/>
      </w: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Initial release -- 5 SOPs</w:t>
            </w:r>
          </w:p>
        </w:tc>
      </w:tr>
    </w:tbl>
    <w:p/>
    <w:p>
      <w:pPr>
        <w:pStyle w:val="Heading2"/>
      </w:pPr>
      <w:r>
        <w:t>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Prepared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Reviewed By (Legal/HR)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Approved By (Management)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/>
    <w:p/>
    <w:p>
      <w:pPr>
        <w:jc w:val="center"/>
      </w:pPr>
      <w:r>
        <w:rPr>
          <w:i/>
          <w:color w:val="999999"/>
          <w:sz w:val="16"/>
        </w:rPr>
        <w:t>Prepared by [COMPANY NAME] | SA Compliance SOP Pack | 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