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b3fff1e496817de8156f110a5f965ef7c3e9d3"/>
    <w:p>
      <w:pPr>
        <w:pStyle w:val="Heading1"/>
      </w:pPr>
      <w:r>
        <w:t xml:space="preserve">CR-001: Assessor Edit-on-Behalf ("Impersonation")</w:t>
      </w:r>
    </w:p>
    <w:p>
      <w:pPr>
        <w:pStyle w:val="FirstParagraph"/>
      </w:pPr>
      <w:r>
        <w:rPr>
          <w:b/>
          <w:bCs/>
        </w:rPr>
        <w:t xml:space="preserve">Change Request and Statement of Work under clause 9.5 of the Master Services Agreement</w:t>
      </w:r>
    </w:p>
    <w:p>
      <w:pPr>
        <w:pStyle w:val="BlockText"/>
      </w:pPr>
      <w:r>
        <w:rPr>
          <w:b/>
          <w:bCs/>
        </w:rPr>
        <w:t xml:space="preserve">DRAFT v1, for the Customer's approval.</w:t>
      </w:r>
      <w:r>
        <w:t xml:space="preserve"> </w:t>
      </w:r>
      <w:r>
        <w:t xml:space="preserve">Drafting notes are shown in</w:t>
      </w:r>
      <w:r>
        <w:t xml:space="preserve"> </w:t>
      </w:r>
      <w:r>
        <w:t xml:space="preserve">blockquotes like this and must be removed before execution. No work will be</w:t>
      </w:r>
      <w:r>
        <w:t xml:space="preserve"> </w:t>
      </w:r>
      <w:r>
        <w:t xml:space="preserve">undertaken until the Customer has approved this quote in writing (MSA</w:t>
      </w:r>
      <w:r>
        <w:t xml:space="preserve"> </w:t>
      </w:r>
      <w:r>
        <w:t xml:space="preserve">clause 9.5(c)).</w:t>
      </w:r>
    </w:p>
    <w:p>
      <w:r>
        <w:pict>
          <v:rect style="width:0;height:1.5pt" o:hralign="center" o:hrstd="t" o:hr="t"/>
        </w:pict>
      </w:r>
    </w:p>
    <w:bookmarkStart w:id="9" w:name="X1369d59cc13ab594eba97f16a5e287300ff7d4a"/>
    <w:p>
      <w:pPr>
        <w:pStyle w:val="Heading2"/>
      </w:pPr>
      <w:r>
        <w:t xml:space="preserve">1. Reference and parties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 reference</w:t>
            </w:r>
          </w:p>
        </w:tc>
        <w:tc>
          <w:tcPr/>
          <w:p>
            <w:pPr>
              <w:pStyle w:val="Compact"/>
            </w:pPr>
            <w:r>
              <w:t xml:space="preserve">CR-001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Assessor edit-on-behalf of an applicant ("impersonation")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Result Driven Development LLC, trading as Meridian Technology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The John Whitgift Foundation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Governing agreement</w:t>
            </w:r>
          </w:p>
        </w:tc>
        <w:tc>
          <w:tcPr/>
          <w:p>
            <w:pPr>
              <w:pStyle w:val="Compact"/>
            </w:pPr>
            <w:r>
              <w:t xml:space="preserve">Master Services Agreement dated 1 May 2026 (the</w:t>
            </w:r>
            <w:r>
              <w:t xml:space="preserve"> </w:t>
            </w:r>
            <w:r>
              <w:rPr>
                <w:b/>
                <w:bCs/>
              </w:rPr>
              <w:t xml:space="preserve">"MSA"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Change control, MSA clause 9.5; on approval this document becomes the signed statement of work required by clause 9.5(d)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New major feature,</w:t>
            </w:r>
            <w:r>
              <w:t xml:space="preserve"> </w:t>
            </w:r>
            <w:r>
              <w:rPr>
                <w:b/>
                <w:bCs/>
              </w:rPr>
              <w:t xml:space="preserve">excluded</w:t>
            </w:r>
            <w:r>
              <w:t xml:space="preserve"> </w:t>
            </w:r>
            <w:r>
              <w:t xml:space="preserve">from the Annual Licence Fee under MSA clause 9.3, and therefore quoted separately</w:t>
            </w:r>
          </w:p>
        </w:tc>
      </w:tr>
    </w:tbl>
    <w:p>
      <w:pPr>
        <w:pStyle w:val="BodyText"/>
      </w:pPr>
      <w:r>
        <w:t xml:space="preserve">Capitalised terms not defined here have the meanings given to them in the MSA.</w:t>
      </w:r>
    </w:p>
    <w:p>
      <w:r>
        <w:pict>
          <v:rect style="width:0;height:1.5pt" o:hralign="center" o:hrstd="t" o:hr="t"/>
        </w:pict>
      </w:r>
    </w:p>
    <w:bookmarkEnd w:id="9"/>
    <w:bookmarkStart w:id="10" w:name="X74c579f767cbc80f767bbb4c31e48475c04b06f"/>
    <w:p>
      <w:pPr>
        <w:pStyle w:val="Heading2"/>
      </w:pPr>
      <w:r>
        <w:t xml:space="preserve">2. Background and rationale</w:t>
      </w:r>
    </w:p>
    <w:p>
      <w:pPr>
        <w:pStyle w:val="FirstParagraph"/>
      </w:pPr>
      <w:r>
        <w:t xml:space="preserve">The Platform as accepted is built on a deliberate division of responsibility: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applicant</w:t>
      </w:r>
      <w:r>
        <w:t xml:space="preserve"> </w:t>
      </w:r>
      <w:r>
        <w:t xml:space="preserve">completes the ten-section application form through the</w:t>
      </w:r>
      <w:r>
        <w:t xml:space="preserve"> </w:t>
      </w:r>
      <w:r>
        <w:t xml:space="preserve">Applicant Portal, and after submission the form becomes</w:t>
      </w:r>
      <w:r>
        <w:t xml:space="preserve"> </w:t>
      </w:r>
      <w:r>
        <w:rPr>
          <w:b/>
          <w:bCs/>
        </w:rPr>
        <w:t xml:space="preserve">read-only to the</w:t>
      </w:r>
      <w:r>
        <w:rPr>
          <w:b/>
          <w:bCs/>
        </w:rPr>
        <w:t xml:space="preserve"> </w:t>
      </w:r>
      <w:r>
        <w:rPr>
          <w:b/>
          <w:bCs/>
        </w:rPr>
        <w:t xml:space="preserve">applicant</w:t>
      </w:r>
      <w:r>
        <w:t xml:space="preserve"> </w:t>
      </w:r>
      <w:r>
        <w:t xml:space="preserve">(PRD AP-10) and is shown</w:t>
      </w:r>
      <w:r>
        <w:t xml:space="preserve"> </w:t>
      </w:r>
      <w:r>
        <w:rPr>
          <w:b/>
          <w:bCs/>
        </w:rPr>
        <w:t xml:space="preserve">read-only to staff</w:t>
      </w:r>
      <w:r>
        <w:t xml:space="preserve"> </w:t>
      </w:r>
      <w:r>
        <w:t xml:space="preserve">in the Admin</w:t>
      </w:r>
      <w:r>
        <w:t xml:space="preserve"> </w:t>
      </w:r>
      <w:r>
        <w:t xml:space="preserve">Console (PRD AC-04). The only "on behalf of" capability in the accepted scope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document attachment</w:t>
      </w:r>
      <w:r>
        <w:t xml:space="preserve">: an assessor may upload supporting documents</w:t>
      </w:r>
      <w:r>
        <w:t xml:space="preserve"> </w:t>
      </w:r>
      <w:r>
        <w:t xml:space="preserve">received by email (PRD DM-02; Feature Verification Checklist §13). There is no</w:t>
      </w:r>
      <w:r>
        <w:t xml:space="preserve"> </w:t>
      </w:r>
      <w:r>
        <w:t xml:space="preserve">facility for an assessor to edit, correct or complete the</w:t>
      </w:r>
      <w:r>
        <w:t xml:space="preserve"> </w:t>
      </w:r>
      <w:r>
        <w:rPr>
          <w:b/>
          <w:bCs/>
        </w:rPr>
        <w:t xml:space="preserve">form fields</w:t>
      </w:r>
      <w:r>
        <w:t xml:space="preserve"> </w:t>
      </w:r>
      <w:r>
        <w:t xml:space="preserve">themselves; where a submitted form is inadequate, the accepted process is to</w:t>
      </w:r>
      <w:r>
        <w:t xml:space="preserve"> </w:t>
      </w:r>
      <w:r>
        <w:rPr>
          <w:b/>
          <w:bCs/>
        </w:rPr>
        <w:t xml:space="preserve">reject and ask the applicant to restart</w:t>
      </w:r>
      <w:r>
        <w:t xml:space="preserve"> </w:t>
      </w:r>
      <w:r>
        <w:t xml:space="preserve">(legacy process answer Q11).</w:t>
      </w:r>
    </w:p>
    <w:p>
      <w:pPr>
        <w:pStyle w:val="BodyText"/>
      </w:pPr>
      <w:r>
        <w:t xml:space="preserve">The Customer has asked for a new capability allowing an assessor to</w:t>
      </w:r>
      <w:r>
        <w:t xml:space="preserve"> </w:t>
      </w:r>
      <w:r>
        <w:rPr>
          <w:b/>
          <w:bCs/>
        </w:rPr>
        <w:t xml:space="preserve">enter or</w:t>
      </w:r>
      <w:r>
        <w:rPr>
          <w:b/>
          <w:bCs/>
        </w:rPr>
        <w:t xml:space="preserve"> </w:t>
      </w:r>
      <w:r>
        <w:rPr>
          <w:b/>
          <w:bCs/>
        </w:rPr>
        <w:t xml:space="preserve">amend an applicant's form data on the applicant's behalf</w:t>
      </w:r>
      <w:r>
        <w:t xml:space="preserve">, for example where</w:t>
      </w:r>
      <w:r>
        <w:t xml:space="preserve"> </w:t>
      </w:r>
      <w:r>
        <w:t xml:space="preserve">an application arrives by post or telephone, or where an applicant cannot</w:t>
      </w:r>
      <w:r>
        <w:t xml:space="preserve"> </w:t>
      </w:r>
      <w:r>
        <w:t xml:space="preserve">complete the Portal unaided. The Customer's informal name for this is</w:t>
      </w:r>
      <w:r>
        <w:t xml:space="preserve"> </w:t>
      </w:r>
      <w:r>
        <w:rPr>
          <w:b/>
          <w:bCs/>
        </w:rPr>
        <w:t xml:space="preserve">"impersonation"</w:t>
      </w:r>
      <w:r>
        <w:t xml:space="preserve">.</w:t>
      </w:r>
    </w:p>
    <w:p>
      <w:pPr>
        <w:pStyle w:val="BodyText"/>
      </w:pPr>
      <w:r>
        <w:t xml:space="preserve">This is net-new functionality that</w:t>
      </w:r>
      <w:r>
        <w:t xml:space="preserve"> </w:t>
      </w:r>
      <w:r>
        <w:rPr>
          <w:b/>
          <w:bCs/>
        </w:rPr>
        <w:t xml:space="preserve">reverses an accepted design decision</w:t>
      </w:r>
      <w:r>
        <w:t xml:space="preserve"> </w:t>
      </w:r>
      <w:r>
        <w:t xml:space="preserve">(read-only-after-submission; reject-and-restart). It is therefore handled as a</w:t>
      </w:r>
      <w:r>
        <w:t xml:space="preserve"> </w:t>
      </w:r>
      <w:r>
        <w:t xml:space="preserve">change request rather than as support or a minor enhancement, and it carries an</w:t>
      </w:r>
      <w:r>
        <w:t xml:space="preserve"> </w:t>
      </w:r>
      <w:r>
        <w:t xml:space="preserve">explicit Customer decision to depart from the accepted process, which approval</w:t>
      </w:r>
      <w:r>
        <w:t xml:space="preserve"> </w:t>
      </w:r>
      <w:r>
        <w:t xml:space="preserve">of this CR provides.</w:t>
      </w:r>
    </w:p>
    <w:p>
      <w:r>
        <w:pict>
          <v:rect style="width:0;height:1.5pt" o:hralign="center" o:hrstd="t" o:hr="t"/>
        </w:pict>
      </w:r>
    </w:p>
    <w:bookmarkEnd w:id="10"/>
    <w:bookmarkStart w:id="11" w:name="X19742f60b3eb72cf29e212cbe9ca2a4da26800d"/>
    <w:p>
      <w:pPr>
        <w:pStyle w:val="Heading2"/>
      </w:pPr>
      <w:r>
        <w:t xml:space="preserve">3. Solution overview</w:t>
      </w:r>
    </w:p>
    <w:p>
      <w:pPr>
        <w:pStyle w:val="FirstParagraph"/>
      </w:pPr>
      <w:r>
        <w:t xml:space="preserve">The change will be implemented as</w:t>
      </w:r>
      <w:r>
        <w:t xml:space="preserve"> </w:t>
      </w:r>
      <w:r>
        <w:rPr>
          <w:b/>
          <w:bCs/>
        </w:rPr>
        <w:t xml:space="preserve">scoped edit-on-behalf</w:t>
      </w:r>
      <w:r>
        <w:t xml:space="preserve">, not as true</w:t>
      </w:r>
      <w:r>
        <w:t xml:space="preserve"> </w:t>
      </w:r>
      <w:r>
        <w:t xml:space="preserve">session impersonation.</w:t>
      </w:r>
    </w:p>
    <w:p>
      <w:pPr>
        <w:pStyle w:val="BlockText"/>
      </w:pPr>
      <w:r>
        <w:rPr>
          <w:b/>
          <w:bCs/>
        </w:rPr>
        <w:t xml:space="preserve">Drafting note, why not "literal" impersonation.</w:t>
      </w:r>
      <w:r>
        <w:t xml:space="preserve"> </w:t>
      </w:r>
      <w:r>
        <w:t xml:space="preserve">True session</w:t>
      </w:r>
      <w:r>
        <w:t xml:space="preserve"> </w:t>
      </w:r>
      <w:r>
        <w:t xml:space="preserve">impersonation (the assessor's browser assumes the applicant's identity) is</w:t>
      </w:r>
      <w:r>
        <w:t xml:space="preserve"> </w:t>
      </w:r>
      <w:r>
        <w:t xml:space="preserve">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proposed. It is worse for the very thing a bursary</w:t>
      </w:r>
      <w:r>
        <w:t xml:space="preserve"> </w:t>
      </w:r>
      <w:r>
        <w:t xml:space="preserve">assessment depends on (a trustworthy record of</w:t>
      </w:r>
      <w:r>
        <w:t xml:space="preserve"> </w:t>
      </w:r>
      <w:r>
        <w:rPr>
          <w:i/>
          <w:iCs/>
        </w:rPr>
        <w:t xml:space="preserve">who entered what</w:t>
      </w:r>
      <w:r>
        <w:t xml:space="preserve">), because</w:t>
      </w:r>
      <w:r>
        <w:t xml:space="preserve"> </w:t>
      </w:r>
      <w:r>
        <w:t xml:space="preserve">the assessor's actions would be indistinguishable from the applicant's in the</w:t>
      </w:r>
      <w:r>
        <w:t xml:space="preserve"> </w:t>
      </w:r>
      <w:r>
        <w:t xml:space="preserve">audit trail. Scoped edit-on-behalf keeps the assessor logged in</w:t>
      </w:r>
      <w: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themselves</w:t>
      </w:r>
      <w:r>
        <w:t xml:space="preserve">, opens the relevant application's form for editing, and stamps</w:t>
      </w:r>
      <w:r>
        <w:t xml:space="preserve"> </w:t>
      </w:r>
      <w:r>
        <w:t xml:space="preserve">every assessor-entered value with the assessor's identity. It is the safer,</w:t>
      </w:r>
      <w:r>
        <w:t xml:space="preserve"> </w:t>
      </w:r>
      <w:r>
        <w:t xml:space="preserve">more auditable, and lower-risk design, and it mirrors the existing</w:t>
      </w:r>
      <w:r>
        <w:t xml:space="preserve"> </w:t>
      </w:r>
      <w:r>
        <w:t xml:space="preserve">"uploaded by assessor" document indicator the Customer already accepted</w:t>
      </w:r>
      <w:r>
        <w:t xml:space="preserve"> </w:t>
      </w:r>
      <w:r>
        <w:t xml:space="preserve">(Feature Verification Checklist §13).</w:t>
      </w:r>
    </w:p>
    <w:p>
      <w:pPr>
        <w:pStyle w:val="FirstParagraph"/>
      </w:pPr>
      <w:r>
        <w:t xml:space="preserve">In summary, an authorised assessor will be able to:</w:t>
      </w:r>
    </w:p>
    <w:p>
      <w:pPr>
        <w:pStyle w:val="Compact"/>
        <w:numPr>
          <w:ilvl w:val="0"/>
          <w:numId w:val="1001"/>
        </w:numPr>
      </w:pPr>
      <w:r>
        <w:t xml:space="preserve">open a nominated application's form</w:t>
      </w:r>
      <w:r>
        <w:t xml:space="preserve"> </w:t>
      </w:r>
      <w:r>
        <w:rPr>
          <w:b/>
          <w:bCs/>
        </w:rPr>
        <w:t xml:space="preserve">in an editable mode</w:t>
      </w:r>
      <w:r>
        <w:t xml:space="preserve"> </w:t>
      </w:r>
      <w:r>
        <w:t xml:space="preserve">from the Admin</w:t>
      </w:r>
      <w:r>
        <w:t xml:space="preserve"> </w:t>
      </w:r>
      <w:r>
        <w:t xml:space="preserve">Console, including after submission;</w:t>
      </w:r>
    </w:p>
    <w:p>
      <w:pPr>
        <w:pStyle w:val="Compact"/>
        <w:numPr>
          <w:ilvl w:val="0"/>
          <w:numId w:val="1001"/>
        </w:numPr>
      </w:pPr>
      <w:r>
        <w:t xml:space="preserve">complete or amend any section of the ten-section form on the applicant's</w:t>
      </w:r>
      <w:r>
        <w:t xml:space="preserve"> </w:t>
      </w:r>
      <w:r>
        <w:t xml:space="preserve">behalf, using the same validation rules the applicant is held to; and</w:t>
      </w:r>
    </w:p>
    <w:p>
      <w:pPr>
        <w:pStyle w:val="Compact"/>
        <w:numPr>
          <w:ilvl w:val="0"/>
          <w:numId w:val="1001"/>
        </w:numPr>
      </w:pPr>
      <w:r>
        <w:t xml:space="preserve">do so under a clear, persistent visual indication that they are editing on</w:t>
      </w:r>
      <w:r>
        <w:t xml:space="preserve"> </w:t>
      </w:r>
      <w:r>
        <w:t xml:space="preserve">the applicant's behalf.</w:t>
      </w:r>
    </w:p>
    <w:p>
      <w:pPr>
        <w:pStyle w:val="FirstParagraph"/>
      </w:pPr>
      <w:r>
        <w:t xml:space="preserve">Every such edit is</w:t>
      </w:r>
      <w:r>
        <w:t xml:space="preserve"> </w:t>
      </w:r>
      <w:r>
        <w:rPr>
          <w:b/>
          <w:bCs/>
        </w:rPr>
        <w:t xml:space="preserve">attributed to the assessor</w:t>
      </w:r>
      <w:r>
        <w:t xml:space="preserve"> </w:t>
      </w:r>
      <w:r>
        <w:t xml:space="preserve">and recorded in the audit</w:t>
      </w:r>
      <w:r>
        <w:t xml:space="preserve"> </w:t>
      </w:r>
      <w:r>
        <w:t xml:space="preserve">trail, and assessor-entered data is</w:t>
      </w:r>
      <w:r>
        <w:t xml:space="preserve"> </w:t>
      </w:r>
      <w:r>
        <w:rPr>
          <w:b/>
          <w:bCs/>
        </w:rPr>
        <w:t xml:space="preserve">visually distinguished</w:t>
      </w:r>
      <w:r>
        <w:t xml:space="preserve"> </w:t>
      </w:r>
      <w:r>
        <w:t xml:space="preserve">from</w:t>
      </w:r>
      <w:r>
        <w:t xml:space="preserve"> </w:t>
      </w:r>
      <w:r>
        <w:t xml:space="preserve">applicant-entered data in the same spirit as the existing document indicator.</w:t>
      </w:r>
    </w:p>
    <w:p>
      <w:r>
        <w:pict>
          <v:rect style="width:0;height:1.5pt" o:hralign="center" o:hrstd="t" o:hr="t"/>
        </w:pict>
      </w:r>
    </w:p>
    <w:bookmarkEnd w:id="11"/>
    <w:bookmarkStart w:id="14" w:name="X57b5f1f18cce0d4552c567509a41085c0af7e3c"/>
    <w:p>
      <w:pPr>
        <w:pStyle w:val="Heading2"/>
      </w:pPr>
      <w:r>
        <w:t xml:space="preserve">4. Scope of work</w:t>
      </w:r>
    </w:p>
    <w:bookmarkStart w:id="12" w:name="X88eb70fa65c0df7b6ed2e0dafb8314434f12b8a"/>
    <w:p>
      <w:pPr>
        <w:pStyle w:val="Heading3"/>
      </w:pPr>
      <w:r>
        <w:t xml:space="preserve">4.1 In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 Assessor edit mode.</w:t>
      </w:r>
      <w:r>
        <w:t xml:space="preserve"> </w:t>
      </w:r>
      <w:r>
        <w:t xml:space="preserve">A new, permission-gated path from the Admin</w:t>
      </w:r>
      <w:r>
        <w:t xml:space="preserve"> </w:t>
      </w:r>
      <w:r>
        <w:t xml:space="preserve">Console application detail view that opens the application's form for editing</w:t>
      </w:r>
      <w:r>
        <w:t xml:space="preserve"> </w:t>
      </w:r>
      <w:r>
        <w:t xml:space="preserve">by an assessor, reusing the existing ten-section form and its validation</w:t>
      </w:r>
      <w:r>
        <w:t xml:space="preserve"> </w:t>
      </w:r>
      <w:r>
        <w:t xml:space="preserve">rather than building a parallel 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 Unlock of the read-only state.</w:t>
      </w:r>
      <w:r>
        <w:t xml:space="preserve"> </w:t>
      </w:r>
      <w:r>
        <w:t xml:space="preserve">Controlled relaxation of the</w:t>
      </w:r>
      <w:r>
        <w:t xml:space="preserve"> </w:t>
      </w:r>
      <w:r>
        <w:t xml:space="preserve">post-submission read-only rule</w:t>
      </w:r>
      <w:r>
        <w:t xml:space="preserve"> </w:t>
      </w:r>
      <w:r>
        <w:rPr>
          <w:b/>
          <w:bCs/>
        </w:rPr>
        <w:t xml:space="preserve">for authorised assessors only</w:t>
      </w:r>
      <w:r>
        <w:t xml:space="preserve">, scoped to a</w:t>
      </w:r>
      <w:r>
        <w:t xml:space="preserve"> </w:t>
      </w:r>
      <w:r>
        <w:t xml:space="preserve">single named application at a time. The form remains read-only to the</w:t>
      </w:r>
      <w:r>
        <w:t xml:space="preserve"> </w:t>
      </w:r>
      <w:r>
        <w:t xml:space="preserve">applicant.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(c) Permission and access control.</w:t>
      </w:r>
      <w:r>
        <w:t xml:space="preserve"> </w:t>
      </w:r>
      <w:r>
        <w:t xml:space="preserve">The capability is restricted to the</w:t>
      </w:r>
      <w:r>
        <w:t xml:space="preserve"> </w:t>
      </w:r>
      <w:r>
        <w:rPr>
          <w:b/>
          <w:bCs/>
        </w:rPr>
        <w:t xml:space="preserve">ASSESSOR</w:t>
      </w:r>
      <w:r>
        <w:t xml:space="preserve"> </w:t>
      </w:r>
      <w:r>
        <w:t xml:space="preserve">role (and above);</w:t>
      </w:r>
      <w:r>
        <w:t xml:space="preserve"> </w:t>
      </w:r>
      <w:r>
        <w:rPr>
          <w:b/>
          <w:bCs/>
        </w:rPr>
        <w:t xml:space="preserve">VIEWER</w:t>
      </w:r>
      <w:r>
        <w:t xml:space="preserve"> </w:t>
      </w:r>
      <w:r>
        <w:t xml:space="preserve">(read-only) accounts cannot edit.</w:t>
      </w:r>
      <w:r>
        <w:t xml:space="preserve"> </w:t>
      </w:r>
      <w:r>
        <w:t xml:space="preserve">Access is enforced at the server, including at the database row-security</w:t>
      </w:r>
      <w:r>
        <w:t xml:space="preserve"> </w:t>
      </w:r>
      <w:r>
        <w:t xml:space="preserve">layer, so an assessor cannot reach an application they are not entitled 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(d) Provenance and audit.</w:t>
      </w:r>
      <w:r>
        <w:t xml:space="preserve"> </w:t>
      </w:r>
      <w:r>
        <w:t xml:space="preserve">Every field or section saved by an assessor on</w:t>
      </w:r>
      <w:r>
        <w:t xml:space="preserve"> </w:t>
      </w:r>
      <w:r>
        <w:t xml:space="preserve">behalf of an applicant is attributed to that assessor, written to the audit</w:t>
      </w:r>
      <w:r>
        <w:t xml:space="preserve"> </w:t>
      </w:r>
      <w:r>
        <w:t xml:space="preserve">trail as a distinct action, and</w:t>
      </w:r>
      <w:r>
        <w:t xml:space="preserve"> </w:t>
      </w:r>
      <w:r>
        <w:rPr>
          <w:b/>
          <w:bCs/>
        </w:rPr>
        <w:t xml:space="preserve">visually flagged</w:t>
      </w:r>
      <w:r>
        <w:t xml:space="preserve"> </w:t>
      </w:r>
      <w:r>
        <w:t xml:space="preserve">in the form as</w:t>
      </w:r>
      <w:r>
        <w:t xml:space="preserve"> </w:t>
      </w:r>
      <w:r>
        <w:t xml:space="preserve">"entered by assessor" (consistent with the existing "uploaded by assessor"</w:t>
      </w:r>
      <w:r>
        <w:t xml:space="preserve"> </w:t>
      </w:r>
      <w:r>
        <w:t xml:space="preserve">document indicator).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(e) Status and notification behaviour.</w:t>
      </w:r>
      <w:r>
        <w:t xml:space="preserve"> </w:t>
      </w:r>
      <w:r>
        <w:t xml:space="preserve">Defined, predictable interaction</w:t>
      </w:r>
      <w:r>
        <w:t xml:space="preserve"> </w:t>
      </w:r>
      <w:r>
        <w:t xml:space="preserve">with the existing application status / paused / missing-documents model, and</w:t>
      </w:r>
      <w:r>
        <w:t xml:space="preserve"> </w:t>
      </w:r>
      <w:r>
        <w:t xml:space="preserve">a single agreed decision on whether the applicant is notified when an</w:t>
      </w:r>
      <w:r>
        <w:t xml:space="preserve"> </w:t>
      </w:r>
      <w:r>
        <w:t xml:space="preserve">assessor edits their application (see Decision D-CR1-1 in §9).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(f) Tests.</w:t>
      </w:r>
      <w:r>
        <w:t xml:space="preserve"> </w:t>
      </w:r>
      <w:r>
        <w:t xml:space="preserve">Automated test coverage for the new permission path, the</w:t>
      </w:r>
      <w:r>
        <w:t xml:space="preserve"> </w:t>
      </w:r>
      <w:r>
        <w:t xml:space="preserve">row-security rules, and the audit/provenance behaviour, consistent with the</w:t>
      </w:r>
      <w:r>
        <w:t xml:space="preserve"> </w:t>
      </w:r>
      <w:r>
        <w:t xml:space="preserve">Platform's existing test suite.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(g) Documentation.</w:t>
      </w:r>
      <w:r>
        <w:t xml:space="preserve"> </w:t>
      </w:r>
      <w:r>
        <w:t xml:space="preserve">Update of the Admin &amp; Assessor Guide and a new line</w:t>
      </w:r>
      <w:r>
        <w:t xml:space="preserve"> </w:t>
      </w:r>
      <w:r>
        <w:t xml:space="preserve">item in the Feature Verification Checklist so the capability can be signed</w:t>
      </w:r>
      <w:r>
        <w:t xml:space="preserve"> </w:t>
      </w:r>
      <w:r>
        <w:t xml:space="preserve">off in the same way as the rest of the Platform.</w:t>
      </w:r>
    </w:p>
    <w:bookmarkEnd w:id="12"/>
    <w:bookmarkStart w:id="13" w:name="X5ae3bf1ba2e7eeb796e015fe3ea0cbc5b5bd02a"/>
    <w:p>
      <w:pPr>
        <w:pStyle w:val="Heading3"/>
      </w:pPr>
      <w:r>
        <w:t xml:space="preserve">4.2 Out of scope</w:t>
      </w:r>
    </w:p>
    <w:p>
      <w:pPr>
        <w:pStyle w:val="FirstParagraph"/>
      </w:pPr>
      <w:r>
        <w:t xml:space="preserve">The following are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included in this CR and would be quoted</w:t>
      </w:r>
      <w:r>
        <w:t xml:space="preserve"> </w:t>
      </w:r>
      <w:r>
        <w:t xml:space="preserve">separately if required:</w:t>
      </w:r>
    </w:p>
    <w:p>
      <w:pPr>
        <w:pStyle w:val="Compact"/>
        <w:numPr>
          <w:ilvl w:val="0"/>
          <w:numId w:val="1003"/>
        </w:numPr>
      </w:pPr>
      <w:r>
        <w:t xml:space="preserve">True session impersonation (assessor assuming the applicant's login/identity).</w:t>
      </w:r>
    </w:p>
    <w:p>
      <w:pPr>
        <w:pStyle w:val="Compact"/>
        <w:numPr>
          <w:ilvl w:val="0"/>
          <w:numId w:val="1003"/>
        </w:numPr>
      </w:pPr>
      <w:r>
        <w:t xml:space="preserve">A second-parent or multi-user login, or any change to the single-lead-applicant</w:t>
      </w:r>
      <w:r>
        <w:t xml:space="preserve"> </w:t>
      </w:r>
      <w:r>
        <w:t xml:space="preserve">model (PRD AP-02).</w:t>
      </w:r>
    </w:p>
    <w:p>
      <w:pPr>
        <w:pStyle w:val="Compact"/>
        <w:numPr>
          <w:ilvl w:val="0"/>
          <w:numId w:val="1003"/>
        </w:numPr>
      </w:pPr>
      <w:r>
        <w:t xml:space="preserve">A dedicated postal/telephone</w:t>
      </w:r>
      <w:r>
        <w:t xml:space="preserve"> </w:t>
      </w:r>
      <w:r>
        <w:rPr>
          <w:b/>
          <w:bCs/>
        </w:rPr>
        <w:t xml:space="preserve">intake workflow</w:t>
      </w:r>
      <w:r>
        <w:t xml:space="preserve"> </w:t>
      </w:r>
      <w:r>
        <w:t xml:space="preserve">(queueing, batch entry,</w:t>
      </w:r>
      <w:r>
        <w:t xml:space="preserve"> </w:t>
      </w:r>
      <w:r>
        <w:t xml:space="preserve">call-handling screens) beyond the single-application edit path in §4.1.</w:t>
      </w:r>
    </w:p>
    <w:p>
      <w:pPr>
        <w:pStyle w:val="Compact"/>
        <w:numPr>
          <w:ilvl w:val="0"/>
          <w:numId w:val="1003"/>
        </w:numPr>
      </w:pPr>
      <w:r>
        <w:t xml:space="preserve">Any change to the four-stage calculation model or the assessor's separate</w:t>
      </w:r>
      <w:r>
        <w:t xml:space="preserve"> </w:t>
      </w:r>
      <w:r>
        <w:t xml:space="preserve">assessment data entry (these remain as accepted; this CR concerns the</w:t>
      </w:r>
      <w:r>
        <w:t xml:space="preserve"> </w:t>
      </w:r>
      <w:r>
        <w:rPr>
          <w:b/>
          <w:bCs/>
        </w:rPr>
        <w:t xml:space="preserve">applicant form</w:t>
      </w:r>
      <w:r>
        <w:t xml:space="preserve">, not the assessment calculation).</w:t>
      </w:r>
    </w:p>
    <w:p>
      <w:pPr>
        <w:pStyle w:val="Compact"/>
        <w:numPr>
          <w:ilvl w:val="0"/>
          <w:numId w:val="1003"/>
        </w:numPr>
      </w:pPr>
      <w:r>
        <w:t xml:space="preserve">Applicant e-signature / re-declaration capture on an assessor-completed form,</w:t>
      </w:r>
      <w:r>
        <w:t xml:space="preserve"> </w:t>
      </w:r>
      <w:r>
        <w:t xml:space="preserve">beyond the single notification decision in D-CR1-1.</w:t>
      </w:r>
    </w:p>
    <w:p>
      <w:pPr>
        <w:pStyle w:val="Compact"/>
        <w:numPr>
          <w:ilvl w:val="0"/>
          <w:numId w:val="1003"/>
        </w:numPr>
      </w:pPr>
      <w:r>
        <w:t xml:space="preserve">Migration or bulk back-entry of historical paper applications.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a73c459059657b2dc3f45c90dd72bfe4a10a56b"/>
    <w:p>
      <w:pPr>
        <w:pStyle w:val="Heading2"/>
      </w:pPr>
      <w:r>
        <w:t xml:space="preserve">5. Acceptance criteria</w:t>
      </w:r>
    </w:p>
    <w:p>
      <w:pPr>
        <w:pStyle w:val="FirstParagraph"/>
      </w:pPr>
      <w:r>
        <w:t xml:space="preserve">The change is accepted when, on the staging environment and using an</w:t>
      </w:r>
      <w:r>
        <w:t xml:space="preserve"> </w:t>
      </w:r>
      <w:r>
        <w:rPr>
          <w:b/>
          <w:bCs/>
        </w:rPr>
        <w:t xml:space="preserve">ASSESSOR</w:t>
      </w:r>
      <w:r>
        <w:t xml:space="preserve"> </w:t>
      </w:r>
      <w:r>
        <w:t xml:space="preserve">account:</w:t>
      </w:r>
    </w:p>
    <w:p>
      <w:pPr>
        <w:pStyle w:val="Compact"/>
        <w:numPr>
          <w:ilvl w:val="0"/>
          <w:numId w:val="1004"/>
        </w:numPr>
      </w:pPr>
      <w:r>
        <w:t xml:space="preserve">An assessor can open a submitted application and edit any of its ten sections, with the same validation the applicant experiences.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VIEWER</w:t>
      </w:r>
      <w:r>
        <w:t xml:space="preserve"> </w:t>
      </w:r>
      <w:r>
        <w:t xml:space="preserve">(read-only) account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access edit mode.</w:t>
      </w:r>
    </w:p>
    <w:p>
      <w:pPr>
        <w:pStyle w:val="Compact"/>
        <w:numPr>
          <w:ilvl w:val="0"/>
          <w:numId w:val="1006"/>
        </w:numPr>
      </w:pPr>
      <w:r>
        <w:t xml:space="preserve">The application remains</w:t>
      </w:r>
      <w:r>
        <w:t xml:space="preserve"> </w:t>
      </w:r>
      <w:r>
        <w:rPr>
          <w:b/>
          <w:bCs/>
        </w:rPr>
        <w:t xml:space="preserve">read-only to the applicant</w:t>
      </w:r>
      <w:r>
        <w:t xml:space="preserve"> </w:t>
      </w:r>
      <w:r>
        <w:t xml:space="preserve">throughout.</w:t>
      </w:r>
    </w:p>
    <w:p>
      <w:pPr>
        <w:pStyle w:val="Compact"/>
        <w:numPr>
          <w:ilvl w:val="0"/>
          <w:numId w:val="1007"/>
        </w:numPr>
      </w:pPr>
      <w:r>
        <w:t xml:space="preserve">While editing, the assessor sees a</w:t>
      </w:r>
      <w:r>
        <w:t xml:space="preserve"> </w:t>
      </w:r>
      <w:r>
        <w:rPr>
          <w:b/>
          <w:bCs/>
        </w:rPr>
        <w:t xml:space="preserve">clear, persistent indication</w:t>
      </w:r>
      <w:r>
        <w:t xml:space="preserve"> </w:t>
      </w:r>
      <w:r>
        <w:t xml:space="preserve">that they are acting on the applicant's behalf.</w:t>
      </w:r>
    </w:p>
    <w:p>
      <w:pPr>
        <w:pStyle w:val="Compact"/>
        <w:numPr>
          <w:ilvl w:val="0"/>
          <w:numId w:val="1008"/>
        </w:numPr>
      </w:pPr>
      <w:r>
        <w:t xml:space="preserve">Fields/sections saved by the assessor are</w:t>
      </w:r>
      <w:r>
        <w:t xml:space="preserve"> </w:t>
      </w:r>
      <w:r>
        <w:rPr>
          <w:b/>
          <w:bCs/>
        </w:rPr>
        <w:t xml:space="preserve">visually distinguished</w:t>
      </w:r>
      <w:r>
        <w:t xml:space="preserve"> </w:t>
      </w:r>
      <w:r>
        <w:t xml:space="preserve">from applicant-entered data.</w:t>
      </w:r>
    </w:p>
    <w:p>
      <w:pPr>
        <w:pStyle w:val="Compact"/>
        <w:numPr>
          <w:ilvl w:val="0"/>
          <w:numId w:val="1009"/>
        </w:numPr>
      </w:pPr>
      <w:r>
        <w:t xml:space="preserve">Each assessor edit appears in the</w:t>
      </w:r>
      <w:r>
        <w:t xml:space="preserve"> </w:t>
      </w:r>
      <w:r>
        <w:rPr>
          <w:b/>
          <w:bCs/>
        </w:rPr>
        <w:t xml:space="preserve">audit trail</w:t>
      </w:r>
      <w:r>
        <w:t xml:space="preserve">, attributed to the assessor, with a timestamp.</w:t>
      </w:r>
    </w:p>
    <w:p>
      <w:pPr>
        <w:pStyle w:val="Compact"/>
        <w:numPr>
          <w:ilvl w:val="0"/>
          <w:numId w:val="1010"/>
        </w:numPr>
      </w:pPr>
      <w:r>
        <w:t xml:space="preserve">An assessor cannot reach or edit an application they are not entitled to (server- and row-security-enforced).</w:t>
      </w:r>
    </w:p>
    <w:p>
      <w:pPr>
        <w:pStyle w:val="Compact"/>
        <w:numPr>
          <w:ilvl w:val="0"/>
          <w:numId w:val="1011"/>
        </w:numPr>
      </w:pPr>
      <w:r>
        <w:t xml:space="preserve">The agreed notification behaviour (D-CR1-1) is implemented as decided.</w:t>
      </w:r>
    </w:p>
    <w:p>
      <w:pPr>
        <w:pStyle w:val="Compact"/>
        <w:numPr>
          <w:ilvl w:val="0"/>
          <w:numId w:val="1012"/>
        </w:numPr>
      </w:pPr>
      <w:r>
        <w:t xml:space="preserve">The Admin &amp; Assessor Guide and the Feature Verification Checklist are updated to cover the capability.</w:t>
      </w:r>
    </w:p>
    <w:p>
      <w:pPr>
        <w:pStyle w:val="FirstParagraph"/>
      </w:pPr>
      <w:r>
        <w:t xml:space="preserve">These criteria will be folded into the Feature Verification Checklist as a new</w:t>
      </w:r>
      <w:r>
        <w:t xml:space="preserve"> </w:t>
      </w:r>
      <w:r>
        <w:t xml:space="preserve">section so the Customer signs the change off using the established process.</w:t>
      </w:r>
    </w:p>
    <w:p>
      <w:r>
        <w:pict>
          <v:rect style="width:0;height:1.5pt" o:hralign="center" o:hrstd="t" o:hr="t"/>
        </w:pict>
      </w:r>
    </w:p>
    <w:bookmarkEnd w:id="15"/>
    <w:bookmarkStart w:id="16" w:name="Xaf850d74ffb1e41664b7b161b6ad5e623e39420"/>
    <w:p>
      <w:pPr>
        <w:pStyle w:val="Heading2"/>
      </w:pPr>
      <w:r>
        <w:t xml:space="preserve">6. Charges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CR-001 Assessor edit-on-behalf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£600 (six hundred pounds sterling)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The fee is a</w:t>
      </w:r>
      <w:r>
        <w:t xml:space="preserve"> </w:t>
      </w:r>
      <w:r>
        <w:rPr>
          <w:b/>
          <w:bCs/>
        </w:rPr>
        <w:t xml:space="preserve">fixed price</w:t>
      </w:r>
      <w:r>
        <w:t xml:space="preserve"> </w:t>
      </w:r>
      <w:r>
        <w:t xml:space="preserve">for the scope set out in §4.1, offered in</w:t>
      </w:r>
      <w:r>
        <w:t xml:space="preserve"> </w:t>
      </w:r>
      <w:r>
        <w:t xml:space="preserve">preference to time-and-materials against the indicative rate card in MSA</w:t>
      </w:r>
      <w:r>
        <w:t xml:space="preserve"> </w:t>
      </w:r>
      <w:r>
        <w:t xml:space="preserve">Schedule 2 §4.</w:t>
      </w:r>
    </w:p>
    <w:p>
      <w:pPr>
        <w:pStyle w:val="Compact"/>
        <w:numPr>
          <w:ilvl w:val="0"/>
          <w:numId w:val="1013"/>
        </w:numPr>
      </w:pPr>
      <w:r>
        <w:t xml:space="preserve">The fee is stated</w:t>
      </w:r>
      <w:r>
        <w:t xml:space="preserve"> </w:t>
      </w:r>
      <w:r>
        <w:rPr>
          <w:b/>
          <w:bCs/>
        </w:rPr>
        <w:t xml:space="preserve">net of VAT</w:t>
      </w:r>
      <w:r>
        <w:t xml:space="preserve">, on the basis described in MSA clause 11.5</w:t>
      </w:r>
      <w:r>
        <w:t xml:space="preserve"> </w:t>
      </w:r>
      <w:r>
        <w:t xml:space="preserve">(the Supplier is not registered for UK VAT as at the Effective Date; reverse</w:t>
      </w:r>
      <w:r>
        <w:t xml:space="preserve"> </w:t>
      </w:r>
      <w:r>
        <w:t xml:space="preserve">charge applies where relevant).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Invoicing:</w:t>
      </w:r>
      <w:r>
        <w:t xml:space="preserve"> </w:t>
      </w:r>
      <w:r>
        <w:t xml:space="preserve">on Customer acceptance of the change (per §5), payable within</w:t>
      </w:r>
      <w:r>
        <w:t xml:space="preserve"> </w:t>
      </w:r>
      <w:r>
        <w:rPr>
          <w:b/>
          <w:bCs/>
        </w:rPr>
        <w:t xml:space="preserve">thirty (30) days</w:t>
      </w:r>
      <w:r>
        <w:t xml:space="preserve"> </w:t>
      </w:r>
      <w:r>
        <w:t xml:space="preserve">of the date of invoice, consistent with MSA clause 11.</w:t>
      </w:r>
    </w:p>
    <w:p>
      <w:pPr>
        <w:pStyle w:val="BlockText"/>
      </w:pPr>
      <w:r>
        <w:rPr>
          <w:b/>
          <w:bCs/>
        </w:rPr>
        <w:t xml:space="preserve">Drafting note, pricing basis.</w:t>
      </w:r>
      <w:r>
        <w:t xml:space="preserve"> </w:t>
      </w:r>
      <w:r>
        <w:t xml:space="preserve">The Build Fee (£5,000) and Annual Licence</w:t>
      </w:r>
      <w:r>
        <w:t xml:space="preserve"> </w:t>
      </w:r>
      <w:r>
        <w:t xml:space="preserve">Fee (£7,000) are priced as a proportion of system scope and value, reflecting</w:t>
      </w:r>
      <w:r>
        <w:t xml:space="preserve"> </w:t>
      </w:r>
      <w:r>
        <w:t xml:space="preserve">AI-assisted delivery rather than team-based effort. This CR is priced on the</w:t>
      </w:r>
      <w:r>
        <w:t xml:space="preserve"> </w:t>
      </w:r>
      <w:r>
        <w:t xml:space="preserve">same logic: a modest share of total system scope, with a change-request</w:t>
      </w:r>
      <w:r>
        <w:t xml:space="preserve"> </w:t>
      </w:r>
      <w:r>
        <w:t xml:space="preserve">uplift over a strict pro-rata because it is a discrete piece of work that</w:t>
      </w:r>
      <w:r>
        <w:t xml:space="preserve"> </w:t>
      </w:r>
      <w:r>
        <w:t xml:space="preserve">(a) carries none of the shared overhead of the bundled build, (b) touches the</w:t>
      </w:r>
      <w:r>
        <w:t xml:space="preserve"> </w:t>
      </w:r>
      <w:r>
        <w:t xml:space="preserve">three highest-risk layers (authentication, row-level security, and the audit</w:t>
      </w:r>
      <w:r>
        <w:t xml:space="preserve"> </w:t>
      </w:r>
      <w:r>
        <w:t xml:space="preserve">trail), and (c) requires the design judgement to reverse an accepted policy</w:t>
      </w:r>
      <w:r>
        <w:t xml:space="preserve"> </w:t>
      </w:r>
      <w:r>
        <w:t xml:space="preserve">safely. £600 is the agreed fixed price on that basis.</w:t>
      </w:r>
    </w:p>
    <w:p>
      <w:r>
        <w:pict>
          <v:rect style="width:0;height:1.5pt" o:hralign="center" o:hrstd="t" o:hr="t"/>
        </w:pict>
      </w:r>
    </w:p>
    <w:bookmarkEnd w:id="16"/>
    <w:bookmarkStart w:id="17" w:name="X49a12fd56363573f20c540f7d8cb8a45de64738"/>
    <w:p>
      <w:pPr>
        <w:pStyle w:val="Heading2"/>
      </w:pPr>
      <w:r>
        <w:t xml:space="preserve">7. Timeline</w:t>
      </w:r>
    </w:p>
    <w:p>
      <w:pPr>
        <w:pStyle w:val="BlockText"/>
      </w:pPr>
      <w:r>
        <w:rPr>
          <w:b/>
          <w:bCs/>
        </w:rPr>
        <w:t xml:space="preserve">Drafting note:</w:t>
      </w:r>
      <w:r>
        <w:t xml:space="preserve"> </w:t>
      </w:r>
      <w:r>
        <w:t xml:space="preserve">confirm against the current branch (the</w:t>
      </w:r>
      <w:r>
        <w:t xml:space="preserve"> </w:t>
      </w:r>
      <w:r>
        <w:t xml:space="preserve">missing-documents-workflow is in flight) and the next maintenance cycle.</w:t>
      </w:r>
    </w:p>
    <w:p>
      <w:pPr>
        <w:pStyle w:val="Compact"/>
        <w:numPr>
          <w:ilvl w:val="0"/>
          <w:numId w:val="1014"/>
        </w:numPr>
      </w:pPr>
      <w:r>
        <w:t xml:space="preserve">Indicative delivery: within</w:t>
      </w:r>
      <w:r>
        <w:t xml:space="preserve"> </w:t>
      </w:r>
      <w:r>
        <w:rPr>
          <w:b/>
          <w:bCs/>
        </w:rPr>
        <w:t xml:space="preserve">[X] Business Days</w:t>
      </w:r>
      <w:r>
        <w:t xml:space="preserve"> </w:t>
      </w:r>
      <w:r>
        <w:t xml:space="preserve">of written approval,</w:t>
      </w:r>
      <w:r>
        <w:t xml:space="preserve"> </w:t>
      </w:r>
      <w:r>
        <w:t xml:space="preserve">delivered to the</w:t>
      </w:r>
      <w:r>
        <w:t xml:space="preserve"> </w:t>
      </w:r>
      <w:r>
        <w:rPr>
          <w:b/>
          <w:bCs/>
        </w:rPr>
        <w:t xml:space="preserve">staging</w:t>
      </w:r>
      <w:r>
        <w:t xml:space="preserve"> </w:t>
      </w:r>
      <w:r>
        <w:t xml:space="preserve">environment for the Customer's acceptance.</w:t>
      </w:r>
    </w:p>
    <w:p>
      <w:pPr>
        <w:pStyle w:val="Compact"/>
        <w:numPr>
          <w:ilvl w:val="0"/>
          <w:numId w:val="1014"/>
        </w:numPr>
      </w:pPr>
      <w:r>
        <w:t xml:space="preserve">Promotion to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follows Customer acceptance, under the normal</w:t>
      </w:r>
      <w:r>
        <w:t xml:space="preserve"> </w:t>
      </w:r>
      <w:r>
        <w:t xml:space="preserve">release process, at a time agreed with the Customer.</w:t>
      </w:r>
    </w:p>
    <w:p>
      <w:r>
        <w:pict>
          <v:rect style="width:0;height:1.5pt" o:hralign="center" o:hrstd="t" o:hr="t"/>
        </w:pict>
      </w:r>
    </w:p>
    <w:bookmarkEnd w:id="17"/>
    <w:bookmarkStart w:id="18" w:name="Xb22d904ec36eeb9a5db50a4b12944956c691e2f"/>
    <w:p>
      <w:pPr>
        <w:pStyle w:val="Heading2"/>
      </w:pPr>
      <w:r>
        <w:t xml:space="preserve">8. Assumptions and dependencies</w:t>
      </w:r>
    </w:p>
    <w:p>
      <w:pPr>
        <w:pStyle w:val="Compact"/>
        <w:numPr>
          <w:ilvl w:val="0"/>
          <w:numId w:val="1015"/>
        </w:numPr>
      </w:pPr>
      <w:r>
        <w:t xml:space="preserve">The existing ten-section application form, its validation, the audit trail,</w:t>
      </w:r>
      <w:r>
        <w:t xml:space="preserve"> </w:t>
      </w:r>
      <w:r>
        <w:t xml:space="preserve">and the role model (ASSESSOR / VIEWER) are reused as the basis for this work;</w:t>
      </w:r>
      <w:r>
        <w:t xml:space="preserve"> </w:t>
      </w:r>
      <w:r>
        <w:t xml:space="preserve">no change to the calculation engine is required.</w:t>
      </w:r>
    </w:p>
    <w:p>
      <w:pPr>
        <w:pStyle w:val="Compact"/>
        <w:numPr>
          <w:ilvl w:val="0"/>
          <w:numId w:val="1015"/>
        </w:numPr>
      </w:pPr>
      <w:r>
        <w:t xml:space="preserve">Delivery follows the standard branch → staging → production workflow; the</w:t>
      </w:r>
      <w:r>
        <w:t xml:space="preserve"> </w:t>
      </w:r>
      <w:r>
        <w:t xml:space="preserve">change is accepted on staging before any production promotion.</w:t>
      </w:r>
    </w:p>
    <w:p>
      <w:pPr>
        <w:pStyle w:val="Compact"/>
        <w:numPr>
          <w:ilvl w:val="0"/>
          <w:numId w:val="1015"/>
        </w:numPr>
      </w:pPr>
      <w:r>
        <w:t xml:space="preserve">The Customer provides a timely decision on D-CR1-1 (§9). Pricing assumes the</w:t>
      </w:r>
      <w:r>
        <w:t xml:space="preserve"> </w:t>
      </w:r>
      <w:r>
        <w:t xml:space="preserve">single notification decision described there; a full applicant</w:t>
      </w:r>
      <w:r>
        <w:t xml:space="preserve"> </w:t>
      </w:r>
      <w:r>
        <w:t xml:space="preserve">re-declaration / e-signature flow is out of scope (§4.2) and would be a</w:t>
      </w:r>
      <w:r>
        <w:t xml:space="preserve"> </w:t>
      </w:r>
      <w:r>
        <w:t xml:space="preserve">separate CR.</w:t>
      </w:r>
    </w:p>
    <w:p>
      <w:pPr>
        <w:pStyle w:val="Compact"/>
        <w:numPr>
          <w:ilvl w:val="0"/>
          <w:numId w:val="1015"/>
        </w:numPr>
      </w:pPr>
      <w:r>
        <w:t xml:space="preserve">No change to infrastructure, vendors, or the Annual Licence Fee arises from</w:t>
      </w:r>
      <w:r>
        <w:t xml:space="preserve"> </w:t>
      </w:r>
      <w:r>
        <w:t xml:space="preserve">this CR.</w:t>
      </w:r>
    </w:p>
    <w:p>
      <w:r>
        <w:pict>
          <v:rect style="width:0;height:1.5pt" o:hralign="center" o:hrstd="t" o:hr="t"/>
        </w:pict>
      </w:r>
    </w:p>
    <w:bookmarkEnd w:id="18"/>
    <w:bookmarkStart w:id="19" w:name="X320eb4943102a0464c765cc28bd53b228baa958"/>
    <w:p>
      <w:pPr>
        <w:pStyle w:val="Heading2"/>
      </w:pPr>
      <w:r>
        <w:t xml:space="preserve">9. Open decision for the Customer</w:t>
      </w:r>
    </w:p>
    <w:p>
      <w:pPr>
        <w:pStyle w:val="FirstParagraph"/>
      </w:pPr>
      <w:r>
        <w:rPr>
          <w:b/>
          <w:bCs/>
        </w:rPr>
        <w:t xml:space="preserve">D-CR1-1, Applicant notification on assessor edit.</w:t>
      </w:r>
      <w:r>
        <w:t xml:space="preserve"> </w:t>
      </w:r>
      <w:r>
        <w:t xml:space="preserve">When an assessor edits</w:t>
      </w:r>
      <w:r>
        <w:t xml:space="preserve"> </w:t>
      </w:r>
      <w:r>
        <w:t xml:space="preserve">an application on an applicant's behalf, should the applicant be:</w:t>
      </w:r>
    </w:p>
    <w:p>
      <w:pPr>
        <w:pStyle w:val="Compact"/>
        <w:numPr>
          <w:ilvl w:val="0"/>
          <w:numId w:val="1016"/>
        </w:numPr>
      </w:pPr>
      <w:r>
        <w:t xml:space="preserve">(a)</w:t>
      </w:r>
      <w:r>
        <w:t xml:space="preserve"> </w:t>
      </w:r>
      <w:r>
        <w:rPr>
          <w:b/>
          <w:bCs/>
        </w:rPr>
        <w:t xml:space="preserve">not notified</w:t>
      </w:r>
      <w:r>
        <w:t xml:space="preserve"> </w:t>
      </w:r>
      <w:r>
        <w:t xml:space="preserve">(assessor edits silently; audit trail is the record); or</w:t>
      </w:r>
    </w:p>
    <w:p>
      <w:pPr>
        <w:pStyle w:val="Compact"/>
        <w:numPr>
          <w:ilvl w:val="0"/>
          <w:numId w:val="1016"/>
        </w:numPr>
      </w:pPr>
      <w:r>
        <w:t xml:space="preserve">(b)</w:t>
      </w:r>
      <w:r>
        <w:t xml:space="preserve"> </w:t>
      </w:r>
      <w:r>
        <w:rPr>
          <w:b/>
          <w:bCs/>
        </w:rPr>
        <w:t xml:space="preserve">notified by email</w:t>
      </w:r>
      <w:r>
        <w:t xml:space="preserve"> </w:t>
      </w:r>
      <w:r>
        <w:t xml:space="preserve">that their application was updated by the bursary</w:t>
      </w:r>
      <w:r>
        <w:t xml:space="preserve"> </w:t>
      </w:r>
      <w:r>
        <w:t xml:space="preserve">team on their behalf.</w:t>
      </w:r>
    </w:p>
    <w:p>
      <w:pPr>
        <w:pStyle w:val="BlockText"/>
      </w:pPr>
      <w:r>
        <w:rPr>
          <w:b/>
          <w:bCs/>
        </w:rPr>
        <w:t xml:space="preserve">Drafting note:</w:t>
      </w:r>
      <w:r>
        <w:t xml:space="preserve"> </w:t>
      </w:r>
      <w:r>
        <w:t xml:space="preserve">the Supplier's recommendation is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for transparency</w:t>
      </w:r>
      <w:r>
        <w:t xml:space="preserve"> </w:t>
      </w:r>
      <w:r>
        <w:t xml:space="preserve">and GDPR good practice (the applicant remains the data subject of the form),</w:t>
      </w:r>
      <w:r>
        <w:t xml:space="preserve"> </w:t>
      </w:r>
      <w:r>
        <w:t xml:space="preserve">implemented as a single templated email reusing the existing email</w:t>
      </w:r>
      <w:r>
        <w:t xml:space="preserve"> </w:t>
      </w:r>
      <w:r>
        <w:t xml:space="preserve">infrastructure. This is included within the £600 fixed price. Anything beyond</w:t>
      </w:r>
      <w:r>
        <w:t xml:space="preserve"> </w:t>
      </w:r>
      <w:r>
        <w:t xml:space="preserve">a single notification (for example requiring the applicant to review and</w:t>
      </w:r>
      <w:r>
        <w:t xml:space="preserve"> </w:t>
      </w:r>
      <w:r>
        <w:t xml:space="preserve">re-confirm an assessor-completed form) is out of scope (§4.2).</w:t>
      </w:r>
    </w:p>
    <w:p>
      <w:r>
        <w:pict>
          <v:rect style="width:0;height:1.5pt" o:hralign="center" o:hrstd="t" o:hr="t"/>
        </w:pict>
      </w:r>
    </w:p>
    <w:bookmarkEnd w:id="19"/>
    <w:bookmarkStart w:id="20" w:name="X00c035fb3d6dd748df72758c06c4bb073d3d212"/>
    <w:p>
      <w:pPr>
        <w:pStyle w:val="Heading2"/>
      </w:pPr>
      <w:r>
        <w:t xml:space="preserve">10. Signatures</w:t>
      </w:r>
    </w:p>
    <w:p>
      <w:pPr>
        <w:pStyle w:val="FirstParagraph"/>
      </w:pPr>
      <w:r>
        <w:t xml:space="preserve">On approval, this document constitutes the statement of work required by MSA</w:t>
      </w:r>
      <w:r>
        <w:t xml:space="preserve"> </w:t>
      </w:r>
      <w:r>
        <w:t xml:space="preserve">clause 9.5(d) and is governed by the terms of the MSA.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2026-06-12T14:58:47Z</dcterms:created>
  <dcterms:modified xsi:type="dcterms:W3CDTF">2026-06-12T14:58:47Z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