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00" w:lineRule="auto"/>
        <w:jc w:val="right"/>
        <w:bidi/>
      </w:pPr>
      <w:r>
        <w:rPr>
          <w:rFonts w:ascii="Arial" w:hAnsi="Arial"/>
          <w:b/>
          <w:sz w:val="40"/>
          <w:rtl/>
        </w:rPr>
        <w:t>تقرير داخلي حول الموارد البشرية والتحول الرقمي</w:t>
      </w:r>
    </w:p>
    <w:p>
      <w:pPr>
        <w:spacing w:after="360" w:line="300" w:lineRule="auto"/>
        <w:jc w:val="right"/>
        <w:bidi/>
      </w:pPr>
      <w:r>
        <w:rPr>
          <w:rFonts w:ascii="Arial" w:hAnsi="Arial"/>
          <w:b/>
          <w:sz w:val="26"/>
          <w:rtl/>
        </w:rPr>
        <w:t>شركة الأفق للخدمات الرقمية - سنة 2026</w:t>
      </w:r>
    </w:p>
    <w:p>
      <w:pPr>
        <w:spacing w:after="120" w:line="300" w:lineRule="auto"/>
        <w:jc w:val="right"/>
        <w:bidi/>
      </w:pPr>
      <w:r>
        <w:rPr>
          <w:rFonts w:ascii="Arial" w:hAnsi="Arial"/>
          <w:b/>
          <w:sz w:val="30"/>
          <w:rtl/>
        </w:rPr>
        <w:t>1. مقدمة</w:t>
      </w:r>
    </w:p>
    <w:p>
      <w:pPr>
        <w:spacing w:after="240" w:line="300" w:lineRule="auto"/>
        <w:jc w:val="right"/>
        <w:bidi/>
      </w:pPr>
      <w:r>
        <w:rPr>
          <w:rFonts w:ascii="Arial" w:hAnsi="Arial"/>
          <w:b w:val="0"/>
          <w:sz w:val="24"/>
          <w:rtl/>
        </w:rPr>
        <w:t>أعدت إدارة الموارد البشرية هذا التقرير لتقديم صورة شاملة عن وضع الشركة خلال سنة 2026، مع التركيز على تنظيم العمل، التوظيف، التكوين، الأجور، العمل عن بعد، والتحول الرقمي. يبلغ عدد العاملين في الشركة 128 موظفاً موزعين بين الإدارة، التطوير البرمجي، الدعم التقني، المبيعات، المالية والموارد البشرية. يقع المقر الرئيسي في الدار البيضاء، بينما يعمل عدد محدود من الموظفين من الرباط وطنجة وفق نظام عمل هجين.</w:t>
      </w:r>
    </w:p>
    <w:p>
      <w:pPr>
        <w:spacing w:after="120" w:line="300" w:lineRule="auto"/>
        <w:jc w:val="right"/>
        <w:bidi/>
      </w:pPr>
      <w:r>
        <w:rPr>
          <w:rFonts w:ascii="Arial" w:hAnsi="Arial"/>
          <w:b/>
          <w:sz w:val="30"/>
          <w:rtl/>
        </w:rPr>
        <w:t>2. تنظيم العمل</w:t>
      </w:r>
    </w:p>
    <w:p>
      <w:pPr>
        <w:spacing w:after="240" w:line="300" w:lineRule="auto"/>
        <w:jc w:val="right"/>
        <w:bidi/>
      </w:pPr>
      <w:r>
        <w:rPr>
          <w:rFonts w:ascii="Arial" w:hAnsi="Arial"/>
          <w:b w:val="0"/>
          <w:sz w:val="24"/>
          <w:rtl/>
        </w:rPr>
        <w:t>تعتمد الشركة نظام عمل هجيناً يسمح للموظفين المؤهلين بالعمل من المنزل يومين في الأسبوع، على أن يحضروا إلى المكتب ثلاثة أيام. يبدأ وقت العمل المعتاد على الساعة التاسعة صباحاً وينتهي على الساعة الخامسة والنصف مساءً، مع استراحة للغداء مدتها ساعة. ويمكن للفرق التقنية تعديل ساعات الحضور عند وجود عمليات صيانة أو إطلاقات برمجية مهمة بعد موافقة المسؤول المباشر.</w:t>
      </w:r>
    </w:p>
    <w:p>
      <w:pPr>
        <w:spacing w:after="120" w:line="300" w:lineRule="auto"/>
        <w:jc w:val="right"/>
        <w:bidi/>
      </w:pPr>
      <w:r>
        <w:rPr>
          <w:rFonts w:ascii="Arial" w:hAnsi="Arial"/>
          <w:b/>
          <w:sz w:val="30"/>
          <w:rtl/>
        </w:rPr>
        <w:t>3. الأجور والتعويضات</w:t>
      </w:r>
    </w:p>
    <w:p>
      <w:pPr>
        <w:spacing w:after="240" w:line="300" w:lineRule="auto"/>
        <w:jc w:val="right"/>
        <w:bidi/>
      </w:pPr>
      <w:r>
        <w:rPr>
          <w:rFonts w:ascii="Arial" w:hAnsi="Arial"/>
          <w:b w:val="0"/>
          <w:sz w:val="24"/>
          <w:rtl/>
        </w:rPr>
        <w:t>يبلغ متوسط الراتب الشهري لمهندس البرمجيات المبتدئ 11,500 درهم مغربي، بينما يبلغ متوسط راتب المهندس ذي الخبرة 18,700 درهم. أما مسؤول الفريق التقني فيتقاضى في المتوسط 24,000 درهم شهرياً. تمنح الشركة أيضاً مكافأة سنوية مرتبطة بالأداء يمكن أن تصل إلى عشرة في المائة من الأجر السنوي الأساسي. ولا تعتبر هذه المكافأة مضمونة، إذ تعتمد على نتائج الموظف ونتائج الشركة.</w:t>
      </w:r>
    </w:p>
    <w:p>
      <w:pPr>
        <w:spacing w:after="120" w:line="300" w:lineRule="auto"/>
        <w:jc w:val="right"/>
        <w:bidi/>
      </w:pPr>
      <w:r>
        <w:rPr>
          <w:rFonts w:ascii="Arial" w:hAnsi="Arial"/>
          <w:b/>
          <w:sz w:val="30"/>
          <w:rtl/>
        </w:rPr>
        <w:t>4. التوظيف خلال سنة 2026</w:t>
      </w:r>
    </w:p>
    <w:p>
      <w:pPr>
        <w:spacing w:after="240" w:line="300" w:lineRule="auto"/>
        <w:jc w:val="right"/>
        <w:bidi/>
      </w:pPr>
      <w:r>
        <w:rPr>
          <w:rFonts w:ascii="Arial" w:hAnsi="Arial"/>
          <w:b w:val="0"/>
          <w:sz w:val="24"/>
          <w:rtl/>
        </w:rPr>
        <w:t>خططت الشركة لتوظيف 35 شخصاً جديداً خلال سنة 2026. وتشمل الاحتياجات 14 مطور برمجيات، و6 مهندسي اختبارات، و5 مختصين في الدعم التقني، و4 موظفين في المبيعات، و3 محللين ماليين، و3 موظفين في الموارد البشرية. وتهدف هذه التوظيفات إلى دعم توسع الشركة وافتتاح فريق جديد مخصص لتطوير التطبيقات الداخلية.</w:t>
      </w:r>
    </w:p>
    <w:p>
      <w:pPr>
        <w:spacing w:after="120" w:line="300" w:lineRule="auto"/>
        <w:jc w:val="right"/>
        <w:bidi/>
      </w:pPr>
      <w:r>
        <w:rPr>
          <w:rFonts w:ascii="Arial" w:hAnsi="Arial"/>
          <w:b/>
          <w:sz w:val="30"/>
          <w:rtl/>
        </w:rPr>
        <w:t>5. التكوين وتطوير المهارات</w:t>
      </w:r>
    </w:p>
    <w:p>
      <w:pPr>
        <w:spacing w:after="240" w:line="300" w:lineRule="auto"/>
        <w:jc w:val="right"/>
        <w:bidi/>
      </w:pPr>
      <w:r>
        <w:rPr>
          <w:rFonts w:ascii="Arial" w:hAnsi="Arial"/>
          <w:b w:val="0"/>
          <w:sz w:val="24"/>
          <w:rtl/>
        </w:rPr>
        <w:t>خصصت الشركة ميزانية قدرها 420,000 درهم للتكوين المهني خلال السنة. يحصل كل موظف على إمكانية المشاركة في دورات مرتبطة بمجال عمله، وتشمل المواضيع الأمن المعلوماتي، إدارة المشاريع، تطوير تطبيقات الويب، قواعد البيانات، الحوسبة السحابية، والتواصل المهني. ويجب على الموظف الذي يرغب في دورة خارجية تقديم طلب إلى مديره قبل موعد التكوين بأسبوعين على الأقل.</w:t>
      </w:r>
    </w:p>
    <w:p>
      <w:pPr>
        <w:spacing w:after="120" w:line="300" w:lineRule="auto"/>
        <w:jc w:val="right"/>
        <w:bidi/>
      </w:pPr>
      <w:r>
        <w:rPr>
          <w:rFonts w:ascii="Arial" w:hAnsi="Arial"/>
          <w:b/>
          <w:sz w:val="30"/>
          <w:rtl/>
        </w:rPr>
        <w:t>6. مشروع التحول الرقمي</w:t>
      </w:r>
    </w:p>
    <w:p>
      <w:pPr>
        <w:spacing w:after="240" w:line="300" w:lineRule="auto"/>
        <w:jc w:val="right"/>
        <w:bidi/>
      </w:pPr>
      <w:r>
        <w:rPr>
          <w:rFonts w:ascii="Arial" w:hAnsi="Arial"/>
          <w:b w:val="0"/>
          <w:sz w:val="24"/>
          <w:rtl/>
        </w:rPr>
        <w:t>بدأت الشركة مشروعاً داخلياً لتقليل الوقت الذي يقضيه الموظفون في البحث عن المعلومات داخل الملفات والتقارير. تعتمد الفكرة على إنشاء مساعد ذكي يستطيع قراءة الوثائق، تقسيم محتواها إلى مقاطع، تمثيلها رقمياً، ثم استرجاع المقاطع الأكثر ارتباطاً بسؤال المستخدم قبل توليد الإجابة. الهدف ليس استبدال الوثائق الأصلية، بل تسهيل الوصول إلى المعلومة مع الاحتفاظ بالمصدر الذي جاءت منه.</w:t>
      </w:r>
    </w:p>
    <w:p>
      <w:pPr>
        <w:spacing w:after="120" w:line="300" w:lineRule="auto"/>
        <w:jc w:val="right"/>
        <w:bidi/>
      </w:pPr>
      <w:r>
        <w:rPr>
          <w:rFonts w:ascii="Arial" w:hAnsi="Arial"/>
          <w:b/>
          <w:sz w:val="30"/>
          <w:rtl/>
        </w:rPr>
        <w:t>7. إدارة الوثائق</w:t>
      </w:r>
    </w:p>
    <w:p>
      <w:pPr>
        <w:spacing w:after="240" w:line="300" w:lineRule="auto"/>
        <w:jc w:val="right"/>
        <w:bidi/>
      </w:pPr>
      <w:r>
        <w:rPr>
          <w:rFonts w:ascii="Arial" w:hAnsi="Arial"/>
          <w:b w:val="0"/>
          <w:sz w:val="24"/>
          <w:rtl/>
        </w:rPr>
        <w:t>تشمل الوثائق الداخلية عقود العمل، سياسات الموارد البشرية، تقارير المشاريع، محاضر الاجتماعات، أدلة الاستخدام والتقارير المالية. بعض الملفات مكتوب بالفرنسية، وبعضها بالعربية، كما توجد وثائق تجمع اللغتين. ولهذا تشترط الإدارة أن يحافظ النظام الجديد على النص العربي بصورة صحيحة وأن يستطيع التعامل مع المحتوى متعدد اللغات دون حذف الحروف أو تغيير الأرقام.</w:t>
      </w:r>
    </w:p>
    <w:p>
      <w:pPr>
        <w:spacing w:after="120" w:line="300" w:lineRule="auto"/>
        <w:jc w:val="right"/>
        <w:bidi/>
      </w:pPr>
      <w:r>
        <w:rPr>
          <w:rFonts w:ascii="Arial" w:hAnsi="Arial"/>
          <w:b/>
          <w:sz w:val="30"/>
          <w:rtl/>
        </w:rPr>
        <w:t>8. الأمن وحماية المعلومات</w:t>
      </w:r>
    </w:p>
    <w:p>
      <w:pPr>
        <w:spacing w:after="240" w:line="300" w:lineRule="auto"/>
        <w:jc w:val="right"/>
        <w:bidi/>
      </w:pPr>
      <w:r>
        <w:rPr>
          <w:rFonts w:ascii="Arial" w:hAnsi="Arial"/>
          <w:b w:val="0"/>
          <w:sz w:val="24"/>
          <w:rtl/>
        </w:rPr>
        <w:t>لا يسمح للموظفين بإرسال الوثائق السرية إلى حسابات بريد إلكتروني شخصية. كما يجب حفظ ملفات المشاريع في المساحات المعتمدة من الشركة. تخضع الحسابات الحساسة للمصادقة متعددة العوامل، وتتم مراجعة صلاحيات الوصول كل ثلاثة أشهر. في حالة الاشتباه في تسريب بيانات، يجب إبلاغ فريق الأمن المعلوماتي فوراً وعدم محاولة معالجة الحادث بشكل فردي.</w:t>
      </w:r>
    </w:p>
    <w:p>
      <w:pPr>
        <w:spacing w:after="120" w:line="300" w:lineRule="auto"/>
        <w:jc w:val="right"/>
        <w:bidi/>
      </w:pPr>
      <w:r>
        <w:rPr>
          <w:rFonts w:ascii="Arial" w:hAnsi="Arial"/>
          <w:b/>
          <w:sz w:val="30"/>
          <w:rtl/>
        </w:rPr>
        <w:t>9. الإجازات</w:t>
      </w:r>
    </w:p>
    <w:p>
      <w:pPr>
        <w:spacing w:after="240" w:line="300" w:lineRule="auto"/>
        <w:jc w:val="right"/>
        <w:bidi/>
      </w:pPr>
      <w:r>
        <w:rPr>
          <w:rFonts w:ascii="Arial" w:hAnsi="Arial"/>
          <w:b w:val="0"/>
          <w:sz w:val="24"/>
          <w:rtl/>
        </w:rPr>
        <w:t>يستفيد الموظف بدوام كامل من 22 يوم عمل من الإجازة السنوية المؤدى عنها. يجب تقديم طلب الإجازة قبل خمسة أيام عمل على الأقل في الحالات العادية. أما الحالات الطارئة فيمكن التعامل معها مباشرة مع المسؤول. ولا يمكن ترحيل أكثر من خمسة أيام من الإجازة إلى السنة التالية إلا بموافقة إدارة الموارد البشرية.</w:t>
      </w:r>
    </w:p>
    <w:p>
      <w:pPr>
        <w:spacing w:after="120" w:line="300" w:lineRule="auto"/>
        <w:jc w:val="right"/>
        <w:bidi/>
      </w:pPr>
      <w:r>
        <w:rPr>
          <w:rFonts w:ascii="Arial" w:hAnsi="Arial"/>
          <w:b/>
          <w:sz w:val="30"/>
          <w:rtl/>
        </w:rPr>
        <w:t>10. مؤشرات الأداء</w:t>
      </w:r>
    </w:p>
    <w:p>
      <w:pPr>
        <w:spacing w:after="240" w:line="300" w:lineRule="auto"/>
        <w:jc w:val="right"/>
        <w:bidi/>
      </w:pPr>
      <w:r>
        <w:rPr>
          <w:rFonts w:ascii="Arial" w:hAnsi="Arial"/>
          <w:b w:val="0"/>
          <w:sz w:val="24"/>
          <w:rtl/>
        </w:rPr>
        <w:t>حددت الإدارة ثلاثة أهداف رئيسية لنهاية سنة 2026: تقليل متوسط مدة البحث عن وثيقة داخلية من اثنتي عشرة دقيقة إلى أقل من ثلاث دقائق، رفع نسبة إتمام التكوينات الإلزامية إلى 95 في المائة، وخفض عدد طلبات الدعم المتكررة المتعلقة بالبحث عن الإجراءات الداخلية بنسبة 30 في المائة. وستتم مراجعة هذه المؤشرات في نهاية كل ربع سنة.</w:t>
      </w:r>
    </w:p>
    <w:p>
      <w:pPr>
        <w:spacing w:after="120" w:line="300" w:lineRule="auto"/>
        <w:jc w:val="right"/>
        <w:bidi/>
      </w:pPr>
      <w:r>
        <w:rPr>
          <w:rFonts w:ascii="Arial" w:hAnsi="Arial"/>
          <w:b/>
          <w:sz w:val="30"/>
          <w:rtl/>
        </w:rPr>
        <w:t>11. حالة عملية</w:t>
      </w:r>
    </w:p>
    <w:p>
      <w:pPr>
        <w:spacing w:after="240" w:line="300" w:lineRule="auto"/>
        <w:jc w:val="right"/>
        <w:bidi/>
      </w:pPr>
      <w:r>
        <w:rPr>
          <w:rFonts w:ascii="Arial" w:hAnsi="Arial"/>
          <w:b w:val="0"/>
          <w:sz w:val="24"/>
          <w:rtl/>
        </w:rPr>
        <w:t>طلب فريق التطوير تحسين الوصول إلى دليل نشر التطبيقات. في الوضع السابق كان المهندس يبحث يدوياً في مجلدات متعددة وقد يحتاج إلى أكثر من عشر دقائق للعثور على الإجراء الصحيح. في النظام المقترح، يكتب الموظف سؤالاً طبيعياً، فيبحث النظام عن المقاطع ذات الصلة ويعرض إجابة مرتبطة بالوثيقة الأصلية. تعتبر الإدارة نجاح هذه التجربة شرطاً قبل توسيع النظام إلى جميع الأقسام.</w:t>
      </w:r>
    </w:p>
    <w:p>
      <w:pPr>
        <w:spacing w:after="120" w:line="300" w:lineRule="auto"/>
        <w:jc w:val="right"/>
        <w:bidi/>
      </w:pPr>
      <w:r>
        <w:rPr>
          <w:rFonts w:ascii="Arial" w:hAnsi="Arial"/>
          <w:b/>
          <w:sz w:val="30"/>
          <w:rtl/>
        </w:rPr>
        <w:t>12. خلاصة</w:t>
      </w:r>
    </w:p>
    <w:p>
      <w:pPr>
        <w:spacing w:after="240" w:line="300" w:lineRule="auto"/>
        <w:jc w:val="right"/>
        <w:bidi/>
      </w:pPr>
      <w:r>
        <w:rPr>
          <w:rFonts w:ascii="Arial" w:hAnsi="Arial"/>
          <w:b w:val="0"/>
          <w:sz w:val="24"/>
          <w:rtl/>
        </w:rPr>
        <w:t>تسعى الشركة إلى الجمع بين تطوير مهارات الموظفين وتحسين إدارة المعرفة الداخلية. ويشكل المشروع الرقمي المقترح جزءاً من هذا التوجه، خصوصاً لأن المؤسسة تتعامل مع وثائق عربية وفرنسية ومتعددة الصيغ. ستعتمد المرحلة المقبلة على اختبار دقة استخراج النص، جودة البحث الدلالي، صحة الإجابات، وإظهار المصادر المناسبة للمستخدم.</w:t>
      </w:r>
    </w:p>
    <w:p>
      <w:pPr>
        <w:spacing w:after="120" w:line="300" w:lineRule="auto"/>
        <w:jc w:val="right"/>
        <w:bidi/>
      </w:pPr>
      <w:r>
        <w:rPr>
          <w:rFonts w:ascii="Arial" w:hAnsi="Arial"/>
          <w:b/>
          <w:sz w:val="30"/>
          <w:rtl/>
        </w:rPr>
        <w:t>بيانات اختبار إضافية</w:t>
      </w:r>
    </w:p>
    <w:p>
      <w:pPr>
        <w:spacing w:after="240" w:line="300" w:lineRule="auto"/>
        <w:jc w:val="right"/>
        <w:bidi/>
      </w:pPr>
      <w:r>
        <w:rPr>
          <w:rFonts w:ascii="Arial" w:hAnsi="Arial"/>
          <w:b w:val="0"/>
          <w:sz w:val="24"/>
          <w:rtl/>
        </w:rPr>
        <w:t>رمز المشروع الداخلي هو HR-AI-2026. ميزانية المرحلة التجريبية هي 165,000 درهم. بدأت المرحلة التجريبية في 15 يوليو 2026، ومن المقرر تقييمها في 30 سبتمبر 2026. المسؤولة عن التنسيق هي نادية العلوي من إدارة نظم المعلومات.</w:t>
      </w:r>
    </w:p>
    <w:sectPr w:rsidR="00FC693F" w:rsidRPr="0006063C" w:rsidSect="00034616">
      <w:pgSz w:w="12240" w:h="15840"/>
      <w:pgMar w:top="1000" w:right="1100" w:bottom="10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