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
      <w:pPr>
        <w:spacing w:after="160"/>
        <w:jc w:val="center"/>
      </w:pPr>
      <w:r>
        <w:rPr>
          <w:b/>
          <w:bCs/>
          <w:color w:val="1F4E79"/>
          <w:sz w:val="64"/>
          <w:szCs w:val="64"/>
        </w:rPr>
        <w:t xml:space="preserve">ROUTEZONE</w:t>
      </w:r>
    </w:p>
    <w:p>
      <w:pPr>
        <w:spacing w:after="120"/>
        <w:jc w:val="center"/>
      </w:pPr>
      <w:r>
        <w:rPr>
          <w:color w:val="555555"/>
          <w:sz w:val="28"/>
          <w:szCs w:val="28"/>
        </w:rPr>
        <w:t xml:space="preserve">Prédiction de la gravité des accidents routiers</w:t>
      </w:r>
    </w:p>
    <w:p>
      <w:pPr>
        <w:pBdr>
          <w:bottom w:val="single" w:color="BDD7EE" w:sz="4" w:space="1"/>
        </w:pBdr>
        <w:spacing w:after="300"/>
        <w:jc w:val="center"/>
      </w:pPr>
      <w:r>
        <w:rPr>
          <w:b/>
          <w:bCs/>
          <w:color w:val="1F4E79"/>
          <w:sz w:val="32"/>
          <w:szCs w:val="32"/>
        </w:rPr>
        <w:t xml:space="preserve">RAPPORT PROFESSIONNEL — ÉPREUVE E1</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FFF" w:sz="1"/>
              <w:left w:val="single" w:color="FFFFFF" w:sz="1"/>
              <w:bottom w:val="single" w:color="FFFFFF" w:sz="1"/>
              <w:right w:val="single" w:color="FFFFFF" w:sz="1"/>
            </w:tcBorders>
            <w:shd w:fill="1F4E79" w:val="clear"/>
            <w:tcMar>
              <w:top w:type="dxa" w:w="60"/>
              <w:left w:type="dxa" w:w="100"/>
              <w:bottom w:type="dxa" w:w="60"/>
              <w:right w:type="dxa" w:w="100"/>
            </w:tcMar>
          </w:tcPr>
          <w:p>
            <w:r>
              <w:rPr>
                <w:b/>
                <w:bCs/>
                <w:color w:val="FFFFFF"/>
                <w:sz w:val="18"/>
                <w:szCs w:val="18"/>
              </w:rPr>
              <w:t xml:space="preserve"/>
            </w:r>
          </w:p>
        </w:tc>
      </w:tr>
      <w:tr>
        <w:tc>
          <w:tcPr>
            <w:tcW w:type="dxa" w:w="90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Candidate : Meriem Abdelouahed</w:t>
            </w:r>
          </w:p>
        </w:tc>
      </w:tr>
      <w:tr>
        <w:tc>
          <w:tcPr>
            <w:tcW w:type="dxa" w:w="9026"/>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sz w:val="18"/>
                <w:szCs w:val="18"/>
              </w:rPr>
              <w:t xml:space="preserve">Formation : Développeur en Intelligence Artificielle — Simplon x Microsoft</w:t>
            </w:r>
          </w:p>
        </w:tc>
      </w:tr>
      <w:tr>
        <w:tc>
          <w:tcPr>
            <w:tcW w:type="dxa" w:w="90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Certification : RNCP37827 — Bloc 1 (C1 → C5)</w:t>
            </w:r>
          </w:p>
        </w:tc>
      </w:tr>
      <w:tr>
        <w:tc>
          <w:tcPr>
            <w:tcW w:type="dxa" w:w="9026"/>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sz w:val="18"/>
                <w:szCs w:val="18"/>
              </w:rPr>
              <w:t xml:space="preserve">Formateurs : Abdel Sakhri, Wissem Benchelbi, Guillaume Soulat</w:t>
            </w:r>
          </w:p>
        </w:tc>
      </w:tr>
      <w:tr>
        <w:tc>
          <w:tcPr>
            <w:tcW w:type="dxa" w:w="90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Soutenance : 22-24 juin 2026 — distanciel</w:t>
            </w:r>
          </w:p>
        </w:tc>
      </w:tr>
      <w:tr>
        <w:tc>
          <w:tcPr>
            <w:tcW w:type="dxa" w:w="9026"/>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sz w:val="18"/>
                <w:szCs w:val="18"/>
              </w:rPr>
              <w:t xml:space="preserve">Données : BAAC 2022-2024 — data.gouv.fr | Open-Meteo | ONISR</w:t>
            </w:r>
          </w:p>
        </w:tc>
      </w:tr>
    </w:tbl>
    <w:p/>
    <w:p>
      <w:r>
        <w:br w:type="page"/>
      </w:r>
    </w:p>
    <w:p>
      <w:pPr>
        <w:pStyle w:val="Heading1"/>
      </w:pPr>
      <w:r>
        <w:rPr>
          <w:b/>
          <w:bCs/>
          <w:color w:val="1F4E79"/>
          <w:sz w:val="28"/>
          <w:szCs w:val="28"/>
        </w:rPr>
        <w:t xml:space="preserve">1. Contexte et objectif</w:t>
      </w:r>
    </w:p>
    <w:p>
      <w:pPr>
        <w:spacing w:after="120"/>
        <w:jc w:val="both"/>
      </w:pPr>
      <w:r>
        <w:rPr>
          <w:sz w:val="20"/>
          <w:szCs w:val="20"/>
        </w:rPr>
        <w:t xml:space="preserve">RouteZone est un système de machine learning visant à prédire la gravité d'un accident routier (indemne, blessé léger, hospitalisé, tué) à partir de données factuelles. Les données sources sont les fichiers BAAC (Bulletin d'Analyse des Accidents Corporels) 2022-2024, publiés en open data par le Ministère de l'Intérieur, enrichis par des données météo réelles et des statistiques ONISR.</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226"/>
      </w:tblGrid>
      <w:tr>
        <w:tc>
          <w:tcPr>
            <w:tcW w:type="dxa" w:w="2000"/>
            <w:tcBorders>
              <w:top w:val="single" w:color="FFFFFF" w:sz="1"/>
              <w:left w:val="single" w:color="FFFFFF" w:sz="1"/>
              <w:bottom w:val="single" w:color="FFFFFF" w:sz="1"/>
              <w:right w:val="single" w:color="FFFFFF" w:sz="1"/>
            </w:tcBorders>
            <w:shd w:fill="1F4E79" w:val="clear"/>
            <w:tcMar>
              <w:top w:type="dxa" w:w="60"/>
              <w:left w:type="dxa" w:w="100"/>
              <w:bottom w:type="dxa" w:w="60"/>
              <w:right w:type="dxa" w:w="100"/>
            </w:tcMar>
          </w:tcPr>
          <w:p>
            <w:r>
              <w:rPr>
                <w:b/>
                <w:bCs/>
                <w:color w:val="FFFFFF"/>
                <w:sz w:val="18"/>
                <w:szCs w:val="18"/>
              </w:rPr>
              <w:t xml:space="preserve">Compétence</w:t>
            </w:r>
          </w:p>
        </w:tc>
        <w:tc>
          <w:tcPr>
            <w:tcW w:type="dxa" w:w="3800"/>
            <w:tcBorders>
              <w:top w:val="single" w:color="FFFFFF" w:sz="1"/>
              <w:left w:val="single" w:color="FFFFFF" w:sz="1"/>
              <w:bottom w:val="single" w:color="FFFFFF" w:sz="1"/>
              <w:right w:val="single" w:color="FFFFFF" w:sz="1"/>
            </w:tcBorders>
            <w:shd w:fill="1F4E79" w:val="clear"/>
            <w:tcMar>
              <w:top w:type="dxa" w:w="60"/>
              <w:left w:type="dxa" w:w="100"/>
              <w:bottom w:type="dxa" w:w="60"/>
              <w:right w:type="dxa" w:w="100"/>
            </w:tcMar>
          </w:tcPr>
          <w:p>
            <w:r>
              <w:rPr>
                <w:b/>
                <w:bCs/>
                <w:color w:val="FFFFFF"/>
                <w:sz w:val="18"/>
                <w:szCs w:val="18"/>
              </w:rPr>
              <w:t xml:space="preserve">Action réalisée</w:t>
            </w:r>
          </w:p>
        </w:tc>
        <w:tc>
          <w:tcPr>
            <w:tcW w:type="dxa" w:w="3226"/>
            <w:tcBorders>
              <w:top w:val="single" w:color="FFFFFF" w:sz="1"/>
              <w:left w:val="single" w:color="FFFFFF" w:sz="1"/>
              <w:bottom w:val="single" w:color="FFFFFF" w:sz="1"/>
              <w:right w:val="single" w:color="FFFFFF" w:sz="1"/>
            </w:tcBorders>
            <w:shd w:fill="1F4E79" w:val="clear"/>
            <w:tcMar>
              <w:top w:type="dxa" w:w="60"/>
              <w:left w:type="dxa" w:w="100"/>
              <w:bottom w:type="dxa" w:w="60"/>
              <w:right w:type="dxa" w:w="100"/>
            </w:tcMar>
          </w:tcPr>
          <w:p>
            <w:r>
              <w:rPr>
                <w:b/>
                <w:bCs/>
                <w:color w:val="FFFFFF"/>
                <w:sz w:val="18"/>
                <w:szCs w:val="18"/>
              </w:rPr>
              <w:t xml:space="preserve">Livrable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C1 — Collecte multi-sources</w:t>
            </w:r>
          </w:p>
        </w:tc>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12 CSV BAAC + API Open-Meteo + scraping ONISR</w:t>
            </w:r>
          </w:p>
        </w:tc>
        <w:tc>
          <w:tcPr>
            <w:tcW w:type="dxa" w:w="32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3 notebooks + 2 scripts .py</w:t>
            </w:r>
          </w:p>
        </w:tc>
      </w:tr>
      <w:tr>
        <w:tc>
          <w:tcPr>
            <w:tcW w:type="dxa" w:w="200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sz w:val="18"/>
                <w:szCs w:val="18"/>
              </w:rPr>
              <w:t xml:space="preserve">C2 — Requêtes SQL</w:t>
            </w:r>
          </w:p>
        </w:tc>
        <w:tc>
          <w:tcPr>
            <w:tcW w:type="dxa" w:w="380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sz w:val="18"/>
                <w:szCs w:val="18"/>
              </w:rPr>
              <w:t xml:space="preserve">Requêtes de vérification et d'exposition des données</w:t>
            </w:r>
          </w:p>
        </w:tc>
        <w:tc>
          <w:tcPr>
            <w:tcW w:type="dxa" w:w="3226"/>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sz w:val="18"/>
                <w:szCs w:val="18"/>
              </w:rPr>
              <w:t xml:space="preserve">main.py FastAPI + BDD SQLite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C3 — Nettoyage / agrégation</w:t>
            </w:r>
          </w:p>
        </w:tc>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10 étapes de nettoyage, merge 4 tables, 413 570 lignes</w:t>
            </w:r>
          </w:p>
        </w:tc>
        <w:tc>
          <w:tcPr>
            <w:tcW w:type="dxa" w:w="32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notebook_01 + dataset_clean.csv</w:t>
            </w:r>
          </w:p>
        </w:tc>
      </w:tr>
      <w:tr>
        <w:tc>
          <w:tcPr>
            <w:tcW w:type="dxa" w:w="200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sz w:val="18"/>
                <w:szCs w:val="18"/>
              </w:rPr>
              <w:t xml:space="preserve">C4 — Base de données</w:t>
            </w:r>
          </w:p>
        </w:tc>
        <w:tc>
          <w:tcPr>
            <w:tcW w:type="dxa" w:w="380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sz w:val="18"/>
                <w:szCs w:val="18"/>
              </w:rPr>
              <w:t xml:space="preserve">Modèle Merise (MCD/MPD), SQLite, scripts d'import</w:t>
            </w:r>
          </w:p>
        </w:tc>
        <w:tc>
          <w:tcPr>
            <w:tcW w:type="dxa" w:w="3226"/>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sz w:val="18"/>
                <w:szCs w:val="18"/>
              </w:rPr>
              <w:t xml:space="preserve">schema_merise.md + create_db.sql</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C5 — API REST Data</w:t>
            </w:r>
          </w:p>
        </w:tc>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FastAPI 6 endpoints documentés Swagger</w:t>
            </w:r>
          </w:p>
        </w:tc>
        <w:tc>
          <w:tcPr>
            <w:tcW w:type="dxa" w:w="32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api_data/main.py</w:t>
            </w:r>
          </w:p>
        </w:tc>
      </w:tr>
    </w:tbl>
    <w:p/>
    <w:p>
      <w:pPr>
        <w:pStyle w:val="Heading1"/>
      </w:pPr>
      <w:r>
        <w:rPr>
          <w:b/>
          <w:bCs/>
          <w:color w:val="1F4E79"/>
          <w:sz w:val="28"/>
          <w:szCs w:val="28"/>
        </w:rPr>
        <w:t xml:space="preserve">2. Collecte des données (C1)</w:t>
      </w:r>
    </w:p>
    <w:p>
      <w:pPr>
        <w:pStyle w:val="Heading2"/>
      </w:pPr>
      <w:r>
        <w:rPr>
          <w:b/>
          <w:bCs/>
          <w:color w:val="1F4E79"/>
          <w:sz w:val="24"/>
          <w:szCs w:val="24"/>
        </w:rPr>
        <w:t xml:space="preserve">2.1 Données BAAC</w:t>
      </w:r>
    </w:p>
    <w:p>
      <w:pPr>
        <w:spacing w:after="120"/>
        <w:jc w:val="both"/>
      </w:pPr>
      <w:r>
        <w:rPr>
          <w:sz w:val="20"/>
          <w:szCs w:val="20"/>
        </w:rPr>
        <w:t xml:space="preserve">Les fichiers BAAC sont organisés en 4 tables (caract, lieux, usagers, vehicules) représentant respectivement les caractéristiques de l'accident, du lieu, des usagers et des véhicules. La clé de liaison est Num_Acc. Au total : 12 fichiers CSV chargés, 164 526 accidents sur 3 ans avant nettoyage.</w:t>
      </w:r>
    </w:p>
    <w:p>
      <w:pPr>
        <w:pStyle w:val="Heading2"/>
      </w:pPr>
      <w:r>
        <w:rPr>
          <w:b/>
          <w:bCs/>
          <w:color w:val="1F4E79"/>
          <w:sz w:val="24"/>
          <w:szCs w:val="24"/>
        </w:rPr>
        <w:t xml:space="preserve">2.2 Enrichissement API Open-Meteo</w:t>
      </w:r>
    </w:p>
    <w:p>
      <w:pPr>
        <w:spacing w:after="120"/>
        <w:jc w:val="both"/>
      </w:pPr>
      <w:r>
        <w:rPr>
          <w:sz w:val="20"/>
          <w:szCs w:val="20"/>
        </w:rPr>
        <w:t xml:space="preserve">La colonne atm du BAAC code les conditions météo de façon déclarative et subjective. L'API Open-Meteo (gratuite, sans clé) fournit la météo réelle heure par heure par coordonnées GPS. Elle enrichit le dataset avec temperature (°C), precipitation (mm) et windspeed (km/h) pour chaque accident. La collecte sur 413 570 accidents s'effectue via une boucle Python avec une pause de 0.1 seconde entre chaque requête pour respecter les limites de l'API.</w:t>
      </w:r>
    </w:p>
    <w:p>
      <w:pPr>
        <w:pStyle w:val="Heading2"/>
      </w:pPr>
      <w:r>
        <w:rPr>
          <w:b/>
          <w:bCs/>
          <w:color w:val="1F4E79"/>
          <w:sz w:val="24"/>
          <w:szCs w:val="24"/>
        </w:rPr>
        <w:t xml:space="preserve">2.3 Scraping ONISR</w:t>
      </w:r>
    </w:p>
    <w:p>
      <w:pPr>
        <w:spacing w:after="120"/>
        <w:jc w:val="both"/>
      </w:pPr>
      <w:r>
        <w:rPr>
          <w:sz w:val="20"/>
          <w:szCs w:val="20"/>
        </w:rPr>
        <w:t xml:space="preserve">Le baromètre mensuel ONISR (nombre de tués sur les routes) n'est pas disponible en CSV — il est scrapé via requests et BeautifulSoup. En inspectant le HTML du site, j'ai découvert un filtre d'URL par année (field_annees_target_id) permettant de cibler directement 2022, 2023 et 2024 sans parcourir toutes les pages. Les données scrapées sont comparées aux tués du dataset BAAC pour valider la qualité des données.</w:t>
      </w:r>
    </w:p>
    <w:p/>
    <w:p>
      <w:pPr>
        <w:pStyle w:val="Heading1"/>
      </w:pPr>
      <w:r>
        <w:rPr>
          <w:b/>
          <w:bCs/>
          <w:color w:val="1F4E79"/>
          <w:sz w:val="28"/>
          <w:szCs w:val="28"/>
        </w:rPr>
        <w:t xml:space="preserve">3. Nettoyage et préparation (C3)</w:t>
      </w:r>
    </w:p>
    <w:p>
      <w:pPr>
        <w:spacing w:after="120"/>
        <w:jc w:val="both"/>
      </w:pPr>
      <w:r>
        <w:rPr>
          <w:sz w:val="20"/>
          <w:szCs w:val="20"/>
        </w:rPr>
        <w:t xml:space="preserve">Le nettoyage s'est effectué en 10 étapes ordonnées sur les tables brutes avant merge :</w:t>
      </w:r>
    </w:p>
    <w:p>
      <w:pPr>
        <w:pStyle w:val="ListParagraph"/>
        <w:numPr>
          <w:ilvl w:val="0"/>
          <w:numId w:val="2"/>
        </w:numPr>
        <w:spacing w:after="60"/>
      </w:pPr>
      <w:r>
        <w:rPr>
          <w:sz w:val="20"/>
          <w:szCs w:val="20"/>
        </w:rPr>
        <w:t xml:space="preserve">Correction Accident_Id → Num_Acc sur caract 2022 (bug de nommage qui aurait cassé tous les merges)</w:t>
      </w:r>
    </w:p>
    <w:p>
      <w:pPr>
        <w:pStyle w:val="ListParagraph"/>
        <w:numPr>
          <w:ilvl w:val="0"/>
          <w:numId w:val="2"/>
        </w:numPr>
        <w:spacing w:after="60"/>
      </w:pPr>
      <w:r>
        <w:rPr>
          <w:sz w:val="20"/>
          <w:szCs w:val="20"/>
        </w:rPr>
        <w:t xml:space="preserve">Concaténation des 3 années par table</w:t>
      </w:r>
    </w:p>
    <w:p>
      <w:pPr>
        <w:pStyle w:val="ListParagraph"/>
        <w:numPr>
          <w:ilvl w:val="0"/>
          <w:numId w:val="2"/>
        </w:numPr>
        <w:spacing w:after="60"/>
      </w:pPr>
      <w:r>
        <w:rPr>
          <w:sz w:val="20"/>
          <w:szCs w:val="20"/>
        </w:rPr>
        <w:t xml:space="preserve">Remplacement des -1 par NaN (convention BAAC : -1 = non renseigné)</w:t>
      </w:r>
    </w:p>
    <w:p>
      <w:pPr>
        <w:pStyle w:val="ListParagraph"/>
        <w:numPr>
          <w:ilvl w:val="0"/>
          <w:numId w:val="2"/>
        </w:numPr>
        <w:spacing w:after="60"/>
      </w:pPr>
      <w:r>
        <w:rPr>
          <w:sz w:val="20"/>
          <w:szCs w:val="20"/>
        </w:rPr>
        <w:t xml:space="preserve">Visualisation des NaN avec missingno</w:t>
      </w:r>
    </w:p>
    <w:p>
      <w:pPr>
        <w:pStyle w:val="ListParagraph"/>
        <w:numPr>
          <w:ilvl w:val="0"/>
          <w:numId w:val="2"/>
        </w:numPr>
        <w:spacing w:after="60"/>
      </w:pPr>
      <w:r>
        <w:rPr>
          <w:sz w:val="20"/>
          <w:szCs w:val="20"/>
        </w:rPr>
        <w:t xml:space="preserve">Suppression des 2 doublons stricts détectés dans lieux</w:t>
      </w:r>
    </w:p>
    <w:p>
      <w:pPr>
        <w:pStyle w:val="ListParagraph"/>
        <w:numPr>
          <w:ilvl w:val="0"/>
          <w:numId w:val="2"/>
        </w:numPr>
        <w:spacing w:after="60"/>
      </w:pPr>
      <w:r>
        <w:rPr>
          <w:sz w:val="20"/>
          <w:szCs w:val="20"/>
        </w:rPr>
        <w:t xml:space="preserve">Correction des types (colonnes numériques lues comme texte)</w:t>
      </w:r>
    </w:p>
    <w:p>
      <w:pPr>
        <w:pStyle w:val="ListParagraph"/>
        <w:numPr>
          <w:ilvl w:val="0"/>
          <w:numId w:val="2"/>
        </w:numPr>
        <w:spacing w:after="60"/>
      </w:pPr>
      <w:r>
        <w:rPr>
          <w:sz w:val="20"/>
          <w:szCs w:val="20"/>
        </w:rPr>
        <w:t xml:space="preserve">Correction des coordonnées GPS (virgule → point, filtrage DOM-TOM : -9 578 lignes)</w:t>
      </w:r>
    </w:p>
    <w:p>
      <w:pPr>
        <w:pStyle w:val="ListParagraph"/>
        <w:numPr>
          <w:ilvl w:val="0"/>
          <w:numId w:val="2"/>
        </w:numPr>
        <w:spacing w:after="60"/>
      </w:pPr>
      <w:r>
        <w:rPr>
          <w:sz w:val="20"/>
          <w:szCs w:val="20"/>
        </w:rPr>
        <w:t xml:space="preserve">Suppression des colonnes inutiles (&gt;90% NaN ou sans valeur pour la modélisation)</w:t>
      </w:r>
    </w:p>
    <w:p>
      <w:pPr>
        <w:pStyle w:val="ListParagraph"/>
        <w:numPr>
          <w:ilvl w:val="0"/>
          <w:numId w:val="2"/>
        </w:numPr>
        <w:spacing w:after="60"/>
      </w:pPr>
      <w:r>
        <w:rPr>
          <w:sz w:val="20"/>
          <w:szCs w:val="20"/>
        </w:rPr>
        <w:t xml:space="preserve">Traitement des NaN : suppression pour grav/sexe/dep, mode pour catégorielles, médiane pour numériques</w:t>
      </w:r>
    </w:p>
    <w:p>
      <w:pPr>
        <w:pStyle w:val="ListParagraph"/>
        <w:numPr>
          <w:ilvl w:val="0"/>
          <w:numId w:val="2"/>
        </w:numPr>
        <w:spacing w:after="60"/>
      </w:pPr>
      <w:r>
        <w:rPr>
          <w:sz w:val="20"/>
          <w:szCs w:val="20"/>
        </w:rPr>
        <w:t xml:space="preserve">Résumé de nettoyage : 0 NaN restant dans toutes les tables</w:t>
      </w:r>
    </w:p>
    <w:p/>
    <w:p>
      <w:pPr>
        <w:spacing w:after="120"/>
        <w:jc w:val="both"/>
      </w:pPr>
      <w:r>
        <w:rPr>
          <w:sz w:val="20"/>
          <w:szCs w:val="20"/>
        </w:rPr>
        <w:t xml:space="preserve">Merge des 4 tables via left joins sur Num_Acc. Dataset final : 413 570 lignes, 44 colonnes. Création de 3 variables dérivées : age (an - an_nais), heure (extrait de hrmn), jour_semaine.</w:t>
      </w:r>
    </w:p>
    <w:p/>
    <w:p>
      <w:pPr>
        <w:spacing w:after="120"/>
        <w:jc w:val="both"/>
      </w:pPr>
      <w:r>
        <w:rPr>
          <w:sz w:val="20"/>
          <w:szCs w:val="20"/>
        </w:rPr>
        <w:t xml:space="preserve">Deux analyses de biais ont été réalisées à la demande du formateur : biais de représentation sexe (volume brut vs taux corrigé) et biais géographique (volume brut vs taux pour 100 000 habitants). Ces analyses illustrent l'importance d'une approche critique des données en data science.</w:t>
      </w:r>
    </w:p>
    <w:p/>
    <w:p>
      <w:pPr>
        <w:pStyle w:val="Heading1"/>
      </w:pPr>
      <w:r>
        <w:rPr>
          <w:b/>
          <w:bCs/>
          <w:color w:val="1F4E79"/>
          <w:sz w:val="28"/>
          <w:szCs w:val="28"/>
        </w:rPr>
        <w:t xml:space="preserve">4. Base de données SQLite (C4)</w:t>
      </w:r>
    </w:p>
    <w:p>
      <w:pPr>
        <w:spacing w:after="120"/>
        <w:jc w:val="both"/>
      </w:pPr>
      <w:r>
        <w:rPr>
          <w:sz w:val="20"/>
          <w:szCs w:val="20"/>
        </w:rPr>
        <w:t xml:space="preserve">La base RouteZone est modélisée selon la méthode Merise (MCD puis MPD) et implémentée en SQLite. SQLite est choisi pour sa légèreté et sa portabilité (un seul fichier .db, sans serveur). La base contient 6 tables : accidents, lieux, usagers, vehicules (données BAAC), meteo (API Open-Meteo) et barometre_onisr (scraping). Les scripts d'alimentation sont : import_data.py (154 948 accidents importés), collect_meteo.py et scraping_onisr.py.</w:t>
      </w:r>
    </w:p>
    <w:p/>
    <w:p>
      <w:pPr>
        <w:pStyle w:val="Heading1"/>
      </w:pPr>
      <w:r>
        <w:rPr>
          <w:b/>
          <w:bCs/>
          <w:color w:val="1F4E79"/>
          <w:sz w:val="28"/>
          <w:szCs w:val="28"/>
        </w:rPr>
        <w:t xml:space="preserve">5. API REST Data — FastAPI (C5)</w:t>
      </w:r>
    </w:p>
    <w:p>
      <w:pPr>
        <w:spacing w:after="120"/>
        <w:jc w:val="both"/>
      </w:pPr>
      <w:r>
        <w:rPr>
          <w:sz w:val="20"/>
          <w:szCs w:val="20"/>
        </w:rPr>
        <w:t xml:space="preserve">L'API expose les données via 6 endpoints documentés automatiquement (Swagger UI sur /docs). Elle est lancée par la commande python -m uvicorn main:app --reload depuis le dossier api_data/.</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FFFFFF" w:sz="1"/>
              <w:left w:val="single" w:color="FFFFFF" w:sz="1"/>
              <w:bottom w:val="single" w:color="FFFFFF" w:sz="1"/>
              <w:right w:val="single" w:color="FFFFFF" w:sz="1"/>
            </w:tcBorders>
            <w:shd w:fill="1F4E79" w:val="clear"/>
            <w:tcMar>
              <w:top w:type="dxa" w:w="60"/>
              <w:left w:type="dxa" w:w="100"/>
              <w:bottom w:type="dxa" w:w="60"/>
              <w:right w:type="dxa" w:w="100"/>
            </w:tcMar>
          </w:tcPr>
          <w:p>
            <w:r>
              <w:rPr>
                <w:b/>
                <w:bCs/>
                <w:color w:val="FFFFFF"/>
                <w:sz w:val="18"/>
                <w:szCs w:val="18"/>
              </w:rPr>
              <w:t xml:space="preserve">Endpoint</w:t>
            </w:r>
          </w:p>
        </w:tc>
        <w:tc>
          <w:tcPr>
            <w:tcW w:type="dxa" w:w="6026"/>
            <w:tcBorders>
              <w:top w:val="single" w:color="FFFFFF" w:sz="1"/>
              <w:left w:val="single" w:color="FFFFFF" w:sz="1"/>
              <w:bottom w:val="single" w:color="FFFFFF" w:sz="1"/>
              <w:right w:val="single" w:color="FFFFFF" w:sz="1"/>
            </w:tcBorders>
            <w:shd w:fill="1F4E79" w:val="clear"/>
            <w:tcMar>
              <w:top w:type="dxa" w:w="60"/>
              <w:left w:type="dxa" w:w="100"/>
              <w:bottom w:type="dxa" w:w="60"/>
              <w:right w:type="dxa" w:w="100"/>
            </w:tcMar>
          </w:tcPr>
          <w:p>
            <w:r>
              <w:rPr>
                <w:b/>
                <w:bCs/>
                <w:color w:val="FFFFFF"/>
                <w:sz w:val="18"/>
                <w:szCs w:val="18"/>
              </w:rPr>
              <w:t xml:space="preserve">Description</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GET /</w:t>
            </w:r>
          </w:p>
        </w:tc>
        <w:tc>
          <w:tcPr>
            <w:tcW w:type="dxa" w:w="60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Accueil — vérifie que l'API est en ligne</w:t>
            </w:r>
          </w:p>
        </w:tc>
      </w:tr>
      <w:tr>
        <w:tc>
          <w:tcPr>
            <w:tcW w:type="dxa" w:w="300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sz w:val="18"/>
                <w:szCs w:val="18"/>
              </w:rPr>
              <w:t xml:space="preserve">GET /accidents</w:t>
            </w:r>
          </w:p>
        </w:tc>
        <w:tc>
          <w:tcPr>
            <w:tcW w:type="dxa" w:w="6026"/>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sz w:val="18"/>
                <w:szCs w:val="18"/>
              </w:rPr>
              <w:t xml:space="preserve">Liste des accidents avec filtres : département, année, gravité (max 1000 résultats)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GET /accidents/stats</w:t>
            </w:r>
          </w:p>
        </w:tc>
        <w:tc>
          <w:tcPr>
            <w:tcW w:type="dxa" w:w="60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Statistiques globales : total, répartition par année et gravité, top 10 départements</w:t>
            </w:r>
          </w:p>
        </w:tc>
      </w:tr>
      <w:tr>
        <w:tc>
          <w:tcPr>
            <w:tcW w:type="dxa" w:w="300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sz w:val="18"/>
                <w:szCs w:val="18"/>
              </w:rPr>
              <w:t xml:space="preserve">GET /accidents/departement/{dep}</w:t>
            </w:r>
          </w:p>
        </w:tc>
        <w:tc>
          <w:tcPr>
            <w:tcW w:type="dxa" w:w="6026"/>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sz w:val="18"/>
                <w:szCs w:val="18"/>
              </w:rPr>
              <w:t xml:space="preserve">Stats mensuelles pour un département précis (ex: /accidents/departement/69)</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GET /accidents/gravite</w:t>
            </w:r>
          </w:p>
        </w:tc>
        <w:tc>
          <w:tcPr>
            <w:tcW w:type="dxa" w:w="60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Répartition des usagers par niveau de gravité avec pourcentages</w:t>
            </w:r>
          </w:p>
        </w:tc>
      </w:tr>
      <w:tr>
        <w:tc>
          <w:tcPr>
            <w:tcW w:type="dxa" w:w="300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sz w:val="18"/>
                <w:szCs w:val="18"/>
              </w:rPr>
              <w:t xml:space="preserve">GET /meteo/stats</w:t>
            </w:r>
          </w:p>
        </w:tc>
        <w:tc>
          <w:tcPr>
            <w:tcW w:type="dxa" w:w="6026"/>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sz w:val="18"/>
                <w:szCs w:val="18"/>
              </w:rPr>
              <w:t xml:space="preserve">Statistiques sur les données météo API collectées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GET /onisr/barometre</w:t>
            </w:r>
          </w:p>
        </w:tc>
        <w:tc>
          <w:tcPr>
            <w:tcW w:type="dxa" w:w="60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Baromètres mensuels ONISR avec filtre par année</w:t>
            </w:r>
          </w:p>
        </w:tc>
      </w:tr>
    </w:tbl>
    <w:p/>
    <w:p>
      <w:pPr>
        <w:pStyle w:val="Heading1"/>
      </w:pPr>
      <w:r>
        <w:rPr>
          <w:b/>
          <w:bCs/>
          <w:color w:val="1F4E79"/>
          <w:sz w:val="28"/>
          <w:szCs w:val="28"/>
        </w:rPr>
        <w:t xml:space="preserve">6. Résultats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FFFFFF" w:sz="1"/>
              <w:left w:val="single" w:color="FFFFFF" w:sz="1"/>
              <w:bottom w:val="single" w:color="FFFFFF" w:sz="1"/>
              <w:right w:val="single" w:color="FFFFFF" w:sz="1"/>
            </w:tcBorders>
            <w:shd w:fill="1F4E79" w:val="clear"/>
            <w:tcMar>
              <w:top w:type="dxa" w:w="60"/>
              <w:left w:type="dxa" w:w="100"/>
              <w:bottom w:type="dxa" w:w="60"/>
              <w:right w:type="dxa" w:w="100"/>
            </w:tcMar>
          </w:tcPr>
          <w:p>
            <w:r>
              <w:rPr>
                <w:b/>
                <w:bCs/>
                <w:color w:val="FFFFFF"/>
                <w:sz w:val="18"/>
                <w:szCs w:val="18"/>
              </w:rPr>
              <w:t xml:space="preserve">Livrable</w:t>
            </w:r>
          </w:p>
        </w:tc>
        <w:tc>
          <w:tcPr>
            <w:tcW w:type="dxa" w:w="6026"/>
            <w:tcBorders>
              <w:top w:val="single" w:color="FFFFFF" w:sz="1"/>
              <w:left w:val="single" w:color="FFFFFF" w:sz="1"/>
              <w:bottom w:val="single" w:color="FFFFFF" w:sz="1"/>
              <w:right w:val="single" w:color="FFFFFF" w:sz="1"/>
            </w:tcBorders>
            <w:shd w:fill="1F4E79" w:val="clear"/>
            <w:tcMar>
              <w:top w:type="dxa" w:w="60"/>
              <w:left w:type="dxa" w:w="100"/>
              <w:bottom w:type="dxa" w:w="60"/>
              <w:right w:type="dxa" w:w="100"/>
            </w:tcMar>
          </w:tcPr>
          <w:p>
            <w:r>
              <w:rPr>
                <w:b/>
                <w:bCs/>
                <w:color w:val="FFFFFF"/>
                <w:sz w:val="18"/>
                <w:szCs w:val="18"/>
              </w:rPr>
              <w:t xml:space="preserve">Détails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Dataset nettoyé</w:t>
            </w:r>
          </w:p>
        </w:tc>
        <w:tc>
          <w:tcPr>
            <w:tcW w:type="dxa" w:w="60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413 570 lignes | 44 colonnes | 0 NaN | dataset_clean.csv</w:t>
            </w:r>
          </w:p>
        </w:tc>
      </w:tr>
      <w:tr>
        <w:tc>
          <w:tcPr>
            <w:tcW w:type="dxa" w:w="300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sz w:val="18"/>
                <w:szCs w:val="18"/>
              </w:rPr>
              <w:t xml:space="preserve">Dataset enrichi</w:t>
            </w:r>
          </w:p>
        </w:tc>
        <w:tc>
          <w:tcPr>
            <w:tcW w:type="dxa" w:w="6026"/>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sz w:val="18"/>
                <w:szCs w:val="18"/>
              </w:rPr>
              <w:t xml:space="preserve">+ temperature, precipitation, windspeed, weathercode | dataset_enriched.csv</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Base de données</w:t>
            </w:r>
          </w:p>
        </w:tc>
        <w:tc>
          <w:tcPr>
            <w:tcW w:type="dxa" w:w="60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6 tables SQLite | 154 948 accidents | routezone.db</w:t>
            </w:r>
          </w:p>
        </w:tc>
      </w:tr>
      <w:tr>
        <w:tc>
          <w:tcPr>
            <w:tcW w:type="dxa" w:w="300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sz w:val="18"/>
                <w:szCs w:val="18"/>
              </w:rPr>
              <w:t xml:space="preserve">Notebooks</w:t>
            </w:r>
          </w:p>
        </w:tc>
        <w:tc>
          <w:tcPr>
            <w:tcW w:type="dxa" w:w="6026"/>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sz w:val="18"/>
                <w:szCs w:val="18"/>
              </w:rPr>
              <w:t xml:space="preserve">3 notebooks documentés : EDA/nettoyage, API météo, scraping ONISR</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Scripts production</w:t>
            </w:r>
          </w:p>
        </w:tc>
        <w:tc>
          <w:tcPr>
            <w:tcW w:type="dxa" w:w="60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collect_meteo.py, scraping_onisr.py, import_data.py</w:t>
            </w:r>
          </w:p>
        </w:tc>
      </w:tr>
      <w:tr>
        <w:tc>
          <w:tcPr>
            <w:tcW w:type="dxa" w:w="300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sz w:val="18"/>
                <w:szCs w:val="18"/>
              </w:rPr>
              <w:t xml:space="preserve">API FastAPI</w:t>
            </w:r>
          </w:p>
        </w:tc>
        <w:tc>
          <w:tcPr>
            <w:tcW w:type="dxa" w:w="6026"/>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sz w:val="18"/>
                <w:szCs w:val="18"/>
              </w:rPr>
              <w:t xml:space="preserve">6 endpoints | documentation Swagger | lancée sur http://127.0.0.1:8000/docs</w:t>
            </w:r>
          </w:p>
        </w:tc>
      </w:tr>
    </w:tbl>
    <w:p/>
    <w:p>
      <w:pPr>
        <w:spacing w:after="120"/>
        <w:jc w:val="both"/>
      </w:pPr>
      <w:r>
        <w:rPr>
          <w:sz w:val="20"/>
          <w:szCs w:val="20"/>
        </w:rPr>
        <w:t xml:space="preserve">Le Bloc 1 constitue le socle de données du projet RouteZone. Le dataset enrichi et l'API de données alimenteront le Bloc 2 : entraînement et comparaison de modèles de classification (Random Forest, XGBoost, LightGBM) pour prédire la gravité des accidents, avec MLflow pour le suivi des expériences.</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RouteZone — Rapport E1 | Meriem Abdelouahed | Simplon Dev IA | </w:t>
    </w:r>
    <w:r>
      <w:rPr>
        <w:color w:val="888888"/>
        <w:sz w:val="16"/>
        <w:szCs w:val="16"/>
      </w:rPr>
      <w:fldChar w:fldCharType="begin"/>
      <w:instrText xml:space="preserve">PAGE</w:instrText>
      <w:fldChar w:fldCharType="separate"/>
      <w:fldChar w:fldCharType="end"/>
    </w:r>
    <w:r>
      <w:rPr>
        <w:color w:val="888888"/>
        <w:sz w:val="16"/>
        <w:szCs w:val="16"/>
      </w:rPr>
      <w:t xml:space="preserve">/</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BDD7EE" w:sz="4" w:space="1"/>
      </w:pBdr>
      <w:spacing w:after="120" w:before="240"/>
      <w:outlineLvl w:val="0"/>
    </w:pPr>
    <w:rPr>
      <w:rFonts w:ascii="Arial" w:cs="Arial" w:eastAsia="Arial" w:hAnsi="Arial"/>
      <w:b/>
      <w:bCs/>
      <w:color w:val="1F4E79"/>
      <w:sz w:val="28"/>
      <w:szCs w:val="28"/>
    </w:rPr>
  </w:style>
  <w:style w:type="paragraph" w:styleId="Heading2">
    <w:name w:val="Heading 2"/>
    <w:basedOn w:val="Normal"/>
    <w:next w:val="Normal"/>
    <w:qFormat/>
    <w:pPr>
      <w:spacing w:after="100" w:before="180"/>
      <w:outlineLvl w:val="1"/>
    </w:pPr>
    <w:rPr>
      <w:rFonts w:ascii="Arial" w:cs="Arial" w:eastAsia="Arial" w:hAnsi="Arial"/>
      <w:b/>
      <w:bCs/>
      <w:color w:val="1F4E7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2026-04-06T19:12:01.702Z</dcterms:created>
  <dcterms:modified xsi:type="dcterms:W3CDTF">2026-04-06T19:12:01.703Z</dcterms:modified>
</cp:coreProperties>
</file>

<file path=docProps/custom.xml><?xml version="1.0" encoding="utf-8"?>
<Properties xmlns="http://schemas.openxmlformats.org/officeDocument/2006/custom-properties" xmlns:vt="http://schemas.openxmlformats.org/officeDocument/2006/docPropsVTypes"/>
</file>