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160" w:line="240"/>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1F4E79"/>
          <w:spacing w:val="0"/>
          <w:position w:val="0"/>
          <w:sz w:val="64"/>
          <w:shd w:fill="auto" w:val="clear"/>
        </w:rPr>
        <w:t xml:space="preserve">ROUTEZONE</w:t>
      </w:r>
    </w:p>
    <w:p>
      <w:pPr>
        <w:spacing w:before="0" w:after="120" w:line="240"/>
        <w:ind w:right="0" w:left="0" w:firstLine="0"/>
        <w:jc w:val="center"/>
        <w:rPr>
          <w:rFonts w:ascii="Arial" w:hAnsi="Arial" w:cs="Arial" w:eastAsia="Arial"/>
          <w:color w:val="auto"/>
          <w:spacing w:val="0"/>
          <w:position w:val="0"/>
          <w:sz w:val="20"/>
          <w:shd w:fill="auto" w:val="clear"/>
        </w:rPr>
      </w:pPr>
      <w:r>
        <w:rPr>
          <w:rFonts w:ascii="Arial" w:hAnsi="Arial" w:cs="Arial" w:eastAsia="Arial"/>
          <w:color w:val="555555"/>
          <w:spacing w:val="0"/>
          <w:position w:val="0"/>
          <w:sz w:val="28"/>
          <w:shd w:fill="auto" w:val="clear"/>
        </w:rPr>
        <w:t xml:space="preserve">Prédiction de la gravité des accidents routiers</w:t>
      </w:r>
    </w:p>
    <w:p>
      <w:pPr>
        <w:spacing w:before="0" w:after="300" w:line="240"/>
        <w:ind w:right="0" w:left="0" w:firstLine="0"/>
        <w:jc w:val="center"/>
        <w:rPr>
          <w:rFonts w:ascii="Arial" w:hAnsi="Arial" w:cs="Arial" w:eastAsia="Arial"/>
          <w:color w:val="auto"/>
          <w:spacing w:val="0"/>
          <w:position w:val="0"/>
          <w:sz w:val="20"/>
          <w:shd w:fill="auto" w:val="clear"/>
        </w:rPr>
      </w:pPr>
      <w:r>
        <w:rPr>
          <w:rFonts w:ascii="Arial" w:hAnsi="Arial" w:cs="Arial" w:eastAsia="Arial"/>
          <w:b/>
          <w:color w:val="1F4E79"/>
          <w:spacing w:val="0"/>
          <w:position w:val="0"/>
          <w:sz w:val="32"/>
          <w:shd w:fill="auto" w:val="clear"/>
        </w:rPr>
        <w:t xml:space="preserve">RAPPORT PROFESSIONNEL </w:t>
      </w:r>
      <w:r>
        <w:rPr>
          <w:rFonts w:ascii="Arial" w:hAnsi="Arial" w:cs="Arial" w:eastAsia="Arial"/>
          <w:b/>
          <w:color w:val="1F4E79"/>
          <w:spacing w:val="0"/>
          <w:position w:val="0"/>
          <w:sz w:val="32"/>
          <w:shd w:fill="auto" w:val="clear"/>
        </w:rPr>
        <w:t xml:space="preserve">—</w:t>
      </w:r>
      <w:r>
        <w:rPr>
          <w:rFonts w:ascii="Arial" w:hAnsi="Arial" w:cs="Arial" w:eastAsia="Arial"/>
          <w:b/>
          <w:color w:val="1F4E79"/>
          <w:spacing w:val="0"/>
          <w:position w:val="0"/>
          <w:sz w:val="32"/>
          <w:shd w:fill="auto" w:val="clear"/>
        </w:rPr>
        <w:t xml:space="preserve"> </w:t>
      </w:r>
      <w:r>
        <w:rPr>
          <w:rFonts w:ascii="Arial" w:hAnsi="Arial" w:cs="Arial" w:eastAsia="Arial"/>
          <w:b/>
          <w:color w:val="1F4E79"/>
          <w:spacing w:val="0"/>
          <w:position w:val="0"/>
          <w:sz w:val="32"/>
          <w:shd w:fill="auto" w:val="clear"/>
        </w:rPr>
        <w:t xml:space="preserve">ÉPREUVE E1</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9026"/>
      </w:tblGrid>
      <w:tr>
        <w:trPr>
          <w:trHeight w:val="1" w:hRule="atLeast"/>
          <w:jc w:val="left"/>
        </w:trPr>
        <w:tc>
          <w:tcPr>
            <w:tcW w:w="9026"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Candidate : Meriem Abdelouahed</w:t>
            </w:r>
          </w:p>
        </w:tc>
      </w:tr>
      <w:tr>
        <w:trPr>
          <w:trHeight w:val="1" w:hRule="atLeast"/>
          <w:jc w:val="left"/>
        </w:trPr>
        <w:tc>
          <w:tcPr>
            <w:tcW w:w="9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Formation : Développeur en Intelligence Artificielle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Simplon x Microsoft</w:t>
            </w:r>
          </w:p>
        </w:tc>
      </w:tr>
      <w:tr>
        <w:trPr>
          <w:trHeight w:val="1" w:hRule="atLeast"/>
          <w:jc w:val="left"/>
        </w:trPr>
        <w:tc>
          <w:tcPr>
            <w:tcW w:w="9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Certification : RNCP37827</w:t>
            </w:r>
          </w:p>
        </w:tc>
      </w:tr>
      <w:tr>
        <w:trPr>
          <w:trHeight w:val="1" w:hRule="atLeast"/>
          <w:jc w:val="left"/>
        </w:trPr>
        <w:tc>
          <w:tcPr>
            <w:tcW w:w="9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Formateurs : Abdel Sakhri, Wissem Benchelbi, Guillaume Soulat</w:t>
            </w:r>
          </w:p>
        </w:tc>
      </w:tr>
      <w:tr>
        <w:trPr>
          <w:trHeight w:val="1" w:hRule="atLeast"/>
          <w:jc w:val="left"/>
        </w:trPr>
        <w:tc>
          <w:tcPr>
            <w:tcW w:w="9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Soutenance : 22-24 juin 2026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distanciel</w:t>
            </w:r>
          </w:p>
        </w:tc>
      </w:tr>
      <w:tr>
        <w:trPr>
          <w:trHeight w:val="1" w:hRule="atLeast"/>
          <w:jc w:val="left"/>
        </w:trPr>
        <w:tc>
          <w:tcPr>
            <w:tcW w:w="9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Données : BAAC 2022-2024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data.gouv.fr | Open-Meteo | ONISR</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 </w:t>
      </w:r>
    </w:p>
    <w:p>
      <w:pPr>
        <w:spacing w:before="0" w:after="0" w:line="240"/>
        <w:ind w:right="0" w:left="0" w:firstLine="0"/>
        <w:jc w:val="left"/>
        <w:rPr>
          <w:rFonts w:ascii="Arial" w:hAnsi="Arial" w:cs="Arial" w:eastAsia="Arial"/>
          <w:color w:val="auto"/>
          <w:spacing w:val="0"/>
          <w:position w:val="0"/>
          <w:sz w:val="20"/>
          <w:shd w:fill="auto" w:val="clear"/>
        </w:rPr>
      </w:pPr>
    </w:p>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 Contexte et objectif</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RouteZone est un système de machine learning visant à prédire la gravité d'un accident routier (indemne, blessé léger, hospitalisé, tué) à partir de données factuelles. Les données sources sont les fichiers BAAC (Bulletin d'Analyse des Accidents Corporels) 2022-2024, publiés en open data par le Ministère de l'Intérieur, enrichis par des données météo réelles et des statistiques ONISR.</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2000"/>
        <w:gridCol w:w="3800"/>
        <w:gridCol w:w="3226"/>
      </w:tblGrid>
      <w:tr>
        <w:trPr>
          <w:trHeight w:val="1" w:hRule="atLeast"/>
          <w:jc w:val="left"/>
        </w:trPr>
        <w:tc>
          <w:tcPr>
            <w:tcW w:w="2000"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Compétence</w:t>
            </w:r>
          </w:p>
        </w:tc>
        <w:tc>
          <w:tcPr>
            <w:tcW w:w="3800"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Action réalisée</w:t>
            </w:r>
          </w:p>
        </w:tc>
        <w:tc>
          <w:tcPr>
            <w:tcW w:w="3226"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Livrable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C1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Collecte multi-sources</w:t>
            </w:r>
          </w:p>
        </w:tc>
        <w:tc>
          <w:tcPr>
            <w:tcW w:w="3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12 CSV BAAC + API Open-Meteo + scraping ONISR</w:t>
            </w:r>
          </w:p>
        </w:tc>
        <w:tc>
          <w:tcPr>
            <w:tcW w:w="32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3 notebooks + 2 scripts .py</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C2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Requ</w:t>
            </w:r>
            <w:r>
              <w:rPr>
                <w:rFonts w:ascii="Arial" w:hAnsi="Arial" w:cs="Arial" w:eastAsia="Arial"/>
                <w:color w:val="auto"/>
                <w:spacing w:val="0"/>
                <w:position w:val="0"/>
                <w:sz w:val="18"/>
                <w:shd w:fill="auto" w:val="clear"/>
              </w:rPr>
              <w:t xml:space="preserve">êtes SQL</w:t>
            </w:r>
          </w:p>
        </w:tc>
        <w:tc>
          <w:tcPr>
            <w:tcW w:w="38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Requêtes de vérification et d'exposition des données</w:t>
            </w:r>
          </w:p>
        </w:tc>
        <w:tc>
          <w:tcPr>
            <w:tcW w:w="32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main.py FastAPI + BDD SQLite</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C3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Nettoyage / agr</w:t>
            </w:r>
            <w:r>
              <w:rPr>
                <w:rFonts w:ascii="Arial" w:hAnsi="Arial" w:cs="Arial" w:eastAsia="Arial"/>
                <w:color w:val="auto"/>
                <w:spacing w:val="0"/>
                <w:position w:val="0"/>
                <w:sz w:val="18"/>
                <w:shd w:fill="auto" w:val="clear"/>
              </w:rPr>
              <w:t xml:space="preserve">égation</w:t>
            </w:r>
          </w:p>
        </w:tc>
        <w:tc>
          <w:tcPr>
            <w:tcW w:w="3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10 étapes de nettoyage, merge 4 tables, 413 570 lignes</w:t>
            </w:r>
          </w:p>
        </w:tc>
        <w:tc>
          <w:tcPr>
            <w:tcW w:w="32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notebook_01 + dataset_clean.csv</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C4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Base de donn</w:t>
            </w:r>
            <w:r>
              <w:rPr>
                <w:rFonts w:ascii="Arial" w:hAnsi="Arial" w:cs="Arial" w:eastAsia="Arial"/>
                <w:color w:val="auto"/>
                <w:spacing w:val="0"/>
                <w:position w:val="0"/>
                <w:sz w:val="18"/>
                <w:shd w:fill="auto" w:val="clear"/>
              </w:rPr>
              <w:t xml:space="preserve">ées</w:t>
            </w:r>
          </w:p>
        </w:tc>
        <w:tc>
          <w:tcPr>
            <w:tcW w:w="38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Modèle Merise (MCD/MPD), SQLite, scripts d'import</w:t>
            </w:r>
          </w:p>
        </w:tc>
        <w:tc>
          <w:tcPr>
            <w:tcW w:w="32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schema_merise.md + create_db.sql</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C5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API REST Data</w:t>
            </w:r>
          </w:p>
        </w:tc>
        <w:tc>
          <w:tcPr>
            <w:tcW w:w="3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FastAPI 6 endpoints documentés Swagger</w:t>
            </w:r>
          </w:p>
        </w:tc>
        <w:tc>
          <w:tcPr>
            <w:tcW w:w="32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api_data/main.py</w:t>
            </w: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2. Collecte des données</w:t>
      </w:r>
    </w:p>
    <w:p>
      <w:pPr>
        <w:spacing w:before="180" w:after="100" w:line="240"/>
        <w:ind w:right="0" w:left="0" w:firstLine="0"/>
        <w:jc w:val="left"/>
        <w:rPr>
          <w:rFonts w:ascii="Arial" w:hAnsi="Arial" w:cs="Arial" w:eastAsia="Arial"/>
          <w:b/>
          <w:color w:val="1F4E79"/>
          <w:spacing w:val="0"/>
          <w:position w:val="0"/>
          <w:sz w:val="24"/>
          <w:shd w:fill="auto" w:val="clear"/>
        </w:rPr>
      </w:pPr>
      <w:r>
        <w:rPr>
          <w:rFonts w:ascii="Arial" w:hAnsi="Arial" w:cs="Arial" w:eastAsia="Arial"/>
          <w:b/>
          <w:color w:val="1F4E79"/>
          <w:spacing w:val="0"/>
          <w:position w:val="0"/>
          <w:sz w:val="24"/>
          <w:shd w:fill="auto" w:val="clear"/>
        </w:rPr>
        <w:t xml:space="preserve">2.1 Données BAAC</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Les fichiers BAAC sont organisés en 4 tables (caract, lieux, usagers, vehicules) représentant respectivement les caractéristiques de l'accident, du lieu, des usagers et des véhicules. La clé de liaison est Num_Acc. Au total : 12 fichiers CSV chargés, 164 526 accidents sur 3 ans avant nettoyage.</w:t>
      </w:r>
    </w:p>
    <w:p>
      <w:pPr>
        <w:spacing w:before="180" w:after="100" w:line="240"/>
        <w:ind w:right="0" w:left="0" w:firstLine="0"/>
        <w:jc w:val="left"/>
        <w:rPr>
          <w:rFonts w:ascii="Arial" w:hAnsi="Arial" w:cs="Arial" w:eastAsia="Arial"/>
          <w:b/>
          <w:color w:val="1F4E79"/>
          <w:spacing w:val="0"/>
          <w:position w:val="0"/>
          <w:sz w:val="24"/>
          <w:shd w:fill="auto" w:val="clear"/>
        </w:rPr>
      </w:pPr>
      <w:r>
        <w:rPr>
          <w:rFonts w:ascii="Arial" w:hAnsi="Arial" w:cs="Arial" w:eastAsia="Arial"/>
          <w:b/>
          <w:color w:val="1F4E79"/>
          <w:spacing w:val="0"/>
          <w:position w:val="0"/>
          <w:sz w:val="24"/>
          <w:shd w:fill="auto" w:val="clear"/>
        </w:rPr>
        <w:t xml:space="preserve">2.2 Enrichissement API Open-Meteo</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 colonne atm du BAAC code les conditions météo de façon déclarative et subjective. L'API Open-Meteo (gratuite, sans clé) fournit la météo réelle heure par heure par coordonnées GPS. Elle enrichit le dataset avec temperature (°C), precipitation (mm) et windspeed (km/h) pour chaque accident. La collecte sur 413 570 accidents s'effectue via une boucle Python avec une pause de 0.1 seconde entre chaque requête pour respecter les limites de l'API.</w:t>
      </w:r>
    </w:p>
    <w:p>
      <w:pPr>
        <w:spacing w:before="180" w:after="100" w:line="240"/>
        <w:ind w:right="0" w:left="0" w:firstLine="0"/>
        <w:jc w:val="left"/>
        <w:rPr>
          <w:rFonts w:ascii="Arial" w:hAnsi="Arial" w:cs="Arial" w:eastAsia="Arial"/>
          <w:b/>
          <w:color w:val="1F4E79"/>
          <w:spacing w:val="0"/>
          <w:position w:val="0"/>
          <w:sz w:val="24"/>
          <w:shd w:fill="auto" w:val="clear"/>
        </w:rPr>
      </w:pPr>
      <w:r>
        <w:rPr>
          <w:rFonts w:ascii="Arial" w:hAnsi="Arial" w:cs="Arial" w:eastAsia="Arial"/>
          <w:b/>
          <w:color w:val="1F4E79"/>
          <w:spacing w:val="0"/>
          <w:position w:val="0"/>
          <w:sz w:val="24"/>
          <w:shd w:fill="auto" w:val="clear"/>
        </w:rPr>
        <w:t xml:space="preserve">2.3 Scraping ONISR</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 baromètre mensuel ONISR (nombre de tués sur les routes) n'est pas disponible en CSV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il est scrap</w:t>
      </w:r>
      <w:r>
        <w:rPr>
          <w:rFonts w:ascii="Arial" w:hAnsi="Arial" w:cs="Arial" w:eastAsia="Arial"/>
          <w:color w:val="auto"/>
          <w:spacing w:val="0"/>
          <w:position w:val="0"/>
          <w:sz w:val="20"/>
          <w:shd w:fill="auto" w:val="clear"/>
        </w:rPr>
        <w:t xml:space="preserve">é via requests et BeautifulSoup. En inspectant le HTML du site, j'ai découvert un filtre d'URL par année (field_annees_target_id) permettant de cibler directement 2022, 2023 et 2024 sans parcourir toutes les pages. Les données scrapées sont comparées aux tués du dataset BAAC pour valider la qualité des données.</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2.4. PARLER PEUT ETRE DE LA PARTIE INTERVENTIONS DES AMBULANCIERS ???</w:t>
      </w:r>
    </w:p>
    <w:p>
      <w:pPr>
        <w:spacing w:before="0" w:after="0" w:line="240"/>
        <w:ind w:right="0" w:left="0" w:firstLine="0"/>
        <w:jc w:val="left"/>
        <w:rPr>
          <w:rFonts w:ascii="Arial" w:hAnsi="Arial" w:cs="Arial" w:eastAsia="Arial"/>
          <w:color w:val="auto"/>
          <w:spacing w:val="0"/>
          <w:position w:val="0"/>
          <w:sz w:val="20"/>
          <w:shd w:fill="auto" w:val="clear"/>
        </w:rPr>
      </w:pPr>
    </w:p>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3. Nettoyage et préparation </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 nettoyage s'est effectué en 10 étapes ordonnées sur les tables brutes avant merge :</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Correction Accident_Id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Num_Acc sur caract 2022 (bug de nommage qui aurait cassé tous les merges)</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Concaténation des 3 années par table</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Remplacement des -1 par NaN (convention BAAC : -1 = non renseigné)</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Visualisation des NaN avec missingno</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Suppression des 2 doublons stricts détectés dans lieux</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Correction des types (colonnes numériques lues comme texte)</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Correction des coordonnées GPS (virgule </w:t>
      </w:r>
      <w:r>
        <w:rPr>
          <w:rFonts w:ascii="Cambria Math" w:hAnsi="Cambria Math" w:cs="Cambria Math" w:eastAsia="Cambria Math"/>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point, filtrage DOM-TOM : -9 578 lignes)</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Suppression des colonnes inutiles (&gt;90% NaN ou sans valeur pour la modélisation)</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Traitement des NaN : suppression pour grav/sexe/dep, mode pour catégorielles, médiane pour numériques</w:t>
      </w:r>
    </w:p>
    <w:p>
      <w:pPr>
        <w:numPr>
          <w:ilvl w:val="0"/>
          <w:numId w:val="60"/>
        </w:numPr>
        <w:spacing w:before="0" w:after="60" w:line="240"/>
        <w:ind w:right="0" w:left="560" w:hanging="28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Résumé de nettoyage : 0 NaN restant dans toutes les tables</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Merge des 4 tables via left joins sur Num_Acc. Dataset final : 413 570 lignes, 44 colonnes. Création de 3 variables dérivées : age (an - an_nais), heure (extrait de hrmn), jour_semaine.</w:t>
      </w:r>
    </w:p>
    <w:p>
      <w:pPr>
        <w:spacing w:before="0" w:after="0" w:line="240"/>
        <w:ind w:right="0" w:left="0" w:firstLine="0"/>
        <w:jc w:val="left"/>
        <w:rPr>
          <w:rFonts w:ascii="Arial" w:hAnsi="Arial" w:cs="Arial" w:eastAsia="Arial"/>
          <w:color w:val="auto"/>
          <w:spacing w:val="0"/>
          <w:position w:val="0"/>
          <w:sz w:val="20"/>
          <w:shd w:fill="auto" w:val="clear"/>
        </w:rPr>
      </w:pP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Deux analyses de biais ont été réalisées à la demande du formateur : biais de représentation sexe (volume brut vs taux corrigé) et biais géographique (volume brut vs taux pour 100 000 habitants). Ces analyses illustrent l'importance d'une approche critique des données en data science.</w:t>
      </w:r>
    </w:p>
    <w:p>
      <w:pPr>
        <w:spacing w:before="0" w:after="0" w:line="240"/>
        <w:ind w:right="0" w:left="0" w:firstLine="0"/>
        <w:jc w:val="left"/>
        <w:rPr>
          <w:rFonts w:ascii="Arial" w:hAnsi="Arial" w:cs="Arial" w:eastAsia="Arial"/>
          <w:color w:val="auto"/>
          <w:spacing w:val="0"/>
          <w:position w:val="0"/>
          <w:sz w:val="20"/>
          <w:shd w:fill="auto" w:val="clear"/>
        </w:rPr>
      </w:pPr>
    </w:p>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4. Base de données SQLite </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 base RouteZone est modélisée selon la méthode Merise (MCD puis MPD) et implémentée en PostgresSQL. SQLite est un logiciel de base de données, choisi pour ses fonctionnalités robustes et sa fiabilité. La base contient 6 tables : accidents, lieux, usagers, vehicules (données BAAC), meteo (API Open-Meteo) et barometre_onisr (scraping). Les scripts d'alimentation sont : import_data.py (153 054accidents importés), collect_meteo.py et scraping_onisr.py.</w:t>
      </w:r>
    </w:p>
    <w:p>
      <w:pPr>
        <w:spacing w:before="0" w:after="0" w:line="240"/>
        <w:ind w:right="0" w:left="0" w:firstLine="0"/>
        <w:jc w:val="left"/>
        <w:rPr>
          <w:rFonts w:ascii="Arial" w:hAnsi="Arial" w:cs="Arial" w:eastAsia="Arial"/>
          <w:color w:val="auto"/>
          <w:spacing w:val="0"/>
          <w:position w:val="0"/>
          <w:sz w:val="20"/>
          <w:shd w:fill="auto" w:val="clear"/>
        </w:rPr>
      </w:pPr>
    </w:p>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5. API REST Data </w:t>
      </w:r>
      <w:r>
        <w:rPr>
          <w:rFonts w:ascii="Arial" w:hAnsi="Arial" w:cs="Arial" w:eastAsia="Arial"/>
          <w:b/>
          <w:color w:val="1F4E79"/>
          <w:spacing w:val="0"/>
          <w:position w:val="0"/>
          <w:sz w:val="28"/>
          <w:shd w:fill="auto" w:val="clear"/>
        </w:rPr>
        <w:t xml:space="preserve">—</w:t>
      </w:r>
      <w:r>
        <w:rPr>
          <w:rFonts w:ascii="Arial" w:hAnsi="Arial" w:cs="Arial" w:eastAsia="Arial"/>
          <w:b/>
          <w:color w:val="1F4E79"/>
          <w:spacing w:val="0"/>
          <w:position w:val="0"/>
          <w:sz w:val="28"/>
          <w:shd w:fill="auto" w:val="clear"/>
        </w:rPr>
        <w:t xml:space="preserve"> FastAPI </w:t>
      </w: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L'API expose les données via 6 endpoints documentés automatiquement (Swagger UI sur /docs). Elle est lancée par la commande python -m uvicorn main:app --reload depuis le dossier api_data/.</w:t>
      </w:r>
    </w:p>
    <w:p>
      <w:pPr>
        <w:spacing w:before="0" w:after="0" w:line="240"/>
        <w:ind w:right="0" w:left="0" w:firstLine="0"/>
        <w:jc w:val="left"/>
        <w:rPr>
          <w:rFonts w:ascii="Arial" w:hAnsi="Arial" w:cs="Arial" w:eastAsia="Arial"/>
          <w:color w:val="auto"/>
          <w:spacing w:val="0"/>
          <w:position w:val="0"/>
          <w:sz w:val="20"/>
          <w:shd w:fill="auto" w:val="clear"/>
        </w:rPr>
      </w:pPr>
    </w:p>
    <w:tbl>
      <w:tblPr/>
      <w:tblGrid>
        <w:gridCol w:w="3000"/>
        <w:gridCol w:w="6026"/>
      </w:tblGrid>
      <w:tr>
        <w:trPr>
          <w:trHeight w:val="1" w:hRule="atLeast"/>
          <w:jc w:val="left"/>
        </w:trPr>
        <w:tc>
          <w:tcPr>
            <w:tcW w:w="3000"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Endpoint</w:t>
            </w:r>
          </w:p>
        </w:tc>
        <w:tc>
          <w:tcPr>
            <w:tcW w:w="6026"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Description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Accueil </w:t>
            </w:r>
            <w:r>
              <w:rPr>
                <w:rFonts w:ascii="Arial" w:hAnsi="Arial" w:cs="Arial" w:eastAsia="Arial"/>
                <w:color w:val="auto"/>
                <w:spacing w:val="0"/>
                <w:position w:val="0"/>
                <w:sz w:val="18"/>
                <w:shd w:fill="auto" w:val="clear"/>
              </w:rPr>
              <w:t xml:space="preserve">—</w:t>
            </w:r>
            <w:r>
              <w:rPr>
                <w:rFonts w:ascii="Arial" w:hAnsi="Arial" w:cs="Arial" w:eastAsia="Arial"/>
                <w:color w:val="auto"/>
                <w:spacing w:val="0"/>
                <w:position w:val="0"/>
                <w:sz w:val="18"/>
                <w:shd w:fill="auto" w:val="clear"/>
              </w:rPr>
              <w:t xml:space="preserve"> v</w:t>
            </w:r>
            <w:r>
              <w:rPr>
                <w:rFonts w:ascii="Arial" w:hAnsi="Arial" w:cs="Arial" w:eastAsia="Arial"/>
                <w:color w:val="auto"/>
                <w:spacing w:val="0"/>
                <w:position w:val="0"/>
                <w:sz w:val="18"/>
                <w:shd w:fill="auto" w:val="clear"/>
              </w:rPr>
              <w:t xml:space="preserve">érifie que l'API est en ligne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/accidents</w:t>
            </w:r>
          </w:p>
        </w:tc>
        <w:tc>
          <w:tcPr>
            <w:tcW w:w="6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Liste des accidents avec filtres : département, année, gravité (max 1000 résultats)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/accidents/stats</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Statistiques globales : total, répartition par année et gravité, top 10 départements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/accidents/departement/{dep}</w:t>
            </w:r>
          </w:p>
        </w:tc>
        <w:tc>
          <w:tcPr>
            <w:tcW w:w="6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Stats mensuelles pour un département précis (ex: /accidents/departement/69)</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/accidents/gravite</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Répartition des usagers par niveau de gravité avec pourcentages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/meteo/stats</w:t>
            </w:r>
          </w:p>
        </w:tc>
        <w:tc>
          <w:tcPr>
            <w:tcW w:w="6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Statistiques sur les données météo API collectées</w:t>
            </w:r>
          </w:p>
        </w:tc>
      </w:tr>
      <w:tr>
        <w:trPr>
          <w:trHeight w:val="240" w:hRule="auto"/>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GET /onisr/barometre</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Baromètres mensuels ONISR avec filtre par année</w:t>
            </w:r>
          </w:p>
        </w:tc>
      </w:tr>
      <w:tr>
        <w:trPr>
          <w:trHeight w:val="216" w:hRule="auto"/>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DELETE /me/predictions</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l'API supprime toutes les prédictions de l'utilisateur de la table prédictions. (droit à l'oubli RGPD)</w:t>
            </w:r>
          </w:p>
        </w:tc>
      </w:tr>
      <w:tr>
        <w:trPr>
          <w:trHeight w:val="216" w:hRule="auto"/>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GET /me/predictions/export</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l'API renvoie toutes les prédictions de l'utilisateur au format JSON afin de les télécharger (droit à la portabilité RGPD)</w:t>
            </w:r>
          </w:p>
        </w:tc>
      </w:tr>
      <w:tr>
        <w:trPr>
          <w:trHeight w:val="216" w:hRule="auto"/>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6.Tests et qualité</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Pytest est utilisé pour garantir la fiabilité et la qualité d'un programme Python. Il aide à detecter rapidement les erreurs après chaque modifications de code. Ici 29 tests automatisés sont présent dans le cycle d'intégration continue</w:t>
      </w:r>
      <w:r>
        <w:rPr>
          <w:rFonts w:ascii="Calibri" w:hAnsi="Calibri" w:cs="Calibri" w:eastAsia="Calibri"/>
          <w:color w:val="auto"/>
          <w:spacing w:val="0"/>
          <w:position w:val="0"/>
          <w:sz w:val="22"/>
          <w:shd w:fill="auto" w:val="clear"/>
        </w:rPr>
        <w:t xml:space="preserve">— 17 sur l'API donn</w:t>
      </w:r>
      <w:r>
        <w:rPr>
          <w:rFonts w:ascii="Calibri" w:hAnsi="Calibri" w:cs="Calibri" w:eastAsia="Calibri"/>
          <w:color w:val="auto"/>
          <w:spacing w:val="0"/>
          <w:position w:val="0"/>
          <w:sz w:val="22"/>
          <w:shd w:fill="auto" w:val="clear"/>
        </w:rPr>
        <w:t xml:space="preserve">ées et 13 sur l'API IA. Ils vérifient l'authentification, la structure des réponses, la validation des données et la cohérence métier. </w:t>
      </w:r>
    </w:p>
    <w:p>
      <w:pPr>
        <w:spacing w:before="240" w:after="120" w:line="240"/>
        <w:ind w:right="0" w:left="0" w:firstLine="0"/>
        <w:jc w:val="left"/>
        <w:rPr>
          <w:rFonts w:ascii="Arial" w:hAnsi="Arial" w:cs="Arial" w:eastAsia="Arial"/>
          <w:b/>
          <w:color w:val="1F4E79"/>
          <w:spacing w:val="0"/>
          <w:position w:val="0"/>
          <w:sz w:val="28"/>
          <w:shd w:fill="auto" w:val="clear"/>
        </w:rPr>
      </w:pPr>
      <w:r>
        <w:object w:dxaOrig="8424" w:dyaOrig="8748">
          <v:rect xmlns:o="urn:schemas-microsoft-com:office:office" xmlns:v="urn:schemas-microsoft-com:vml" id="rectole0000000000" style="width:421.200000pt;height:437.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240" w:after="120" w:line="240"/>
        <w:ind w:right="0" w:left="0" w:firstLine="0"/>
        <w:jc w:val="left"/>
        <w:rPr>
          <w:rFonts w:ascii="Arial" w:hAnsi="Arial" w:cs="Arial" w:eastAsia="Arial"/>
          <w:b/>
          <w:color w:val="FF0000"/>
          <w:spacing w:val="0"/>
          <w:position w:val="0"/>
          <w:sz w:val="28"/>
          <w:shd w:fill="auto" w:val="clear"/>
        </w:rPr>
      </w:pPr>
      <w:r>
        <w:rPr>
          <w:rFonts w:ascii="Arial" w:hAnsi="Arial" w:cs="Arial" w:eastAsia="Arial"/>
          <w:b/>
          <w:color w:val="FF0000"/>
          <w:spacing w:val="0"/>
          <w:position w:val="0"/>
          <w:sz w:val="28"/>
          <w:shd w:fill="auto" w:val="clear"/>
        </w:rPr>
        <w:t xml:space="preserve">MAIS POURQUOI EN PARLER ICI C PAS PLUTOT DANS UN AUTRE NOTEBOOK ?? </w:t>
      </w:r>
    </w:p>
    <w:p>
      <w:pPr>
        <w:spacing w:before="24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7. Conclusion</w:t>
      </w:r>
    </w:p>
    <w:tbl>
      <w:tblPr/>
      <w:tblGrid>
        <w:gridCol w:w="3000"/>
        <w:gridCol w:w="6026"/>
      </w:tblGrid>
      <w:tr>
        <w:trPr>
          <w:trHeight w:val="1" w:hRule="atLeast"/>
          <w:jc w:val="left"/>
        </w:trPr>
        <w:tc>
          <w:tcPr>
            <w:tcW w:w="3000"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Livrable</w:t>
            </w:r>
          </w:p>
        </w:tc>
        <w:tc>
          <w:tcPr>
            <w:tcW w:w="6026" w:type="dxa"/>
            <w:tcBorders>
              <w:top w:val="single" w:color="ffffff" w:sz="1"/>
              <w:left w:val="single" w:color="ffffff" w:sz="1"/>
              <w:bottom w:val="single" w:color="ffffff" w:sz="1"/>
              <w:right w:val="single" w:color="ffffff" w:sz="1"/>
            </w:tcBorders>
            <w:shd w:color="000000" w:fill="1f4e79"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Détails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Dataset nettoyé</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413 570 lignes | 44 colonnes | 0 NaN | dataset_clean.csv</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Dataset enrichi</w:t>
            </w:r>
          </w:p>
        </w:tc>
        <w:tc>
          <w:tcPr>
            <w:tcW w:w="6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 temperature, precipitation, windspeed, weathercode | dataset_enriched.csv</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Base de données</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6 tables SQLite | 153 054 accidents | routezone.db</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Notebooks</w:t>
            </w:r>
          </w:p>
        </w:tc>
        <w:tc>
          <w:tcPr>
            <w:tcW w:w="6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3 notebooks documentés : EDA/nettoyage, API météo, scraping ONISR</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Scripts production</w:t>
            </w:r>
          </w:p>
        </w:tc>
        <w:tc>
          <w:tcPr>
            <w:tcW w:w="6026"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collect_meteo.py, scraping_onisr.py, import_data.py</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API FastAPI</w:t>
            </w:r>
          </w:p>
        </w:tc>
        <w:tc>
          <w:tcPr>
            <w:tcW w:w="6026" w:type="dxa"/>
            <w:tcBorders>
              <w:top w:val="single" w:color="cccccc" w:sz="1"/>
              <w:left w:val="single" w:color="cccccc" w:sz="1"/>
              <w:bottom w:val="single" w:color="cccccc" w:sz="1"/>
              <w:right w:val="single" w:color="cccccc" w:sz="1"/>
            </w:tcBorders>
            <w:shd w:color="000000" w:fill="f7fb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6 endpoints | documentation Swagger | lancée sur </w:t>
            </w:r>
            <w:hyperlink xmlns:r="http://schemas.openxmlformats.org/officeDocument/2006/relationships" r:id="docRId2">
              <w:r>
                <w:rPr>
                  <w:rFonts w:ascii="Arial" w:hAnsi="Arial" w:cs="Arial" w:eastAsia="Arial"/>
                  <w:color w:val="0000FF"/>
                  <w:spacing w:val="0"/>
                  <w:position w:val="0"/>
                  <w:sz w:val="18"/>
                  <w:u w:val="single"/>
                  <w:shd w:fill="auto" w:val="clear"/>
                </w:rPr>
                <w:t xml:space="preserve">http://127.0.0.1:8000/docs</w:t>
              </w:r>
            </w:hyperlink>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0" w:after="120" w:line="240"/>
        <w:ind w:right="0" w:left="0" w:firstLine="0"/>
        <w:jc w:val="both"/>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Le Bloc 1 constitue le socle de données du projet RouteZone. Le dataset enrichi et l'API de données alimenteront le Bloc 2 : entraînement et comparaison de modèles de classification (Random Forest, XGBoost, LightGBM) pour prédire la gravité des accidents, avec MLflow pour le suivi des expériences.</w:t>
      </w:r>
    </w:p>
  </w:body>
</w:document>
</file>

<file path=word/numbering.xml><?xml version="1.0" encoding="utf-8"?>
<w:numbering xmlns:w="http://schemas.openxmlformats.org/wordprocessingml/2006/main">
  <w:abstractNum w:abstractNumId="0">
    <w:lvl w:ilvl="0">
      <w:start w:val="1"/>
      <w:numFmt w:val="bullet"/>
      <w:lvlText w:val="•"/>
    </w:lvl>
  </w:abstractNum>
  <w:num w:numId="6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numbering.xml" Id="docRId3" Type="http://schemas.openxmlformats.org/officeDocument/2006/relationships/numbering" /><Relationship Target="embeddings/oleObject0.bin" Id="docRId0" Type="http://schemas.openxmlformats.org/officeDocument/2006/relationships/oleObject" /><Relationship TargetMode="External" Target="http://127.0.0.1:8000/docs" Id="docRId2" Type="http://schemas.openxmlformats.org/officeDocument/2006/relationships/hyperlink" /><Relationship Target="styles.xml" Id="docRId4" Type="http://schemas.openxmlformats.org/officeDocument/2006/relationships/styles" /></Relationships>
</file>