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3A5C"/>
          <w:sz w:val="48"/>
        </w:rPr>
        <w:t>Student Finance Manager</w:t>
      </w:r>
    </w:p>
    <w:p>
      <w:pPr>
        <w:spacing w:after="160"/>
        <w:jc w:val="center"/>
      </w:pPr>
      <w:r>
        <w:rPr>
          <w:rFonts w:ascii="Arial" w:hAnsi="Arial"/>
          <w:i/>
          <w:color w:val="2E6DA4"/>
          <w:sz w:val="22"/>
        </w:rPr>
        <w:t>Financial Report — Multi-Column Edition | Academic Year 2024/2025</w:t>
      </w:r>
    </w:p>
    <w:p>
      <w:pPr>
        <w:pBdr>
          <w:bottom w:val="single" w:sz="6" w:space="1" w:color="1A3A5C"/>
        </w:pBdr>
        <w:spacing w:after="100"/>
      </w:pPr>
    </w:p>
    <w:p>
      <w:pPr>
        <w:spacing w:before="160" w:after="60"/>
      </w:pPr>
      <w:r>
        <w:rPr>
          <w:rFonts w:ascii="Arial" w:hAnsi="Arial"/>
          <w:b/>
          <w:color w:val="1A3A5C"/>
          <w:sz w:val="24"/>
        </w:rPr>
        <w:t>Monthly Income Summary</w:t>
      </w:r>
    </w:p>
    <w:p>
      <w:pPr>
        <w:pBdr>
          <w:bottom w:val="single" w:sz="6" w:space="1" w:color="2E6DA4"/>
        </w:pBdr>
        <w:spacing w:after="100"/>
      </w:pPr>
    </w:p>
    <w:p>
      <w:pPr>
        <w:spacing w:after="100"/>
        <w:jc w:val="both"/>
      </w:pPr>
      <w:r>
        <w:rPr>
          <w:rFonts w:ascii="Arial" w:hAnsi="Arial"/>
          <w:sz w:val="19"/>
        </w:rPr>
        <w:t>March 2025 saw total income reach 1,350 BAM — the highest recorded this academic year. Part-time employment at the campus café contributed 33% of the total across 12 scheduled shifts. The merit scholarship of 300 BAM was deposited on the 15th, conditional on maintaining a GPA above 8.5.</w:t>
      </w:r>
    </w:p>
    <w:p>
      <w:pPr>
        <w:spacing w:after="100"/>
        <w:jc w:val="both"/>
      </w:pPr>
      <w:r>
        <w:rPr>
          <w:rFonts w:ascii="Arial" w:hAnsi="Arial"/>
          <w:sz w:val="19"/>
        </w:rPr>
        <w:t>Freelance web design work generated an additional 150 BAM through invoice #7, with a new 200 BAM project proposal currently pending client approval.</w:t>
      </w:r>
    </w:p>
    <w:p>
      <w:pPr>
        <w:spacing w:before="160" w:after="60"/>
      </w:pPr>
      <w:r>
        <w:rPr>
          <w:rFonts w:ascii="Arial" w:hAnsi="Arial"/>
          <w:b/>
          <w:color w:val="2E6DA4"/>
          <w:sz w:val="20"/>
        </w:rPr>
        <w:t>Income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312"/>
            <w:shd w:val="clear" w:color="auto"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BAM</w:t>
            </w:r>
          </w:p>
        </w:tc>
        <w:tc>
          <w:tcPr>
            <w:tcW w:type="dxa" w:w="3312"/>
            <w:shd w:val="clear" w:color="auto"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Part-time Job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450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33%</w:t>
            </w:r>
          </w:p>
        </w:tc>
      </w:tr>
      <w:tr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Scholarship</w:t>
            </w:r>
          </w:p>
        </w:tc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22%</w:t>
            </w:r>
          </w:p>
        </w:tc>
      </w:tr>
      <w:tr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Parental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250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19%</w:t>
            </w:r>
          </w:p>
        </w:tc>
      </w:tr>
      <w:tr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Freelance</w:t>
            </w:r>
          </w:p>
        </w:tc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150</w:t>
            </w:r>
          </w:p>
        </w:tc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11%</w:t>
            </w:r>
          </w:p>
        </w:tc>
      </w:tr>
      <w:tr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Student Loan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200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15%</w:t>
            </w:r>
          </w:p>
        </w:tc>
      </w:tr>
      <w:tr>
        <w:tc>
          <w:tcPr>
            <w:tcW w:type="dxa" w:w="3312"/>
            <w:shd w:val="clear" w:color="auto" w:fill="C8DCF5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3312"/>
            <w:shd w:val="clear" w:color="auto" w:fill="C8DCF5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1,350</w:t>
            </w:r>
          </w:p>
        </w:tc>
        <w:tc>
          <w:tcPr>
            <w:tcW w:type="dxa" w:w="3312"/>
            <w:shd w:val="clear" w:color="auto" w:fill="C8DCF5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100%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hAnsi="Arial"/>
          <w:b/>
          <w:color w:val="1A3A5C"/>
          <w:sz w:val="24"/>
        </w:rPr>
        <w:t>Expense Highlights</w:t>
      </w:r>
    </w:p>
    <w:p>
      <w:pPr>
        <w:pBdr>
          <w:bottom w:val="single" w:sz="6" w:space="1" w:color="2E6DA4"/>
        </w:pBdr>
        <w:spacing w:after="100"/>
      </w:pPr>
    </w:p>
    <w:p>
      <w:pPr>
        <w:spacing w:after="100"/>
        <w:jc w:val="both"/>
      </w:pPr>
      <w:r>
        <w:rPr>
          <w:rFonts w:ascii="Arial" w:hAnsi="Arial"/>
          <w:sz w:val="19"/>
        </w:rPr>
        <w:t>Total expenditure for March was 1,008 BAM, producing a net cash flow of +342 BAM. Two categories exceeded budget: groceries by 30 BAM and books by 30 BAM. These were offset by savings in transport (+15 BAM) and entertainment (+15 BAM).</w:t>
      </w:r>
    </w:p>
    <w:p>
      <w:pPr>
        <w:spacing w:after="100"/>
        <w:jc w:val="both"/>
      </w:pPr>
      <w:r>
        <w:rPr>
          <w:rFonts w:ascii="Arial" w:hAnsi="Arial"/>
          <w:sz w:val="19"/>
        </w:rPr>
        <w:t>Rent of 400 BAM represents 40% of total expenses — within the recommended student housing threshold. No unexpected one-off costs were incurred.</w:t>
      </w:r>
    </w:p>
    <w:p>
      <w:pPr>
        <w:spacing w:before="160" w:after="60"/>
      </w:pPr>
      <w:r>
        <w:rPr>
          <w:rFonts w:ascii="Arial" w:hAnsi="Arial"/>
          <w:b/>
          <w:color w:val="2E6DA4"/>
          <w:sz w:val="20"/>
        </w:rPr>
        <w:t>Recent 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312"/>
            <w:shd w:val="clear" w:color="auto"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12"/>
            <w:shd w:val="clear" w:color="auto"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20-Mar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Café paycheck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color w:val="008800"/>
                <w:sz w:val="17"/>
              </w:rPr>
              <w:t>+450 BAM</w:t>
            </w:r>
          </w:p>
        </w:tc>
      </w:tr>
      <w:tr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18-Mar</w:t>
            </w:r>
          </w:p>
        </w:tc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Supermarket</w:t>
            </w:r>
          </w:p>
        </w:tc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color w:val="CC0000"/>
                <w:sz w:val="17"/>
              </w:rPr>
              <w:t>-85 BAM</w:t>
            </w:r>
          </w:p>
        </w:tc>
      </w:tr>
      <w:tr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17-Mar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Bus pass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color w:val="CC0000"/>
                <w:sz w:val="17"/>
              </w:rPr>
              <w:t>-35 BAM</w:t>
            </w:r>
          </w:p>
        </w:tc>
      </w:tr>
      <w:tr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15-Mar</w:t>
            </w:r>
          </w:p>
        </w:tc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Scholarship</w:t>
            </w:r>
          </w:p>
        </w:tc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color w:val="008800"/>
                <w:sz w:val="17"/>
              </w:rPr>
              <w:t>+300 BAM</w:t>
            </w:r>
          </w:p>
        </w:tc>
      </w:tr>
      <w:tr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14-Mar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Textbook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color w:val="CC0000"/>
                <w:sz w:val="17"/>
              </w:rPr>
              <w:t>-42 BAM</w:t>
            </w:r>
          </w:p>
        </w:tc>
      </w:tr>
      <w:tr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12-Mar</w:t>
            </w:r>
          </w:p>
        </w:tc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Freelance #7</w:t>
            </w:r>
          </w:p>
        </w:tc>
        <w:tc>
          <w:tcPr>
            <w:tcW w:type="dxa" w:w="3312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color w:val="008800"/>
                <w:sz w:val="17"/>
              </w:rPr>
              <w:t>+150 BAM</w:t>
            </w:r>
          </w:p>
        </w:tc>
      </w:tr>
      <w:tr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01-Mar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Rent</w:t>
            </w:r>
          </w:p>
        </w:tc>
        <w:tc>
          <w:tcPr>
            <w:tcW w:type="dxa" w:w="3312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color w:val="CC0000"/>
                <w:sz w:val="17"/>
              </w:rPr>
              <w:t>-400 BAM</w:t>
            </w:r>
          </w:p>
        </w:tc>
      </w:tr>
    </w:tbl>
    <w:p>
      <w:r>
        <w:br w:type="column"/>
      </w:r>
    </w:p>
    <w:p>
      <w:pPr>
        <w:spacing w:before="160" w:after="60"/>
      </w:pPr>
      <w:r>
        <w:rPr>
          <w:rFonts w:ascii="Arial" w:hAnsi="Arial"/>
          <w:b/>
          <w:color w:val="1A3A5C"/>
          <w:sz w:val="24"/>
        </w:rPr>
        <w:t>Expense vs Budget</w:t>
      </w:r>
    </w:p>
    <w:p>
      <w:pPr>
        <w:pBdr>
          <w:bottom w:val="single" w:sz="6" w:space="1" w:color="2E6DA4"/>
        </w:pBdr>
        <w:spacing w:after="100"/>
      </w:pPr>
    </w:p>
    <w:p>
      <w:pPr>
        <w:spacing w:after="100"/>
        <w:jc w:val="both"/>
      </w:pPr>
      <w:r>
        <w:rPr>
          <w:rFonts w:ascii="Arial" w:hAnsi="Arial"/>
          <w:sz w:val="19"/>
        </w:rPr>
        <w:t>The table below compares budgeted versus actual spending for March. Variance is shown without borders to demonstrate the borderless table style used in the parser testing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E6DA4"/>
            <w:tcBorders>
              <w:bottom w:val="single" w:sz="8" w:color="1A3A5C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312"/>
            <w:shd w:val="clear" w:color="auto" w:fill="2E6DA4"/>
            <w:tcBorders>
              <w:bottom w:val="single" w:sz="8" w:color="1A3A5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Budget</w:t>
            </w:r>
          </w:p>
        </w:tc>
        <w:tc>
          <w:tcPr>
            <w:tcW w:type="dxa" w:w="3312"/>
            <w:shd w:val="clear" w:color="auto" w:fill="2E6DA4"/>
            <w:tcBorders>
              <w:bottom w:val="single" w:sz="8" w:color="1A3A5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Actual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Rent &amp; Utils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400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400</w:t>
            </w:r>
          </w:p>
        </w:tc>
      </w:tr>
      <w:tr>
        <w:tc>
          <w:tcPr>
            <w:tcW w:type="dxa" w:w="3312"/>
            <w:shd w:val="clear" w:color="auto" w:fill="F0F6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Food</w:t>
            </w:r>
          </w:p>
        </w:tc>
        <w:tc>
          <w:tcPr>
            <w:tcW w:type="dxa" w:w="3312"/>
            <w:shd w:val="clear" w:color="auto" w:fill="F0F6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200</w:t>
            </w:r>
          </w:p>
        </w:tc>
        <w:tc>
          <w:tcPr>
            <w:tcW w:type="dxa" w:w="3312"/>
            <w:shd w:val="clear" w:color="auto" w:fill="F0F6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230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Transport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80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65</w:t>
            </w:r>
          </w:p>
        </w:tc>
      </w:tr>
      <w:tr>
        <w:tc>
          <w:tcPr>
            <w:tcW w:type="dxa" w:w="3312"/>
            <w:shd w:val="clear" w:color="auto" w:fill="F0F6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Books</w:t>
            </w:r>
          </w:p>
        </w:tc>
        <w:tc>
          <w:tcPr>
            <w:tcW w:type="dxa" w:w="3312"/>
            <w:shd w:val="clear" w:color="auto" w:fill="F0F6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3312"/>
            <w:shd w:val="clear" w:color="auto" w:fill="F0F6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90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Entertainment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70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55</w:t>
            </w:r>
          </w:p>
        </w:tc>
      </w:tr>
      <w:tr>
        <w:tc>
          <w:tcPr>
            <w:tcW w:type="dxa" w:w="3312"/>
            <w:shd w:val="clear" w:color="auto" w:fill="F0F6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Health</w:t>
            </w:r>
          </w:p>
        </w:tc>
        <w:tc>
          <w:tcPr>
            <w:tcW w:type="dxa" w:w="3312"/>
            <w:shd w:val="clear" w:color="auto" w:fill="F0F6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3312"/>
            <w:shd w:val="clear" w:color="auto" w:fill="F0F6FF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48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Savings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150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120</w:t>
            </w:r>
          </w:p>
        </w:tc>
      </w:tr>
      <w:tr>
        <w:tc>
          <w:tcPr>
            <w:tcW w:type="dxa" w:w="3312"/>
            <w:shd w:val="clear" w:color="auto" w:fill="DDEEFF"/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3312"/>
            <w:shd w:val="clear" w:color="auto" w:fill="DDEEFF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1,010</w:t>
            </w:r>
          </w:p>
        </w:tc>
        <w:tc>
          <w:tcPr>
            <w:tcW w:type="dxa" w:w="3312"/>
            <w:shd w:val="clear" w:color="auto" w:fill="DDEEFF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1,008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hAnsi="Arial"/>
          <w:b/>
          <w:color w:val="1A3A5C"/>
          <w:sz w:val="24"/>
        </w:rPr>
        <w:t>Savings Goals Progress</w:t>
      </w:r>
    </w:p>
    <w:p>
      <w:pPr>
        <w:pBdr>
          <w:bottom w:val="single" w:sz="6" w:space="1" w:color="2E6DA4"/>
        </w:pBdr>
        <w:spacing w:after="100"/>
      </w:pPr>
    </w:p>
    <w:p>
      <w:pPr>
        <w:spacing w:after="100"/>
        <w:jc w:val="both"/>
      </w:pPr>
      <w:r>
        <w:rPr>
          <w:rFonts w:ascii="Arial" w:hAnsi="Arial"/>
          <w:sz w:val="19"/>
        </w:rPr>
        <w:t>The emergency fund (target: 3,000 BAM) is 48% complete at 1,440 BAM. The laptop upgrade goal was completed this month — 100% ahead of schedule. Surplus funds have been redirected to the Masters Tuition goal.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2484"/>
            <w:shd w:val="clear" w:color="auto"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2484"/>
            <w:shd w:val="clear" w:color="auto"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Saved</w:t>
            </w:r>
          </w:p>
        </w:tc>
        <w:tc>
          <w:tcPr>
            <w:tcW w:type="dxa" w:w="2484"/>
            <w:shd w:val="clear" w:color="auto" w:fill="1A3A5C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Emergency Fund</w:t>
            </w:r>
          </w:p>
        </w:tc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3,000</w:t>
            </w:r>
          </w:p>
        </w:tc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1,440</w:t>
            </w:r>
          </w:p>
        </w:tc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48%</w:t>
            </w:r>
          </w:p>
        </w:tc>
      </w:tr>
      <w:tr>
        <w:tc>
          <w:tcPr>
            <w:tcW w:type="dxa" w:w="2484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Laptop Upgrade</w:t>
            </w:r>
          </w:p>
        </w:tc>
        <w:tc>
          <w:tcPr>
            <w:tcW w:type="dxa" w:w="2484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500</w:t>
            </w:r>
          </w:p>
        </w:tc>
        <w:tc>
          <w:tcPr>
            <w:tcW w:type="dxa" w:w="2484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500</w:t>
            </w:r>
          </w:p>
        </w:tc>
        <w:tc>
          <w:tcPr>
            <w:tcW w:type="dxa" w:w="2484"/>
            <w:shd w:val="clear" w:color="auto" w:fill="D4EDDA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7700"/>
                <w:sz w:val="17"/>
              </w:rPr>
              <w:t>100%✓</w:t>
            </w:r>
          </w:p>
        </w:tc>
      </w:tr>
      <w:tr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Summer Holiday</w:t>
            </w:r>
          </w:p>
        </w:tc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800</w:t>
            </w:r>
          </w:p>
        </w:tc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220</w:t>
            </w:r>
          </w:p>
        </w:tc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28%</w:t>
            </w:r>
          </w:p>
        </w:tc>
      </w:tr>
      <w:tr>
        <w:tc>
          <w:tcPr>
            <w:tcW w:type="dxa" w:w="2484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Masters Tuition</w:t>
            </w:r>
          </w:p>
        </w:tc>
        <w:tc>
          <w:tcPr>
            <w:tcW w:type="dxa" w:w="2484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5,000</w:t>
            </w:r>
          </w:p>
        </w:tc>
        <w:tc>
          <w:tcPr>
            <w:tcW w:type="dxa" w:w="2484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750</w:t>
            </w:r>
          </w:p>
        </w:tc>
        <w:tc>
          <w:tcPr>
            <w:tcW w:type="dxa" w:w="2484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15%</w:t>
            </w:r>
          </w:p>
        </w:tc>
      </w:tr>
      <w:tr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Car Down Payment</w:t>
            </w:r>
          </w:p>
        </w:tc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2,000</w:t>
            </w:r>
          </w:p>
        </w:tc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180</w:t>
            </w:r>
          </w:p>
        </w:tc>
        <w:tc>
          <w:tcPr>
            <w:tcW w:type="dxa" w:w="248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9%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Arial" w:hAnsi="Arial"/>
          <w:b/>
          <w:color w:val="1A3A5C"/>
          <w:sz w:val="24"/>
        </w:rPr>
        <w:t>Financial Tips</w:t>
      </w:r>
    </w:p>
    <w:p>
      <w:pPr>
        <w:pBdr>
          <w:bottom w:val="single" w:sz="6" w:space="1" w:color="2E6DA4"/>
        </w:pBdr>
        <w:spacing w:after="100"/>
      </w:pPr>
    </w:p>
    <w:p>
      <w:pPr>
        <w:spacing w:after="80"/>
        <w:ind w:left="216"/>
      </w:pPr>
      <w:r>
        <w:rPr>
          <w:rFonts w:ascii="Arial" w:hAnsi="Arial"/>
          <w:sz w:val="18"/>
        </w:rPr>
        <w:t>› Meal-prep Sundays to cut food costs by up to 25%.</w:t>
      </w:r>
    </w:p>
    <w:p>
      <w:pPr>
        <w:spacing w:after="80"/>
        <w:ind w:left="216"/>
      </w:pPr>
      <w:r>
        <w:rPr>
          <w:rFonts w:ascii="Arial" w:hAnsi="Arial"/>
          <w:sz w:val="18"/>
        </w:rPr>
        <w:t>› Use student bus pass — saves ~20 BAM/month vs single tickets.</w:t>
      </w:r>
    </w:p>
    <w:p>
      <w:pPr>
        <w:spacing w:after="80"/>
        <w:ind w:left="216"/>
      </w:pPr>
      <w:r>
        <w:rPr>
          <w:rFonts w:ascii="Arial" w:hAnsi="Arial"/>
          <w:sz w:val="18"/>
        </w:rPr>
        <w:t>› Check university library before buying any textbook.</w:t>
      </w:r>
    </w:p>
    <w:p>
      <w:pPr>
        <w:spacing w:after="80"/>
        <w:ind w:left="216"/>
      </w:pPr>
      <w:r>
        <w:rPr>
          <w:rFonts w:ascii="Arial" w:hAnsi="Arial"/>
          <w:sz w:val="18"/>
        </w:rPr>
        <w:t>› Automate savings transfer on payday to stay consistent.</w:t>
      </w:r>
    </w:p>
    <w:p>
      <w:pPr>
        <w:spacing w:after="80"/>
        <w:ind w:left="216"/>
      </w:pPr>
      <w:r>
        <w:rPr>
          <w:rFonts w:ascii="Arial" w:hAnsi="Arial"/>
          <w:sz w:val="18"/>
        </w:rPr>
        <w:t>› Review all subscriptions quarterly, cancel unused ones.</w:t>
      </w:r>
    </w:p>
    <w:p>
      <w:pPr>
        <w:spacing w:before="160" w:after="60"/>
      </w:pPr>
      <w:r>
        <w:rPr>
          <w:rFonts w:ascii="Arial" w:hAnsi="Arial"/>
          <w:b/>
          <w:color w:val="2E6DA4"/>
          <w:sz w:val="20"/>
        </w:rPr>
        <w:t>Key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2E6DA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968"/>
            <w:shd w:val="clear" w:color="auto" w:fill="2E6DA4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68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Savings Rate</w:t>
            </w:r>
          </w:p>
        </w:tc>
        <w:tc>
          <w:tcPr>
            <w:tcW w:type="dxa" w:w="4968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8.9%</w:t>
            </w:r>
          </w:p>
        </w:tc>
      </w:tr>
      <w:tr>
        <w:tc>
          <w:tcPr>
            <w:tcW w:type="dxa" w:w="4968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Net Cash Flow</w:t>
            </w:r>
          </w:p>
        </w:tc>
        <w:tc>
          <w:tcPr>
            <w:tcW w:type="dxa" w:w="4968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+342 BAM</w:t>
            </w:r>
          </w:p>
        </w:tc>
      </w:tr>
      <w:tr>
        <w:tc>
          <w:tcPr>
            <w:tcW w:type="dxa" w:w="4968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Budget Score</w:t>
            </w:r>
          </w:p>
        </w:tc>
        <w:tc>
          <w:tcPr>
            <w:tcW w:type="dxa" w:w="4968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87 / 100</w:t>
            </w:r>
          </w:p>
        </w:tc>
      </w:tr>
      <w:tr>
        <w:tc>
          <w:tcPr>
            <w:tcW w:type="dxa" w:w="4968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Goals Active</w:t>
            </w:r>
          </w:p>
        </w:tc>
        <w:tc>
          <w:tcPr>
            <w:tcW w:type="dxa" w:w="4968"/>
            <w:shd w:val="clear" w:color="auto" w:fill="EAF1FB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 of 5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docGrid w:linePitch="360"/>
      <w:cols w:num="2" w:space="72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