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3A5C"/>
          <w:sz w:val="52"/>
        </w:rPr>
        <w:t>Student Finance Manager</w:t>
      </w:r>
    </w:p>
    <w:p>
      <w:pPr>
        <w:jc w:val="center"/>
      </w:pPr>
      <w:r>
        <w:rPr>
          <w:i/>
          <w:color w:val="2E6DA4"/>
          <w:sz w:val="26"/>
        </w:rPr>
        <w:t>Personal Financial Report – Academic Year 2024/2025</w:t>
      </w:r>
    </w:p>
    <w:p/>
    <w:p>
      <w:pPr>
        <w:pStyle w:val="Heading1"/>
      </w:pPr>
      <w:r>
        <w:rPr>
          <w:color w:val="1A3A5C"/>
        </w:rPr>
        <w:t>1. Introduction</w:t>
      </w:r>
    </w:p>
    <w:p>
      <w:pPr>
        <w:jc w:val="both"/>
      </w:pPr>
      <w:r>
        <w:rPr>
          <w:sz w:val="22"/>
        </w:rPr>
        <w:t>The Student Finance Manager is a personal budgeting and financial tracking application designed specifically for university students. It enables users to log income and expenses, set savings goals, generate monthly reports, and gain a clear picture of their financial health throughout their academic career. This Word document demonstrates the kind of structured financial report that can be generated and parsed by the application's document processing module.</w:t>
      </w:r>
    </w:p>
    <w:p>
      <w:pPr>
        <w:jc w:val="both"/>
      </w:pPr>
      <w:r>
        <w:rPr>
          <w:sz w:val="22"/>
        </w:rPr>
        <w:t>Python-docx is used to read, parse, and extract data from reports like this one. The parser iterates through paragraphs, tables, and runs to extract structured financial data that is then saved to MongoDB for further analysis and visualisation.</w:t>
      </w:r>
    </w:p>
    <w:p>
      <w:pPr>
        <w:pStyle w:val="Heading1"/>
      </w:pPr>
      <w:r>
        <w:rPr>
          <w:color w:val="1A3A5C"/>
        </w:rPr>
        <w:t>2. Budget Overview</w:t>
      </w:r>
    </w:p>
    <w:p>
      <w:pPr>
        <w:jc w:val="center"/>
      </w:pPr>
      <w:r>
        <w:drawing>
          <wp:inline xmlns:a="http://schemas.openxmlformats.org/drawingml/2006/main" xmlns:pic="http://schemas.openxmlformats.org/drawingml/2006/picture">
            <wp:extent cx="5029200" cy="1676400"/>
            <wp:docPr id="1" name="Picture 1"/>
            <wp:cNvGraphicFramePr>
              <a:graphicFrameLocks noChangeAspect="1"/>
            </wp:cNvGraphicFramePr>
            <a:graphic>
              <a:graphicData uri="http://schemas.openxmlformats.org/drawingml/2006/picture">
                <pic:pic>
                  <pic:nvPicPr>
                    <pic:cNvPr id="0" name="budget_chart.png"/>
                    <pic:cNvPicPr/>
                  </pic:nvPicPr>
                  <pic:blipFill>
                    <a:blip r:embed="rId9"/>
                    <a:stretch>
                      <a:fillRect/>
                    </a:stretch>
                  </pic:blipFill>
                  <pic:spPr>
                    <a:xfrm>
                      <a:off x="0" y="0"/>
                      <a:ext cx="5029200" cy="1676400"/>
                    </a:xfrm>
                    <a:prstGeom prst="rect"/>
                  </pic:spPr>
                </pic:pic>
              </a:graphicData>
            </a:graphic>
          </wp:inline>
        </w:drawing>
      </w:r>
    </w:p>
    <w:p>
      <w:pPr>
        <w:jc w:val="center"/>
      </w:pPr>
      <w:r>
        <w:rPr>
          <w:i/>
          <w:color w:val="888888"/>
          <w:sz w:val="18"/>
        </w:rPr>
        <w:t>Figure 1: Monthly Budget Overview Dashboard</w:t>
      </w:r>
    </w:p>
    <w:p>
      <w:r>
        <w:rPr>
          <w:sz w:val="22"/>
        </w:rPr>
        <w:t>The budget overview shows a balanced financial picture for the current month. Total income of 1,350 BAM covers all essential expenses with a projected surplus of 342 BAM, of which 120 BAM will be directed to the emergency savings fund.</w:t>
      </w:r>
    </w:p>
    <w:p>
      <w:pPr>
        <w:pStyle w:val="Heading1"/>
      </w:pPr>
      <w:r>
        <w:rPr>
          <w:color w:val="1A3A5C"/>
        </w:rPr>
        <w:t>3. Income Statement</w:t>
      </w:r>
    </w:p>
    <w:p>
      <w:r>
        <w:rPr>
          <w:b/>
          <w:color w:val="2E6DA4"/>
          <w:sz w:val="20"/>
        </w:rPr>
        <w:t>Table 1: Monthly Income Sources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304"/>
            <w:shd w:val="clear" w:color="auto" w:fill="1A3A5C"/>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b/>
                <w:color w:val="FFFFFF"/>
                <w:sz w:val="18"/>
              </w:rPr>
              <w:t>Income Source</w:t>
            </w:r>
          </w:p>
        </w:tc>
        <w:tc>
          <w:tcPr>
            <w:tcW w:type="dxa" w:w="1728"/>
            <w:shd w:val="clear" w:color="auto" w:fill="1A3A5C"/>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b/>
                <w:color w:val="FFFFFF"/>
                <w:sz w:val="18"/>
              </w:rPr>
              <w:t>Monthly (BAM)</w:t>
            </w:r>
          </w:p>
        </w:tc>
        <w:tc>
          <w:tcPr>
            <w:tcW w:type="dxa" w:w="1584"/>
            <w:shd w:val="clear" w:color="auto" w:fill="1A3A5C"/>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b/>
                <w:color w:val="FFFFFF"/>
                <w:sz w:val="18"/>
              </w:rPr>
              <w:t>Frequency</w:t>
            </w:r>
          </w:p>
        </w:tc>
        <w:tc>
          <w:tcPr>
            <w:tcW w:type="dxa" w:w="1872"/>
            <w:shd w:val="clear" w:color="auto" w:fill="1A3A5C"/>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b/>
                <w:color w:val="FFFFFF"/>
                <w:sz w:val="18"/>
              </w:rPr>
              <w:t>Category</w:t>
            </w:r>
          </w:p>
        </w:tc>
        <w:tc>
          <w:tcPr>
            <w:tcW w:type="dxa" w:w="2160"/>
            <w:shd w:val="clear" w:color="auto" w:fill="1A3A5C"/>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b/>
                <w:color w:val="FFFFFF"/>
                <w:sz w:val="18"/>
              </w:rPr>
              <w:t>Notes</w:t>
            </w:r>
          </w:p>
        </w:tc>
      </w:tr>
      <w:tr>
        <w:tc>
          <w:tcPr>
            <w:tcW w:type="dxa" w:w="2304"/>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8"/>
              </w:rPr>
              <w:t>Part-time Café Job</w:t>
            </w:r>
          </w:p>
        </w:tc>
        <w:tc>
          <w:tcPr>
            <w:tcW w:type="dxa" w:w="1728"/>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8"/>
              </w:rPr>
              <w:t>450.00</w:t>
            </w:r>
          </w:p>
        </w:tc>
        <w:tc>
          <w:tcPr>
            <w:tcW w:type="dxa" w:w="1584"/>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8"/>
              </w:rPr>
              <w:t>Monthly</w:t>
            </w:r>
          </w:p>
        </w:tc>
        <w:tc>
          <w:tcPr>
            <w:tcW w:type="dxa" w:w="1872"/>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8"/>
              </w:rPr>
              <w:t>Employment</w:t>
            </w:r>
          </w:p>
        </w:tc>
        <w:tc>
          <w:tcPr>
            <w:tcW w:type="dxa" w:w="2160"/>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8"/>
              </w:rPr>
              <w:t>3 shifts/week</w:t>
            </w:r>
          </w:p>
        </w:tc>
      </w:tr>
      <w:tr>
        <w:tc>
          <w:tcPr>
            <w:tcW w:type="dxa" w:w="2304"/>
            <w:shd w:val="clear" w:color="auto" w:fill="EAF1FB"/>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8"/>
              </w:rPr>
              <w:t>Merit Scholarship</w:t>
            </w:r>
          </w:p>
        </w:tc>
        <w:tc>
          <w:tcPr>
            <w:tcW w:type="dxa" w:w="1728"/>
            <w:shd w:val="clear" w:color="auto" w:fill="EAF1FB"/>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8"/>
              </w:rPr>
              <w:t>300.00</w:t>
            </w:r>
          </w:p>
        </w:tc>
        <w:tc>
          <w:tcPr>
            <w:tcW w:type="dxa" w:w="1584"/>
            <w:shd w:val="clear" w:color="auto" w:fill="EAF1FB"/>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8"/>
              </w:rPr>
              <w:t>Monthly</w:t>
            </w:r>
          </w:p>
        </w:tc>
        <w:tc>
          <w:tcPr>
            <w:tcW w:type="dxa" w:w="1872"/>
            <w:shd w:val="clear" w:color="auto" w:fill="EAF1FB"/>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8"/>
              </w:rPr>
              <w:t>Grant</w:t>
            </w:r>
          </w:p>
        </w:tc>
        <w:tc>
          <w:tcPr>
            <w:tcW w:type="dxa" w:w="2160"/>
            <w:shd w:val="clear" w:color="auto" w:fill="EAF1FB"/>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8"/>
              </w:rPr>
              <w:t>GPA ≥ 8.5 required</w:t>
            </w:r>
          </w:p>
        </w:tc>
      </w:tr>
      <w:tr>
        <w:tc>
          <w:tcPr>
            <w:tcW w:type="dxa" w:w="2304"/>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8"/>
              </w:rPr>
              <w:t>Parental Allowance</w:t>
            </w:r>
          </w:p>
        </w:tc>
        <w:tc>
          <w:tcPr>
            <w:tcW w:type="dxa" w:w="1728"/>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8"/>
              </w:rPr>
              <w:t>250.00</w:t>
            </w:r>
          </w:p>
        </w:tc>
        <w:tc>
          <w:tcPr>
            <w:tcW w:type="dxa" w:w="1584"/>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8"/>
              </w:rPr>
              <w:t>Monthly</w:t>
            </w:r>
          </w:p>
        </w:tc>
        <w:tc>
          <w:tcPr>
            <w:tcW w:type="dxa" w:w="1872"/>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8"/>
              </w:rPr>
              <w:t>Family Support</w:t>
            </w:r>
          </w:p>
        </w:tc>
        <w:tc>
          <w:tcPr>
            <w:tcW w:type="dxa" w:w="2160"/>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8"/>
              </w:rPr>
              <w:t>Fixed amount</w:t>
            </w:r>
          </w:p>
        </w:tc>
      </w:tr>
      <w:tr>
        <w:tc>
          <w:tcPr>
            <w:tcW w:type="dxa" w:w="2304"/>
            <w:shd w:val="clear" w:color="auto" w:fill="EAF1FB"/>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8"/>
              </w:rPr>
              <w:t>Freelance Web Design</w:t>
            </w:r>
          </w:p>
        </w:tc>
        <w:tc>
          <w:tcPr>
            <w:tcW w:type="dxa" w:w="1728"/>
            <w:shd w:val="clear" w:color="auto" w:fill="EAF1FB"/>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8"/>
              </w:rPr>
              <w:t>150.00</w:t>
            </w:r>
          </w:p>
        </w:tc>
        <w:tc>
          <w:tcPr>
            <w:tcW w:type="dxa" w:w="1584"/>
            <w:shd w:val="clear" w:color="auto" w:fill="EAF1FB"/>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8"/>
              </w:rPr>
              <w:t>Irregular</w:t>
            </w:r>
          </w:p>
        </w:tc>
        <w:tc>
          <w:tcPr>
            <w:tcW w:type="dxa" w:w="1872"/>
            <w:shd w:val="clear" w:color="auto" w:fill="EAF1FB"/>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8"/>
              </w:rPr>
              <w:t>Self-employment</w:t>
            </w:r>
          </w:p>
        </w:tc>
        <w:tc>
          <w:tcPr>
            <w:tcW w:type="dxa" w:w="2160"/>
            <w:shd w:val="clear" w:color="auto" w:fill="EAF1FB"/>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8"/>
              </w:rPr>
              <w:t>Per project</w:t>
            </w:r>
          </w:p>
        </w:tc>
      </w:tr>
      <w:tr>
        <w:tc>
          <w:tcPr>
            <w:tcW w:type="dxa" w:w="2304"/>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8"/>
              </w:rPr>
              <w:t>Student Loan</w:t>
            </w:r>
          </w:p>
        </w:tc>
        <w:tc>
          <w:tcPr>
            <w:tcW w:type="dxa" w:w="1728"/>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8"/>
              </w:rPr>
              <w:t>200.00</w:t>
            </w:r>
          </w:p>
        </w:tc>
        <w:tc>
          <w:tcPr>
            <w:tcW w:type="dxa" w:w="1584"/>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8"/>
              </w:rPr>
              <w:t>Per Semester</w:t>
            </w:r>
          </w:p>
        </w:tc>
        <w:tc>
          <w:tcPr>
            <w:tcW w:type="dxa" w:w="1872"/>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8"/>
              </w:rPr>
              <w:t>Loan</w:t>
            </w:r>
          </w:p>
        </w:tc>
        <w:tc>
          <w:tcPr>
            <w:tcW w:type="dxa" w:w="2160"/>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8"/>
              </w:rPr>
              <w:t>Repayable post-grad</w:t>
            </w:r>
          </w:p>
        </w:tc>
      </w:tr>
      <w:tr>
        <w:tc>
          <w:tcPr>
            <w:tcW w:type="dxa" w:w="2304"/>
            <w:shd w:val="clear" w:color="auto" w:fill="C8DCF5"/>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b/>
                <w:sz w:val="18"/>
              </w:rPr>
              <w:t>TOTAL</w:t>
            </w:r>
          </w:p>
        </w:tc>
        <w:tc>
          <w:tcPr>
            <w:tcW w:type="dxa" w:w="1728"/>
            <w:shd w:val="clear" w:color="auto" w:fill="C8DCF5"/>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b/>
                <w:sz w:val="18"/>
              </w:rPr>
              <w:t>1,350.00</w:t>
            </w:r>
          </w:p>
        </w:tc>
        <w:tc>
          <w:tcPr>
            <w:tcW w:type="dxa" w:w="1584"/>
            <w:shd w:val="clear" w:color="auto" w:fill="C8DCF5"/>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b/>
                <w:sz w:val="18"/>
              </w:rPr>
              <w:t>Monthly avg.</w:t>
            </w:r>
          </w:p>
        </w:tc>
        <w:tc>
          <w:tcPr>
            <w:tcW w:type="dxa" w:w="1872"/>
            <w:shd w:val="clear" w:color="auto" w:fill="C8DCF5"/>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b/>
                <w:sz w:val="18"/>
              </w:rPr>
              <w:t>—</w:t>
            </w:r>
          </w:p>
        </w:tc>
        <w:tc>
          <w:tcPr>
            <w:tcW w:type="dxa" w:w="2160"/>
            <w:shd w:val="clear" w:color="auto" w:fill="C8DCF5"/>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b/>
                <w:sz w:val="18"/>
              </w:rPr>
              <w:t>—</w:t>
            </w:r>
          </w:p>
        </w:tc>
      </w:tr>
    </w:tbl>
    <w:p/>
    <w:p>
      <w:pPr>
        <w:pStyle w:val="Heading1"/>
      </w:pPr>
      <w:r>
        <w:rPr>
          <w:color w:val="1A3A5C"/>
        </w:rPr>
        <w:t>4. Expense Breakdown</w:t>
      </w:r>
    </w:p>
    <w:p>
      <w:pPr>
        <w:jc w:val="center"/>
      </w:pPr>
      <w:r>
        <w:drawing>
          <wp:inline xmlns:a="http://schemas.openxmlformats.org/drawingml/2006/main" xmlns:pic="http://schemas.openxmlformats.org/drawingml/2006/picture">
            <wp:extent cx="4572000" cy="1524000"/>
            <wp:docPr id="2" name="Picture 2"/>
            <wp:cNvGraphicFramePr>
              <a:graphicFrameLocks noChangeAspect="1"/>
            </wp:cNvGraphicFramePr>
            <a:graphic>
              <a:graphicData uri="http://schemas.openxmlformats.org/drawingml/2006/picture">
                <pic:pic>
                  <pic:nvPicPr>
                    <pic:cNvPr id="0" name="expense_pie.png"/>
                    <pic:cNvPicPr/>
                  </pic:nvPicPr>
                  <pic:blipFill>
                    <a:blip r:embed="rId10"/>
                    <a:stretch>
                      <a:fillRect/>
                    </a:stretch>
                  </pic:blipFill>
                  <pic:spPr>
                    <a:xfrm>
                      <a:off x="0" y="0"/>
                      <a:ext cx="4572000" cy="1524000"/>
                    </a:xfrm>
                    <a:prstGeom prst="rect"/>
                  </pic:spPr>
                </pic:pic>
              </a:graphicData>
            </a:graphic>
          </wp:inline>
        </w:drawing>
      </w:r>
    </w:p>
    <w:p>
      <w:pPr>
        <w:jc w:val="center"/>
      </w:pPr>
      <w:r>
        <w:rPr>
          <w:i/>
          <w:color w:val="888888"/>
          <w:sz w:val="18"/>
        </w:rPr>
        <w:t>Figure 2: Expense Categories – Visual Breakdown</w:t>
      </w:r>
    </w:p>
    <w:p>
      <w:r>
        <w:rPr>
          <w:b/>
          <w:color w:val="2E6DA4"/>
          <w:sz w:val="20"/>
        </w:rPr>
        <w:t>Table 2: Monthly Expense Tracker (No Borders)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2E6DA4"/>
          </w:tcPr>
          <w:p>
            <w:pPr>
              <w:jc w:val="left"/>
            </w:pPr>
            <w:r>
              <w:rPr>
                <w:b/>
                <w:color w:val="FFFFFF"/>
                <w:sz w:val="18"/>
              </w:rPr>
              <w:t>Category</w:t>
            </w:r>
          </w:p>
        </w:tc>
        <w:tc>
          <w:tcPr>
            <w:tcW w:type="dxa" w:w="1872"/>
            <w:shd w:val="clear" w:color="auto" w:fill="2E6DA4"/>
          </w:tcPr>
          <w:p>
            <w:pPr>
              <w:jc w:val="center"/>
            </w:pPr>
            <w:r>
              <w:rPr>
                <w:b/>
                <w:color w:val="FFFFFF"/>
                <w:sz w:val="18"/>
              </w:rPr>
              <w:t>Budgeted (BAM)</w:t>
            </w:r>
          </w:p>
        </w:tc>
        <w:tc>
          <w:tcPr>
            <w:tcW w:type="dxa" w:w="1872"/>
            <w:shd w:val="clear" w:color="auto" w:fill="2E6DA4"/>
          </w:tcPr>
          <w:p>
            <w:pPr>
              <w:jc w:val="center"/>
            </w:pPr>
            <w:r>
              <w:rPr>
                <w:b/>
                <w:color w:val="FFFFFF"/>
                <w:sz w:val="18"/>
              </w:rPr>
              <w:t>Actual (BAM)</w:t>
            </w:r>
          </w:p>
        </w:tc>
        <w:tc>
          <w:tcPr>
            <w:tcW w:type="dxa" w:w="1872"/>
            <w:shd w:val="clear" w:color="auto" w:fill="2E6DA4"/>
          </w:tcPr>
          <w:p>
            <w:pPr>
              <w:jc w:val="center"/>
            </w:pPr>
            <w:r>
              <w:rPr>
                <w:b/>
                <w:color w:val="FFFFFF"/>
                <w:sz w:val="18"/>
              </w:rPr>
              <w:t>Variance</w:t>
            </w:r>
          </w:p>
        </w:tc>
        <w:tc>
          <w:tcPr>
            <w:tcW w:type="dxa" w:w="1872"/>
            <w:shd w:val="clear" w:color="auto" w:fill="2E6DA4"/>
          </w:tcPr>
          <w:p>
            <w:pPr>
              <w:jc w:val="center"/>
            </w:pPr>
            <w:r>
              <w:rPr>
                <w:b/>
                <w:color w:val="FFFFFF"/>
                <w:sz w:val="18"/>
              </w:rPr>
              <w:t>Status</w:t>
            </w:r>
          </w:p>
        </w:tc>
      </w:tr>
      <w:tr>
        <w:tc>
          <w:tcPr>
            <w:tcW w:type="dxa" w:w="1872"/>
          </w:tcPr>
          <w:p>
            <w:pPr>
              <w:jc w:val="left"/>
            </w:pPr>
            <w:r>
              <w:rPr>
                <w:sz w:val="18"/>
              </w:rPr>
              <w:t>Rent &amp; Utilities</w:t>
            </w:r>
          </w:p>
        </w:tc>
        <w:tc>
          <w:tcPr>
            <w:tcW w:type="dxa" w:w="1872"/>
          </w:tcPr>
          <w:p>
            <w:pPr>
              <w:jc w:val="center"/>
            </w:pPr>
            <w:r>
              <w:rPr>
                <w:sz w:val="18"/>
              </w:rPr>
              <w:t>400.00</w:t>
            </w:r>
          </w:p>
        </w:tc>
        <w:tc>
          <w:tcPr>
            <w:tcW w:type="dxa" w:w="1872"/>
          </w:tcPr>
          <w:p>
            <w:pPr>
              <w:jc w:val="center"/>
            </w:pPr>
            <w:r>
              <w:rPr>
                <w:sz w:val="18"/>
              </w:rPr>
              <w:t>400.00</w:t>
            </w:r>
          </w:p>
        </w:tc>
        <w:tc>
          <w:tcPr>
            <w:tcW w:type="dxa" w:w="1872"/>
          </w:tcPr>
          <w:p>
            <w:pPr>
              <w:jc w:val="center"/>
            </w:pPr>
            <w:r>
              <w:rPr>
                <w:sz w:val="18"/>
              </w:rPr>
              <w:t>0.00</w:t>
            </w:r>
          </w:p>
        </w:tc>
        <w:tc>
          <w:tcPr>
            <w:tcW w:type="dxa" w:w="1872"/>
          </w:tcPr>
          <w:p>
            <w:pPr>
              <w:jc w:val="center"/>
            </w:pPr>
            <w:r>
              <w:rPr>
                <w:sz w:val="18"/>
              </w:rPr>
              <w:t>On Track</w:t>
            </w:r>
          </w:p>
        </w:tc>
      </w:tr>
      <w:tr>
        <w:tc>
          <w:tcPr>
            <w:tcW w:type="dxa" w:w="1872"/>
            <w:shd w:val="clear" w:color="auto" w:fill="F5F9FF"/>
          </w:tcPr>
          <w:p>
            <w:pPr>
              <w:jc w:val="left"/>
            </w:pPr>
            <w:r>
              <w:rPr>
                <w:sz w:val="18"/>
              </w:rPr>
              <w:t>Groceries &amp; Food</w:t>
            </w:r>
          </w:p>
        </w:tc>
        <w:tc>
          <w:tcPr>
            <w:tcW w:type="dxa" w:w="1872"/>
            <w:shd w:val="clear" w:color="auto" w:fill="F5F9FF"/>
          </w:tcPr>
          <w:p>
            <w:pPr>
              <w:jc w:val="center"/>
            </w:pPr>
            <w:r>
              <w:rPr>
                <w:sz w:val="18"/>
              </w:rPr>
              <w:t>200.00</w:t>
            </w:r>
          </w:p>
        </w:tc>
        <w:tc>
          <w:tcPr>
            <w:tcW w:type="dxa" w:w="1872"/>
            <w:shd w:val="clear" w:color="auto" w:fill="F5F9FF"/>
          </w:tcPr>
          <w:p>
            <w:pPr>
              <w:jc w:val="center"/>
            </w:pPr>
            <w:r>
              <w:rPr>
                <w:sz w:val="18"/>
              </w:rPr>
              <w:t>230.00</w:t>
            </w:r>
          </w:p>
        </w:tc>
        <w:tc>
          <w:tcPr>
            <w:tcW w:type="dxa" w:w="1872"/>
            <w:shd w:val="clear" w:color="auto" w:fill="F5F9FF"/>
          </w:tcPr>
          <w:p>
            <w:pPr>
              <w:jc w:val="center"/>
            </w:pPr>
            <w:r>
              <w:rPr>
                <w:color w:val="CC0000"/>
                <w:sz w:val="18"/>
              </w:rPr>
              <w:t>-30.00</w:t>
            </w:r>
          </w:p>
        </w:tc>
        <w:tc>
          <w:tcPr>
            <w:tcW w:type="dxa" w:w="1872"/>
            <w:shd w:val="clear" w:color="auto" w:fill="F5F9FF"/>
          </w:tcPr>
          <w:p>
            <w:pPr>
              <w:jc w:val="center"/>
            </w:pPr>
            <w:r>
              <w:rPr>
                <w:sz w:val="18"/>
              </w:rPr>
              <w:t>Over Budget</w:t>
            </w:r>
          </w:p>
        </w:tc>
      </w:tr>
      <w:tr>
        <w:tc>
          <w:tcPr>
            <w:tcW w:type="dxa" w:w="1872"/>
          </w:tcPr>
          <w:p>
            <w:pPr>
              <w:jc w:val="left"/>
            </w:pPr>
            <w:r>
              <w:rPr>
                <w:sz w:val="18"/>
              </w:rPr>
              <w:t>Transport</w:t>
            </w:r>
          </w:p>
        </w:tc>
        <w:tc>
          <w:tcPr>
            <w:tcW w:type="dxa" w:w="1872"/>
          </w:tcPr>
          <w:p>
            <w:pPr>
              <w:jc w:val="center"/>
            </w:pPr>
            <w:r>
              <w:rPr>
                <w:sz w:val="18"/>
              </w:rPr>
              <w:t>80.00</w:t>
            </w:r>
          </w:p>
        </w:tc>
        <w:tc>
          <w:tcPr>
            <w:tcW w:type="dxa" w:w="1872"/>
          </w:tcPr>
          <w:p>
            <w:pPr>
              <w:jc w:val="center"/>
            </w:pPr>
            <w:r>
              <w:rPr>
                <w:sz w:val="18"/>
              </w:rPr>
              <w:t>65.00</w:t>
            </w:r>
          </w:p>
        </w:tc>
        <w:tc>
          <w:tcPr>
            <w:tcW w:type="dxa" w:w="1872"/>
          </w:tcPr>
          <w:p>
            <w:pPr>
              <w:jc w:val="center"/>
            </w:pPr>
            <w:r>
              <w:rPr>
                <w:color w:val="008800"/>
                <w:sz w:val="18"/>
              </w:rPr>
              <w:t>+15.00</w:t>
            </w:r>
          </w:p>
        </w:tc>
        <w:tc>
          <w:tcPr>
            <w:tcW w:type="dxa" w:w="1872"/>
          </w:tcPr>
          <w:p>
            <w:pPr>
              <w:jc w:val="center"/>
            </w:pPr>
            <w:r>
              <w:rPr>
                <w:sz w:val="18"/>
              </w:rPr>
              <w:t>Under Budget</w:t>
            </w:r>
          </w:p>
        </w:tc>
      </w:tr>
      <w:tr>
        <w:tc>
          <w:tcPr>
            <w:tcW w:type="dxa" w:w="1872"/>
            <w:shd w:val="clear" w:color="auto" w:fill="F5F9FF"/>
          </w:tcPr>
          <w:p>
            <w:pPr>
              <w:jc w:val="left"/>
            </w:pPr>
            <w:r>
              <w:rPr>
                <w:sz w:val="18"/>
              </w:rPr>
              <w:t>Books &amp; Supplies</w:t>
            </w:r>
          </w:p>
        </w:tc>
        <w:tc>
          <w:tcPr>
            <w:tcW w:type="dxa" w:w="1872"/>
            <w:shd w:val="clear" w:color="auto" w:fill="F5F9FF"/>
          </w:tcPr>
          <w:p>
            <w:pPr>
              <w:jc w:val="center"/>
            </w:pPr>
            <w:r>
              <w:rPr>
                <w:sz w:val="18"/>
              </w:rPr>
              <w:t>60.00</w:t>
            </w:r>
          </w:p>
        </w:tc>
        <w:tc>
          <w:tcPr>
            <w:tcW w:type="dxa" w:w="1872"/>
            <w:shd w:val="clear" w:color="auto" w:fill="F5F9FF"/>
          </w:tcPr>
          <w:p>
            <w:pPr>
              <w:jc w:val="center"/>
            </w:pPr>
            <w:r>
              <w:rPr>
                <w:sz w:val="18"/>
              </w:rPr>
              <w:t>90.00</w:t>
            </w:r>
          </w:p>
        </w:tc>
        <w:tc>
          <w:tcPr>
            <w:tcW w:type="dxa" w:w="1872"/>
            <w:shd w:val="clear" w:color="auto" w:fill="F5F9FF"/>
          </w:tcPr>
          <w:p>
            <w:pPr>
              <w:jc w:val="center"/>
            </w:pPr>
            <w:r>
              <w:rPr>
                <w:color w:val="CC0000"/>
                <w:sz w:val="18"/>
              </w:rPr>
              <w:t>-30.00</w:t>
            </w:r>
          </w:p>
        </w:tc>
        <w:tc>
          <w:tcPr>
            <w:tcW w:type="dxa" w:w="1872"/>
            <w:shd w:val="clear" w:color="auto" w:fill="F5F9FF"/>
          </w:tcPr>
          <w:p>
            <w:pPr>
              <w:jc w:val="center"/>
            </w:pPr>
            <w:r>
              <w:rPr>
                <w:sz w:val="18"/>
              </w:rPr>
              <w:t>Over Budget</w:t>
            </w:r>
          </w:p>
        </w:tc>
      </w:tr>
      <w:tr>
        <w:tc>
          <w:tcPr>
            <w:tcW w:type="dxa" w:w="1872"/>
          </w:tcPr>
          <w:p>
            <w:pPr>
              <w:jc w:val="left"/>
            </w:pPr>
            <w:r>
              <w:rPr>
                <w:sz w:val="18"/>
              </w:rPr>
              <w:t>Entertainment</w:t>
            </w:r>
          </w:p>
        </w:tc>
        <w:tc>
          <w:tcPr>
            <w:tcW w:type="dxa" w:w="1872"/>
          </w:tcPr>
          <w:p>
            <w:pPr>
              <w:jc w:val="center"/>
            </w:pPr>
            <w:r>
              <w:rPr>
                <w:sz w:val="18"/>
              </w:rPr>
              <w:t>70.00</w:t>
            </w:r>
          </w:p>
        </w:tc>
        <w:tc>
          <w:tcPr>
            <w:tcW w:type="dxa" w:w="1872"/>
          </w:tcPr>
          <w:p>
            <w:pPr>
              <w:jc w:val="center"/>
            </w:pPr>
            <w:r>
              <w:rPr>
                <w:sz w:val="18"/>
              </w:rPr>
              <w:t>55.00</w:t>
            </w:r>
          </w:p>
        </w:tc>
        <w:tc>
          <w:tcPr>
            <w:tcW w:type="dxa" w:w="1872"/>
          </w:tcPr>
          <w:p>
            <w:pPr>
              <w:jc w:val="center"/>
            </w:pPr>
            <w:r>
              <w:rPr>
                <w:color w:val="008800"/>
                <w:sz w:val="18"/>
              </w:rPr>
              <w:t>+15.00</w:t>
            </w:r>
          </w:p>
        </w:tc>
        <w:tc>
          <w:tcPr>
            <w:tcW w:type="dxa" w:w="1872"/>
          </w:tcPr>
          <w:p>
            <w:pPr>
              <w:jc w:val="center"/>
            </w:pPr>
            <w:r>
              <w:rPr>
                <w:sz w:val="18"/>
              </w:rPr>
              <w:t>Under Budget</w:t>
            </w:r>
          </w:p>
        </w:tc>
      </w:tr>
      <w:tr>
        <w:tc>
          <w:tcPr>
            <w:tcW w:type="dxa" w:w="1872"/>
            <w:shd w:val="clear" w:color="auto" w:fill="F5F9FF"/>
          </w:tcPr>
          <w:p>
            <w:pPr>
              <w:jc w:val="left"/>
            </w:pPr>
            <w:r>
              <w:rPr>
                <w:sz w:val="18"/>
              </w:rPr>
              <w:t>Health &amp; Personal</w:t>
            </w:r>
          </w:p>
        </w:tc>
        <w:tc>
          <w:tcPr>
            <w:tcW w:type="dxa" w:w="1872"/>
            <w:shd w:val="clear" w:color="auto" w:fill="F5F9FF"/>
          </w:tcPr>
          <w:p>
            <w:pPr>
              <w:jc w:val="center"/>
            </w:pPr>
            <w:r>
              <w:rPr>
                <w:sz w:val="18"/>
              </w:rPr>
              <w:t>50.00</w:t>
            </w:r>
          </w:p>
        </w:tc>
        <w:tc>
          <w:tcPr>
            <w:tcW w:type="dxa" w:w="1872"/>
            <w:shd w:val="clear" w:color="auto" w:fill="F5F9FF"/>
          </w:tcPr>
          <w:p>
            <w:pPr>
              <w:jc w:val="center"/>
            </w:pPr>
            <w:r>
              <w:rPr>
                <w:sz w:val="18"/>
              </w:rPr>
              <w:t>48.00</w:t>
            </w:r>
          </w:p>
        </w:tc>
        <w:tc>
          <w:tcPr>
            <w:tcW w:type="dxa" w:w="1872"/>
            <w:shd w:val="clear" w:color="auto" w:fill="F5F9FF"/>
          </w:tcPr>
          <w:p>
            <w:pPr>
              <w:jc w:val="center"/>
            </w:pPr>
            <w:r>
              <w:rPr>
                <w:color w:val="008800"/>
                <w:sz w:val="18"/>
              </w:rPr>
              <w:t>+2.00</w:t>
            </w:r>
          </w:p>
        </w:tc>
        <w:tc>
          <w:tcPr>
            <w:tcW w:type="dxa" w:w="1872"/>
            <w:shd w:val="clear" w:color="auto" w:fill="F5F9FF"/>
          </w:tcPr>
          <w:p>
            <w:pPr>
              <w:jc w:val="center"/>
            </w:pPr>
            <w:r>
              <w:rPr>
                <w:sz w:val="18"/>
              </w:rPr>
              <w:t>Under Budget</w:t>
            </w:r>
          </w:p>
        </w:tc>
      </w:tr>
      <w:tr>
        <w:tc>
          <w:tcPr>
            <w:tcW w:type="dxa" w:w="1872"/>
          </w:tcPr>
          <w:p>
            <w:pPr>
              <w:jc w:val="left"/>
            </w:pPr>
            <w:r>
              <w:rPr>
                <w:sz w:val="18"/>
              </w:rPr>
              <w:t>Savings Contribution</w:t>
            </w:r>
          </w:p>
        </w:tc>
        <w:tc>
          <w:tcPr>
            <w:tcW w:type="dxa" w:w="1872"/>
          </w:tcPr>
          <w:p>
            <w:pPr>
              <w:jc w:val="center"/>
            </w:pPr>
            <w:r>
              <w:rPr>
                <w:sz w:val="18"/>
              </w:rPr>
              <w:t>150.00</w:t>
            </w:r>
          </w:p>
        </w:tc>
        <w:tc>
          <w:tcPr>
            <w:tcW w:type="dxa" w:w="1872"/>
          </w:tcPr>
          <w:p>
            <w:pPr>
              <w:jc w:val="center"/>
            </w:pPr>
            <w:r>
              <w:rPr>
                <w:sz w:val="18"/>
              </w:rPr>
              <w:t>120.00</w:t>
            </w:r>
          </w:p>
        </w:tc>
        <w:tc>
          <w:tcPr>
            <w:tcW w:type="dxa" w:w="1872"/>
          </w:tcPr>
          <w:p>
            <w:pPr>
              <w:jc w:val="center"/>
            </w:pPr>
            <w:r>
              <w:rPr>
                <w:color w:val="CC0000"/>
                <w:sz w:val="18"/>
              </w:rPr>
              <w:t>-30.00</w:t>
            </w:r>
          </w:p>
        </w:tc>
        <w:tc>
          <w:tcPr>
            <w:tcW w:type="dxa" w:w="1872"/>
          </w:tcPr>
          <w:p>
            <w:pPr>
              <w:jc w:val="center"/>
            </w:pPr>
            <w:r>
              <w:rPr>
                <w:sz w:val="18"/>
              </w:rPr>
              <w:t>Shortfall</w:t>
            </w:r>
          </w:p>
        </w:tc>
      </w:tr>
      <w:tr>
        <w:tc>
          <w:tcPr>
            <w:tcW w:type="dxa" w:w="1872"/>
            <w:shd w:val="clear" w:color="auto" w:fill="DDEEFF"/>
          </w:tcPr>
          <w:p>
            <w:pPr>
              <w:jc w:val="left"/>
            </w:pPr>
            <w:r>
              <w:rPr>
                <w:b/>
                <w:sz w:val="18"/>
              </w:rPr>
              <w:t>TOTAL</w:t>
            </w:r>
          </w:p>
        </w:tc>
        <w:tc>
          <w:tcPr>
            <w:tcW w:type="dxa" w:w="1872"/>
            <w:shd w:val="clear" w:color="auto" w:fill="DDEEFF"/>
          </w:tcPr>
          <w:p>
            <w:pPr>
              <w:jc w:val="center"/>
            </w:pPr>
            <w:r>
              <w:rPr>
                <w:b/>
                <w:sz w:val="18"/>
              </w:rPr>
              <w:t>1,010.00</w:t>
            </w:r>
          </w:p>
        </w:tc>
        <w:tc>
          <w:tcPr>
            <w:tcW w:type="dxa" w:w="1872"/>
            <w:shd w:val="clear" w:color="auto" w:fill="DDEEFF"/>
          </w:tcPr>
          <w:p>
            <w:pPr>
              <w:jc w:val="center"/>
            </w:pPr>
            <w:r>
              <w:rPr>
                <w:b/>
                <w:sz w:val="18"/>
              </w:rPr>
              <w:t>1,008.00</w:t>
            </w:r>
          </w:p>
        </w:tc>
        <w:tc>
          <w:tcPr>
            <w:tcW w:type="dxa" w:w="1872"/>
            <w:shd w:val="clear" w:color="auto" w:fill="DDEEFF"/>
          </w:tcPr>
          <w:p>
            <w:pPr>
              <w:jc w:val="center"/>
            </w:pPr>
            <w:r>
              <w:rPr>
                <w:b/>
                <w:sz w:val="18"/>
              </w:rPr>
              <w:t>+2.00</w:t>
            </w:r>
          </w:p>
        </w:tc>
        <w:tc>
          <w:tcPr>
            <w:tcW w:type="dxa" w:w="1872"/>
            <w:shd w:val="clear" w:color="auto" w:fill="DDEEFF"/>
          </w:tcPr>
          <w:p>
            <w:pPr>
              <w:jc w:val="center"/>
            </w:pPr>
            <w:r>
              <w:rPr>
                <w:b/>
                <w:sz w:val="18"/>
              </w:rPr>
              <w:t>On Track</w:t>
            </w:r>
          </w:p>
        </w:tc>
      </w:tr>
    </w:tbl>
    <w:p/>
    <w:p>
      <w:pPr>
        <w:pStyle w:val="Heading1"/>
      </w:pPr>
      <w:r>
        <w:rPr>
          <w:color w:val="1A3A5C"/>
        </w:rPr>
        <w:t>5. Savings Goals &amp; Progress</w:t>
      </w:r>
    </w:p>
    <w:p>
      <w:pPr>
        <w:jc w:val="center"/>
      </w:pPr>
      <w:r>
        <w:drawing>
          <wp:inline xmlns:a="http://schemas.openxmlformats.org/drawingml/2006/main" xmlns:pic="http://schemas.openxmlformats.org/drawingml/2006/picture">
            <wp:extent cx="5029200" cy="1676400"/>
            <wp:docPr id="3" name="Picture 3"/>
            <wp:cNvGraphicFramePr>
              <a:graphicFrameLocks noChangeAspect="1"/>
            </wp:cNvGraphicFramePr>
            <a:graphic>
              <a:graphicData uri="http://schemas.openxmlformats.org/drawingml/2006/picture">
                <pic:pic>
                  <pic:nvPicPr>
                    <pic:cNvPr id="0" name="savings_trend.png"/>
                    <pic:cNvPicPr/>
                  </pic:nvPicPr>
                  <pic:blipFill>
                    <a:blip r:embed="rId11"/>
                    <a:stretch>
                      <a:fillRect/>
                    </a:stretch>
                  </pic:blipFill>
                  <pic:spPr>
                    <a:xfrm>
                      <a:off x="0" y="0"/>
                      <a:ext cx="5029200" cy="1676400"/>
                    </a:xfrm>
                    <a:prstGeom prst="rect"/>
                  </pic:spPr>
                </pic:pic>
              </a:graphicData>
            </a:graphic>
          </wp:inline>
        </w:drawing>
      </w:r>
    </w:p>
    <w:p>
      <w:pPr>
        <w:jc w:val="center"/>
      </w:pPr>
      <w:r>
        <w:rPr>
          <w:i/>
          <w:color w:val="888888"/>
          <w:sz w:val="18"/>
        </w:rPr>
        <w:t>Figure 3: 12-Month Savings Trend and Goal Projection</w:t>
      </w:r>
    </w:p>
    <w:p>
      <w:pPr>
        <w:jc w:val="both"/>
      </w:pPr>
      <w:r>
        <w:rPr>
          <w:sz w:val="22"/>
        </w:rPr>
        <w:t>The student's primary savings goal is to accumulate an emergency fund of 3,000 BAM by the end of the academic year. Current progress stands at 1,440 BAM (48%), with consistent monthly contributions of 120-150 BAM. At this pace, the goal will be reached within 13 months. A secondary goal of saving 500 BAM for a laptop upgrade has been completed ahead of schedule.</w:t>
      </w:r>
    </w:p>
    <w:p>
      <w:pPr>
        <w:pStyle w:val="Heading1"/>
      </w:pPr>
      <w:r>
        <w:rPr>
          <w:color w:val="1A3A5C"/>
        </w:rPr>
        <w:t>6. Recent Transactions</w:t>
      </w:r>
    </w:p>
    <w:p>
      <w:r>
        <w:rPr>
          <w:b/>
          <w:color w:val="2E6DA4"/>
          <w:sz w:val="20"/>
        </w:rPr>
        <w:t>Table 3: Last 10 Transactions (with borders)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A3A5C"/>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b/>
                <w:color w:val="FFFFFF"/>
                <w:sz w:val="17"/>
              </w:rPr>
              <w:t>Date</w:t>
            </w:r>
          </w:p>
        </w:tc>
        <w:tc>
          <w:tcPr>
            <w:tcW w:type="dxa" w:w="1872"/>
            <w:shd w:val="clear" w:color="auto" w:fill="1A3A5C"/>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left"/>
            </w:pPr>
            <w:r>
              <w:rPr>
                <w:b/>
                <w:color w:val="FFFFFF"/>
                <w:sz w:val="17"/>
              </w:rPr>
              <w:t>Description</w:t>
            </w:r>
          </w:p>
        </w:tc>
        <w:tc>
          <w:tcPr>
            <w:tcW w:type="dxa" w:w="1872"/>
            <w:shd w:val="clear" w:color="auto" w:fill="1A3A5C"/>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b/>
                <w:color w:val="FFFFFF"/>
                <w:sz w:val="17"/>
              </w:rPr>
              <w:t>Category</w:t>
            </w:r>
          </w:p>
        </w:tc>
        <w:tc>
          <w:tcPr>
            <w:tcW w:type="dxa" w:w="1872"/>
            <w:shd w:val="clear" w:color="auto" w:fill="1A3A5C"/>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b/>
                <w:color w:val="FFFFFF"/>
                <w:sz w:val="17"/>
              </w:rPr>
              <w:t>Amount (BAM)</w:t>
            </w:r>
          </w:p>
        </w:tc>
        <w:tc>
          <w:tcPr>
            <w:tcW w:type="dxa" w:w="1872"/>
            <w:shd w:val="clear" w:color="auto" w:fill="1A3A5C"/>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b/>
                <w:color w:val="FFFFFF"/>
                <w:sz w:val="17"/>
              </w:rPr>
              <w:t>Type</w:t>
            </w:r>
          </w:p>
        </w:tc>
      </w:tr>
      <w:tr>
        <w:tc>
          <w:tcPr>
            <w:tcW w:type="dxa" w:w="1872"/>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2025-03-20</w:t>
            </w:r>
          </w:p>
        </w:tc>
        <w:tc>
          <w:tcPr>
            <w:tcW w:type="dxa" w:w="1872"/>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left"/>
            </w:pPr>
            <w:r>
              <w:rPr>
                <w:sz w:val="17"/>
              </w:rPr>
              <w:t>Café paycheck</w:t>
            </w:r>
          </w:p>
        </w:tc>
        <w:tc>
          <w:tcPr>
            <w:tcW w:type="dxa" w:w="1872"/>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Employment</w:t>
            </w:r>
          </w:p>
        </w:tc>
        <w:tc>
          <w:tcPr>
            <w:tcW w:type="dxa" w:w="1872"/>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color w:val="008000"/>
                <w:sz w:val="17"/>
              </w:rPr>
              <w:t>+450.00</w:t>
            </w:r>
          </w:p>
        </w:tc>
        <w:tc>
          <w:tcPr>
            <w:tcW w:type="dxa" w:w="1872"/>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Income</w:t>
            </w:r>
          </w:p>
        </w:tc>
      </w:tr>
      <w:tr>
        <w:tc>
          <w:tcPr>
            <w:tcW w:type="dxa" w:w="1872"/>
            <w:shd w:val="clear" w:color="auto" w:fill="F0F6FF"/>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2025-03-18</w:t>
            </w:r>
          </w:p>
        </w:tc>
        <w:tc>
          <w:tcPr>
            <w:tcW w:type="dxa" w:w="1872"/>
            <w:shd w:val="clear" w:color="auto" w:fill="F0F6FF"/>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left"/>
            </w:pPr>
            <w:r>
              <w:rPr>
                <w:sz w:val="17"/>
              </w:rPr>
              <w:t>Supermarket</w:t>
            </w:r>
          </w:p>
        </w:tc>
        <w:tc>
          <w:tcPr>
            <w:tcW w:type="dxa" w:w="1872"/>
            <w:shd w:val="clear" w:color="auto" w:fill="F0F6FF"/>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Food</w:t>
            </w:r>
          </w:p>
        </w:tc>
        <w:tc>
          <w:tcPr>
            <w:tcW w:type="dxa" w:w="1872"/>
            <w:shd w:val="clear" w:color="auto" w:fill="F0F6FF"/>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color w:val="CC0000"/>
                <w:sz w:val="17"/>
              </w:rPr>
              <w:t>-85.50</w:t>
            </w:r>
          </w:p>
        </w:tc>
        <w:tc>
          <w:tcPr>
            <w:tcW w:type="dxa" w:w="1872"/>
            <w:shd w:val="clear" w:color="auto" w:fill="F0F6FF"/>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Expense</w:t>
            </w:r>
          </w:p>
        </w:tc>
      </w:tr>
      <w:tr>
        <w:tc>
          <w:tcPr>
            <w:tcW w:type="dxa" w:w="1872"/>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2025-03-17</w:t>
            </w:r>
          </w:p>
        </w:tc>
        <w:tc>
          <w:tcPr>
            <w:tcW w:type="dxa" w:w="1872"/>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left"/>
            </w:pPr>
            <w:r>
              <w:rPr>
                <w:sz w:val="17"/>
              </w:rPr>
              <w:t>Bus monthly pass</w:t>
            </w:r>
          </w:p>
        </w:tc>
        <w:tc>
          <w:tcPr>
            <w:tcW w:type="dxa" w:w="1872"/>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Transport</w:t>
            </w:r>
          </w:p>
        </w:tc>
        <w:tc>
          <w:tcPr>
            <w:tcW w:type="dxa" w:w="1872"/>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color w:val="CC0000"/>
                <w:sz w:val="17"/>
              </w:rPr>
              <w:t>-35.00</w:t>
            </w:r>
          </w:p>
        </w:tc>
        <w:tc>
          <w:tcPr>
            <w:tcW w:type="dxa" w:w="1872"/>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Expense</w:t>
            </w:r>
          </w:p>
        </w:tc>
      </w:tr>
      <w:tr>
        <w:tc>
          <w:tcPr>
            <w:tcW w:type="dxa" w:w="1872"/>
            <w:shd w:val="clear" w:color="auto" w:fill="F0F6FF"/>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2025-03-15</w:t>
            </w:r>
          </w:p>
        </w:tc>
        <w:tc>
          <w:tcPr>
            <w:tcW w:type="dxa" w:w="1872"/>
            <w:shd w:val="clear" w:color="auto" w:fill="F0F6FF"/>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left"/>
            </w:pPr>
            <w:r>
              <w:rPr>
                <w:sz w:val="17"/>
              </w:rPr>
              <w:t>Scholarship deposit</w:t>
            </w:r>
          </w:p>
        </w:tc>
        <w:tc>
          <w:tcPr>
            <w:tcW w:type="dxa" w:w="1872"/>
            <w:shd w:val="clear" w:color="auto" w:fill="F0F6FF"/>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Grant</w:t>
            </w:r>
          </w:p>
        </w:tc>
        <w:tc>
          <w:tcPr>
            <w:tcW w:type="dxa" w:w="1872"/>
            <w:shd w:val="clear" w:color="auto" w:fill="F0F6FF"/>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color w:val="008000"/>
                <w:sz w:val="17"/>
              </w:rPr>
              <w:t>+300.00</w:t>
            </w:r>
          </w:p>
        </w:tc>
        <w:tc>
          <w:tcPr>
            <w:tcW w:type="dxa" w:w="1872"/>
            <w:shd w:val="clear" w:color="auto" w:fill="F0F6FF"/>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Income</w:t>
            </w:r>
          </w:p>
        </w:tc>
      </w:tr>
      <w:tr>
        <w:tc>
          <w:tcPr>
            <w:tcW w:type="dxa" w:w="1872"/>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2025-03-14</w:t>
            </w:r>
          </w:p>
        </w:tc>
        <w:tc>
          <w:tcPr>
            <w:tcW w:type="dxa" w:w="1872"/>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left"/>
            </w:pPr>
            <w:r>
              <w:rPr>
                <w:sz w:val="17"/>
              </w:rPr>
              <w:t>University textbook</w:t>
            </w:r>
          </w:p>
        </w:tc>
        <w:tc>
          <w:tcPr>
            <w:tcW w:type="dxa" w:w="1872"/>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Books</w:t>
            </w:r>
          </w:p>
        </w:tc>
        <w:tc>
          <w:tcPr>
            <w:tcW w:type="dxa" w:w="1872"/>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color w:val="CC0000"/>
                <w:sz w:val="17"/>
              </w:rPr>
              <w:t>-42.00</w:t>
            </w:r>
          </w:p>
        </w:tc>
        <w:tc>
          <w:tcPr>
            <w:tcW w:type="dxa" w:w="1872"/>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Expense</w:t>
            </w:r>
          </w:p>
        </w:tc>
      </w:tr>
      <w:tr>
        <w:tc>
          <w:tcPr>
            <w:tcW w:type="dxa" w:w="1872"/>
            <w:shd w:val="clear" w:color="auto" w:fill="F0F6FF"/>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2025-03-12</w:t>
            </w:r>
          </w:p>
        </w:tc>
        <w:tc>
          <w:tcPr>
            <w:tcW w:type="dxa" w:w="1872"/>
            <w:shd w:val="clear" w:color="auto" w:fill="F0F6FF"/>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left"/>
            </w:pPr>
            <w:r>
              <w:rPr>
                <w:sz w:val="17"/>
              </w:rPr>
              <w:t>Freelance invoice #7</w:t>
            </w:r>
          </w:p>
        </w:tc>
        <w:tc>
          <w:tcPr>
            <w:tcW w:type="dxa" w:w="1872"/>
            <w:shd w:val="clear" w:color="auto" w:fill="F0F6FF"/>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Self-empl.</w:t>
            </w:r>
          </w:p>
        </w:tc>
        <w:tc>
          <w:tcPr>
            <w:tcW w:type="dxa" w:w="1872"/>
            <w:shd w:val="clear" w:color="auto" w:fill="F0F6FF"/>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color w:val="008000"/>
                <w:sz w:val="17"/>
              </w:rPr>
              <w:t>+150.00</w:t>
            </w:r>
          </w:p>
        </w:tc>
        <w:tc>
          <w:tcPr>
            <w:tcW w:type="dxa" w:w="1872"/>
            <w:shd w:val="clear" w:color="auto" w:fill="F0F6FF"/>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Income</w:t>
            </w:r>
          </w:p>
        </w:tc>
      </w:tr>
      <w:tr>
        <w:tc>
          <w:tcPr>
            <w:tcW w:type="dxa" w:w="1872"/>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2025-03-10</w:t>
            </w:r>
          </w:p>
        </w:tc>
        <w:tc>
          <w:tcPr>
            <w:tcW w:type="dxa" w:w="1872"/>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left"/>
            </w:pPr>
            <w:r>
              <w:rPr>
                <w:sz w:val="17"/>
              </w:rPr>
              <w:t>Cinema ticket</w:t>
            </w:r>
          </w:p>
        </w:tc>
        <w:tc>
          <w:tcPr>
            <w:tcW w:type="dxa" w:w="1872"/>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Entertainment</w:t>
            </w:r>
          </w:p>
        </w:tc>
        <w:tc>
          <w:tcPr>
            <w:tcW w:type="dxa" w:w="1872"/>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color w:val="CC0000"/>
                <w:sz w:val="17"/>
              </w:rPr>
              <w:t>-12.00</w:t>
            </w:r>
          </w:p>
        </w:tc>
        <w:tc>
          <w:tcPr>
            <w:tcW w:type="dxa" w:w="1872"/>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Expense</w:t>
            </w:r>
          </w:p>
        </w:tc>
      </w:tr>
      <w:tr>
        <w:tc>
          <w:tcPr>
            <w:tcW w:type="dxa" w:w="1872"/>
            <w:shd w:val="clear" w:color="auto" w:fill="F0F6FF"/>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2025-03-08</w:t>
            </w:r>
          </w:p>
        </w:tc>
        <w:tc>
          <w:tcPr>
            <w:tcW w:type="dxa" w:w="1872"/>
            <w:shd w:val="clear" w:color="auto" w:fill="F0F6FF"/>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left"/>
            </w:pPr>
            <w:r>
              <w:rPr>
                <w:sz w:val="17"/>
              </w:rPr>
              <w:t>Gym membership</w:t>
            </w:r>
          </w:p>
        </w:tc>
        <w:tc>
          <w:tcPr>
            <w:tcW w:type="dxa" w:w="1872"/>
            <w:shd w:val="clear" w:color="auto" w:fill="F0F6FF"/>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Health</w:t>
            </w:r>
          </w:p>
        </w:tc>
        <w:tc>
          <w:tcPr>
            <w:tcW w:type="dxa" w:w="1872"/>
            <w:shd w:val="clear" w:color="auto" w:fill="F0F6FF"/>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color w:val="CC0000"/>
                <w:sz w:val="17"/>
              </w:rPr>
              <w:t>-25.00</w:t>
            </w:r>
          </w:p>
        </w:tc>
        <w:tc>
          <w:tcPr>
            <w:tcW w:type="dxa" w:w="1872"/>
            <w:shd w:val="clear" w:color="auto" w:fill="F0F6FF"/>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Expense</w:t>
            </w:r>
          </w:p>
        </w:tc>
      </w:tr>
      <w:tr>
        <w:tc>
          <w:tcPr>
            <w:tcW w:type="dxa" w:w="1872"/>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2025-03-05</w:t>
            </w:r>
          </w:p>
        </w:tc>
        <w:tc>
          <w:tcPr>
            <w:tcW w:type="dxa" w:w="1872"/>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left"/>
            </w:pPr>
            <w:r>
              <w:rPr>
                <w:sz w:val="17"/>
              </w:rPr>
              <w:t>Savings transfer</w:t>
            </w:r>
          </w:p>
        </w:tc>
        <w:tc>
          <w:tcPr>
            <w:tcW w:type="dxa" w:w="1872"/>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Savings</w:t>
            </w:r>
          </w:p>
        </w:tc>
        <w:tc>
          <w:tcPr>
            <w:tcW w:type="dxa" w:w="1872"/>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color w:val="CC0000"/>
                <w:sz w:val="17"/>
              </w:rPr>
              <w:t>-120.00</w:t>
            </w:r>
          </w:p>
        </w:tc>
        <w:tc>
          <w:tcPr>
            <w:tcW w:type="dxa" w:w="1872"/>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Savings</w:t>
            </w:r>
          </w:p>
        </w:tc>
      </w:tr>
      <w:tr>
        <w:tc>
          <w:tcPr>
            <w:tcW w:type="dxa" w:w="1872"/>
            <w:shd w:val="clear" w:color="auto" w:fill="F0F6FF"/>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2025-03-01</w:t>
            </w:r>
          </w:p>
        </w:tc>
        <w:tc>
          <w:tcPr>
            <w:tcW w:type="dxa" w:w="1872"/>
            <w:shd w:val="clear" w:color="auto" w:fill="F0F6FF"/>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left"/>
            </w:pPr>
            <w:r>
              <w:rPr>
                <w:sz w:val="17"/>
              </w:rPr>
              <w:t>Rent payment</w:t>
            </w:r>
          </w:p>
        </w:tc>
        <w:tc>
          <w:tcPr>
            <w:tcW w:type="dxa" w:w="1872"/>
            <w:shd w:val="clear" w:color="auto" w:fill="F0F6FF"/>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Housing</w:t>
            </w:r>
          </w:p>
        </w:tc>
        <w:tc>
          <w:tcPr>
            <w:tcW w:type="dxa" w:w="1872"/>
            <w:shd w:val="clear" w:color="auto" w:fill="F0F6FF"/>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color w:val="CC0000"/>
                <w:sz w:val="17"/>
              </w:rPr>
              <w:t>-400.00</w:t>
            </w:r>
          </w:p>
        </w:tc>
        <w:tc>
          <w:tcPr>
            <w:tcW w:type="dxa" w:w="1872"/>
            <w:shd w:val="clear" w:color="auto" w:fill="F0F6FF"/>
            <w:tcBorders>
              <w:top w:val="single" w:sz="6" w:space="0" w:color="2E6DA4"/>
              <w:left w:val="single" w:sz="6" w:space="0" w:color="2E6DA4"/>
              <w:bottom w:val="single" w:sz="6" w:space="0" w:color="2E6DA4"/>
              <w:right w:val="single" w:sz="6" w:space="0" w:color="2E6DA4"/>
              <w:insideH w:val="single" w:sz="6" w:space="0" w:color="2E6DA4"/>
              <w:insideV w:val="single" w:sz="6" w:space="0" w:color="2E6DA4"/>
            </w:tcBorders>
          </w:tcPr>
          <w:p>
            <w:pPr>
              <w:jc w:val="center"/>
            </w:pPr>
            <w:r>
              <w:rPr>
                <w:sz w:val="17"/>
              </w:rPr>
              <w:t>Expense</w:t>
            </w:r>
          </w:p>
        </w:tc>
      </w:tr>
    </w:tbl>
    <w:p/>
    <w:p>
      <w:pPr>
        <w:pStyle w:val="Heading1"/>
      </w:pPr>
      <w:r>
        <w:rPr>
          <w:color w:val="1A3A5C"/>
        </w:rPr>
        <w:t>7. Monthly Summary &amp; Recommendations</w:t>
      </w:r>
    </w:p>
    <w:p>
      <w:pPr>
        <w:jc w:val="center"/>
      </w:pPr>
      <w:r>
        <w:drawing>
          <wp:inline xmlns:a="http://schemas.openxmlformats.org/drawingml/2006/main" xmlns:pic="http://schemas.openxmlformats.org/drawingml/2006/picture">
            <wp:extent cx="4572000" cy="1524000"/>
            <wp:docPr id="4" name="Picture 4"/>
            <wp:cNvGraphicFramePr>
              <a:graphicFrameLocks noChangeAspect="1"/>
            </wp:cNvGraphicFramePr>
            <a:graphic>
              <a:graphicData uri="http://schemas.openxmlformats.org/drawingml/2006/picture">
                <pic:pic>
                  <pic:nvPicPr>
                    <pic:cNvPr id="0" name="income_bar.png"/>
                    <pic:cNvPicPr/>
                  </pic:nvPicPr>
                  <pic:blipFill>
                    <a:blip r:embed="rId12"/>
                    <a:stretch>
                      <a:fillRect/>
                    </a:stretch>
                  </pic:blipFill>
                  <pic:spPr>
                    <a:xfrm>
                      <a:off x="0" y="0"/>
                      <a:ext cx="4572000" cy="1524000"/>
                    </a:xfrm>
                    <a:prstGeom prst="rect"/>
                  </pic:spPr>
                </pic:pic>
              </a:graphicData>
            </a:graphic>
          </wp:inline>
        </w:drawing>
      </w:r>
    </w:p>
    <w:p>
      <w:pPr>
        <w:jc w:val="center"/>
      </w:pPr>
      <w:r>
        <w:rPr>
          <w:i/>
          <w:color w:val="888888"/>
          <w:sz w:val="18"/>
        </w:rPr>
        <w:t>Figure 4: Income vs Expense Comparison by Category</w:t>
      </w:r>
    </w:p>
    <w:p>
      <w:pPr>
        <w:pStyle w:val="ListBullet"/>
      </w:pPr>
      <w:r>
        <w:rPr>
          <w:sz w:val="22"/>
        </w:rPr>
        <w:t>Reduce grocery spending by 15% through meal planning and batch cooking.</w:t>
      </w:r>
    </w:p>
    <w:p>
      <w:pPr>
        <w:pStyle w:val="ListBullet"/>
      </w:pPr>
      <w:r>
        <w:rPr>
          <w:sz w:val="22"/>
        </w:rPr>
        <w:t>Reallocate the transport savings (+15 BAM) directly to the emergency fund.</w:t>
      </w:r>
    </w:p>
    <w:p>
      <w:pPr>
        <w:pStyle w:val="ListBullet"/>
      </w:pPr>
      <w:r>
        <w:rPr>
          <w:sz w:val="22"/>
        </w:rPr>
        <w:t>Apply for one additional scholarship opportunity this semester.</w:t>
      </w:r>
    </w:p>
    <w:p>
      <w:pPr>
        <w:pStyle w:val="ListBullet"/>
      </w:pPr>
      <w:r>
        <w:rPr>
          <w:sz w:val="22"/>
        </w:rPr>
        <w:t>Complete one more freelance project per month to reach 300 BAM freelance income.</w:t>
      </w:r>
    </w:p>
    <w:p>
      <w:pPr>
        <w:pStyle w:val="ListBullet"/>
      </w:pPr>
      <w:r>
        <w:rPr>
          <w:sz w:val="22"/>
        </w:rPr>
        <w:t>Review subscription services and cancel any unused recurring payments.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