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864" w:sz="6" w:space="4"/>
        </w:pBdr>
        <w:spacing w:before="240" w:after="160"/>
      </w:pPr>
      <w:r>
        <w:rPr>
          <w:rFonts w:ascii="Arial" w:cs="Arial" w:eastAsia="Arial" w:hAnsi="Arial"/>
          <w:b/>
          <w:bCs/>
          <w:color w:val="1F3864"/>
          <w:sz w:val="28"/>
          <w:szCs w:val="28"/>
        </w:rPr>
        <w:t xml:space="preserve">TAB 28 — ATTORNEY-CLIENT RETAINER AGREEMENT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This synthetic retainer agreement documents the terms under which the law firm represented the petitioner and applicant. Included for training purposes to illustrate standard immigration law firm practice.</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AAAAAA" w:sz="4"/>
              <w:left w:val="single" w:color="AAAAAA" w:sz="4"/>
              <w:bottom w:val="single" w:color="AAAAAA" w:sz="4"/>
              <w:right w:val="single" w:color="AAAAAA" w:sz="4"/>
            </w:tcBorders>
            <w:shd w:fill="FAFAFA" w:val="clear"/>
            <w:tcMar>
              <w:top w:type="dxa" w:w="180"/>
              <w:left w:type="dxa" w:w="280"/>
              <w:bottom w:type="dxa" w:w="180"/>
              <w:right w:type="dxa" w:w="280"/>
            </w:tcMar>
          </w:tcPr>
          <w:p>
            <w:pPr>
              <w:jc w:val="center"/>
            </w:pPr>
            <w:r>
              <w:rPr>
                <w:rFonts w:ascii="Arial" w:cs="Arial" w:eastAsia="Arial" w:hAnsi="Arial"/>
                <w:b/>
                <w:bCs/>
                <w:sz w:val="24"/>
                <w:szCs w:val="24"/>
              </w:rPr>
              <w:t xml:space="preserve">SMITH IMMIGRATION LAW GROUP, LLC</w:t>
            </w:r>
          </w:p>
          <w:p>
            <w:pPr>
              <w:jc w:val="center"/>
            </w:pPr>
            <w:r>
              <w:rPr>
                <w:rFonts w:ascii="Arial" w:cs="Arial" w:eastAsia="Arial" w:hAnsi="Arial"/>
                <w:color w:val="555555"/>
                <w:sz w:val="18"/>
                <w:szCs w:val="18"/>
              </w:rPr>
              <w:t xml:space="preserve">55 W. Monroe St., Suite 3700, Chicago, IL 60603</w:t>
            </w:r>
          </w:p>
          <w:p>
            <w:pPr>
              <w:spacing w:after="80"/>
              <w:jc w:val="center"/>
            </w:pPr>
            <w:r>
              <w:rPr>
                <w:rFonts w:ascii="Arial" w:cs="Arial" w:eastAsia="Arial" w:hAnsi="Arial"/>
                <w:color w:val="555555"/>
                <w:sz w:val="18"/>
                <w:szCs w:val="18"/>
              </w:rPr>
              <w:t xml:space="preserve">Tel: (312) 555-0100  |  jsmith@[redacted].com</w:t>
            </w:r>
          </w:p>
          <w:p>
            <w:pPr>
              <w:spacing w:after="60"/>
              <w:jc w:val="center"/>
            </w:pPr>
            <w:r>
              <w:rPr>
                <w:rFonts w:ascii="Arial" w:cs="Arial" w:eastAsia="Arial" w:hAnsi="Arial"/>
                <w:b/>
                <w:bCs/>
                <w:sz w:val="22"/>
                <w:szCs w:val="22"/>
              </w:rPr>
              <w:t xml:space="preserve">ATTORNEY-CLIENT RETAINER AGREEMENT</w:t>
            </w:r>
          </w:p>
          <w:p>
            <w:pPr>
              <w:spacing w:after="80"/>
              <w:jc w:val="center"/>
            </w:pPr>
            <w:r>
              <w:rPr>
                <w:rFonts w:ascii="Arial" w:cs="Arial" w:eastAsia="Arial" w:hAnsi="Arial"/>
                <w:b/>
                <w:bCs/>
                <w:color w:val="CC0000"/>
                <w:sz w:val="17"/>
                <w:szCs w:val="17"/>
              </w:rPr>
              <w:t xml:space="preserve">(SYNTHETIC DOCUMENT)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Agreement Date: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February 15, 2023</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Client 1 (Petitioner):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JOHNSON, MICHAEL DAVID</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Client 2 (Beneficiary/Applicant):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CHEN-MARTINEZ, LI YING</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Attorney:</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Jane A. Smith, Esq.</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Firm:</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Smith Immigration Law Group, LLC</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Bar Number: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IXXXXX (Illinois)</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Scope of Representation: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Concurrent I-130 / I-485 / I-765 / I-131 filing; all related correspondence with USCIS; preparation for and attendance at interview (if any); response to any RFE issued; issuance of approval and green card coordination</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Additional Services (Quoted Separately):</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I-751 Removal of Conditions; N-400 Naturalization (if applicable)</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Not Included: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Consular processing; waivers; appeals or federal court litigation; I-290B Motion to Reopen/Reconsider</w:t>
                  </w:r>
                </w:p>
              </w:tc>
            </w:tr>
          </w:tbl>
          <w:p>
            <w:pPr>
              <w:spacing w:before="80" w:after="0"/>
            </w:pPr>
            <w:r>
              <w:t xml:space="preserve"/>
            </w:r>
          </w:p>
          <w:p>
            <w:pPr>
              <w:spacing w:before="160" w:after="80"/>
            </w:pPr>
            <w:r>
              <w:rPr>
                <w:rFonts w:ascii="Arial" w:cs="Arial" w:eastAsia="Arial" w:hAnsi="Arial"/>
                <w:b/>
                <w:bCs/>
                <w:color w:val="404040"/>
                <w:sz w:val="21"/>
                <w:szCs w:val="21"/>
              </w:rPr>
              <w:t xml:space="preserve">Fee Schedule (Synthetic — For Illustrative Purposes)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Attorney Fees — I-130/I-485 Concurrent Filing:</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$2,500.00 (flat fee, includes all forms in scope)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Attorney Fees — RFE Response (if needed):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$500–$1,500 depending on complexity (billed at $350/hr)</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Attorney Fees — Interview Preparation:</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Included in flat fee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Attorney Fees — Interview Attendance:</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$500.00 (flat fee per interview)</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USCIS Filing Fees (Paid Directly by Clients):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See current USCIS fee schedule — estimated $1,975 at filing date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Civil Surgeon (I-693):</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Paid directly by client — estimate $200–$400</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Retainer Deposit Paid:</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$2,500.00 on February 15, 2023</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Payment Method:</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Check / ACH bank transfer</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Additional Invoicing:</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Billed monthly for out-of-scope services; invoice due within 30 days</w:t>
                  </w:r>
                </w:p>
              </w:tc>
            </w:tr>
          </w:tbl>
          <w:p>
            <w:pPr>
              <w:spacing w:before="80" w:after="0"/>
            </w:pPr>
            <w:r>
              <w:t xml:space="preserve"/>
            </w:r>
          </w:p>
          <w:p>
            <w:pPr>
              <w:spacing w:before="60" w:after="60"/>
            </w:pPr>
            <w:r>
              <w:rPr>
                <w:rFonts w:ascii="Arial" w:cs="Arial" w:eastAsia="Arial" w:hAnsi="Arial"/>
                <w:sz w:val="20"/>
                <w:szCs w:val="20"/>
              </w:rPr>
              <w:t xml:space="preserve">CLIENT RIGHTS AND RESPONSIBILITIES: Clients have the right to timely communication regarding case status. Clients are responsible for providing truthful, complete, and timely information and documents. The attorney-client privilege protects all communications. Clients may terminate representation at any time with written notice. The firm will retain copies of all filed documents.</w:t>
            </w:r>
          </w:p>
          <w:p>
            <w:pPr>
              <w:spacing w:before="60" w:after="0"/>
            </w:pPr>
            <w:r>
              <w:t xml:space="preserve"/>
            </w:r>
          </w:p>
          <w:p>
            <w:pPr>
              <w:spacing w:before="60" w:after="60"/>
            </w:pPr>
            <w:r>
              <w:rPr>
                <w:rFonts w:ascii="Arial" w:cs="Arial" w:eastAsia="Arial" w:hAnsi="Arial"/>
                <w:sz w:val="20"/>
                <w:szCs w:val="20"/>
              </w:rPr>
              <w:t xml:space="preserve">DISCLAIMER: Immigration law is subject to change. This agreement reflects the law as understood at the time of signing. USCIS adjudication outcomes cannot be guaranteed. This agreement does not constitute a guarantee of approval.</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Michael David Johnson</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02/15/2023</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Client 1 Signature (Petitioner)</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Li Ying Chen-Martinez</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02/15/2023</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Client 2 Signature (Applicant)</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pPr>
              <w:spacing w:before="6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0"/>
              <w:gridCol w:w="5080"/>
            </w:tblGrid>
            <w:tr>
              <w:tc>
                <w:tcPr>
                  <w:tcW w:type="dxa" w:w="5000"/>
                  <w:tcBorders>
                    <w:top w:val="none" w:color="FFFFFF" w:sz="0"/>
                    <w:left w:val="none" w:color="FFFFFF" w:sz="0"/>
                    <w:bottom w:val="none" w:color="FFFFFF" w:sz="0"/>
                    <w:right w:val="none" w:color="FFFFFF" w:sz="0"/>
                  </w:tcBorders>
                  <w:tcMar>
                    <w:top w:type="dxa" w:w="40"/>
                    <w:left w:type="dxa" w:w="0"/>
                    <w:bottom w:type="dxa" w:w="0"/>
                    <w:right w:type="dxa" w:w="200"/>
                  </w:tcMar>
                </w:tcPr>
                <w:p>
                  <w:pPr>
                    <w:pBdr>
                      <w:bottom w:val="single" w:color="444444" w:sz="4"/>
                    </w:pBdr>
                  </w:pPr>
                  <w:r>
                    <w:rPr>
                      <w:rFonts w:ascii="Arial" w:cs="Arial" w:eastAsia="Arial" w:hAnsi="Arial"/>
                      <w:sz w:val="19"/>
                      <w:szCs w:val="19"/>
                    </w:rPr>
                    <w:t xml:space="preserve">/s/ Jane A. Smith, Esq.</w:t>
                  </w:r>
                </w:p>
              </w:tc>
              <w:tc>
                <w:tcPr>
                  <w:tcW w:type="dxa" w:w="5080"/>
                  <w:tcBorders>
                    <w:top w:val="none" w:color="FFFFFF" w:sz="0"/>
                    <w:left w:val="none" w:color="FFFFFF" w:sz="0"/>
                    <w:bottom w:val="none" w:color="FFFFFF" w:sz="0"/>
                    <w:right w:val="none" w:color="FFFFFF" w:sz="0"/>
                  </w:tcBorders>
                  <w:tcMar>
                    <w:top w:type="dxa" w:w="40"/>
                    <w:left w:type="dxa" w:w="200"/>
                    <w:bottom w:type="dxa" w:w="0"/>
                    <w:right w:type="dxa" w:w="0"/>
                  </w:tcMar>
                </w:tcPr>
                <w:p>
                  <w:pPr>
                    <w:pBdr>
                      <w:bottom w:val="single" w:color="444444" w:sz="4"/>
                    </w:pBdr>
                  </w:pPr>
                  <w:r>
                    <w:rPr>
                      <w:rFonts w:ascii="Arial" w:cs="Arial" w:eastAsia="Arial" w:hAnsi="Arial"/>
                      <w:sz w:val="19"/>
                      <w:szCs w:val="19"/>
                    </w:rPr>
                    <w:t xml:space="preserve">02/15/2023</w:t>
                  </w:r>
                </w:p>
              </w:tc>
            </w:tr>
            <w:tr>
              <w:tc>
                <w:tcPr>
                  <w:tcW w:type="dxa" w:w="5000"/>
                  <w:tcBorders>
                    <w:top w:val="none" w:color="FFFFFF" w:sz="0"/>
                    <w:left w:val="none" w:color="FFFFFF" w:sz="0"/>
                    <w:bottom w:val="none" w:color="FFFFFF" w:sz="0"/>
                    <w:right w:val="none" w:color="FFFFFF" w:sz="0"/>
                  </w:tcBorders>
                  <w:tcMar>
                    <w:top w:type="dxa" w:w="30"/>
                    <w:left w:type="dxa" w:w="0"/>
                    <w:bottom w:type="dxa" w:w="0"/>
                    <w:right w:type="dxa" w:w="200"/>
                  </w:tcMar>
                </w:tcPr>
                <w:p>
                  <w:r>
                    <w:rPr>
                      <w:rFonts w:ascii="Arial" w:cs="Arial" w:eastAsia="Arial" w:hAnsi="Arial"/>
                      <w:color w:val="777777"/>
                      <w:sz w:val="17"/>
                      <w:szCs w:val="17"/>
                    </w:rPr>
                    <w:t xml:space="preserve">Attorney Signature</w:t>
                  </w:r>
                </w:p>
              </w:tc>
              <w:tc>
                <w:tcPr>
                  <w:tcW w:type="dxa" w:w="5080"/>
                  <w:tcBorders>
                    <w:top w:val="none" w:color="FFFFFF" w:sz="0"/>
                    <w:left w:val="none" w:color="FFFFFF" w:sz="0"/>
                    <w:bottom w:val="none" w:color="FFFFFF" w:sz="0"/>
                    <w:right w:val="none" w:color="FFFFFF" w:sz="0"/>
                  </w:tcBorders>
                  <w:tcMar>
                    <w:top w:type="dxa" w:w="30"/>
                    <w:left w:type="dxa" w:w="200"/>
                    <w:bottom w:type="dxa" w:w="0"/>
                    <w:right w:type="dxa" w:w="0"/>
                  </w:tcMar>
                </w:tcPr>
                <w:p>
                  <w:r>
                    <w:rPr>
                      <w:rFonts w:ascii="Arial" w:cs="Arial" w:eastAsia="Arial" w:hAnsi="Arial"/>
                      <w:color w:val="777777"/>
                      <w:sz w:val="17"/>
                      <w:szCs w:val="17"/>
                    </w:rPr>
                    <w:t xml:space="preserve">Date</w:t>
                  </w:r>
                </w:p>
              </w:tc>
            </w:tr>
          </w:tbl>
          <w:p/>
        </w:tc>
      </w:tr>
    </w:tbl>
    <w:p>
      <w:r>
        <w:br w:type="page"/>
      </w:r>
    </w:p>
    <w:p>
      <w:pPr>
        <w:pBdr>
          <w:bottom w:val="single" w:color="1F3864" w:sz="6" w:space="4"/>
        </w:pBdr>
        <w:spacing w:before="240" w:after="160"/>
      </w:pPr>
      <w:r>
        <w:rPr>
          <w:rFonts w:ascii="Arial" w:cs="Arial" w:eastAsia="Arial" w:hAnsi="Arial"/>
          <w:b/>
          <w:bCs/>
          <w:color w:val="1F3864"/>
          <w:sz w:val="28"/>
          <w:szCs w:val="28"/>
        </w:rPr>
        <w:t xml:space="preserve">TAB 29 — COMPLETE CASE TIMELINE (Cradle-to-Green-Card)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Comprehensive chronological timeline of all significant events in this synthetic marriage-based AOS case, from relationship commencement through I-751 filing. Useful for case file review, interview preparation, and audit trail.</w:t>
            </w:r>
          </w:p>
        </w:tc>
      </w:tr>
    </w:tbl>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6480"/>
      </w:tblGrid>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Fall 2018</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Couple Met</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Introduced at mutual friend's gathering in Wicker Park, Chicago. Li Ying attending IIA on F-1 visa.</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Early 2019</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Relationship Began</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Formal start of romantic relationship. Michael and Li Ying began dating.</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08/22/2019</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F-1 Entry</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Ying's most recent lawful entry to U.S. on F-1 visa at O'Hare International Airport. I-94 issued D/S.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Jan 2020</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Cohabitation Began</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Couple moved into shared apartment, 1420 W. University Ave., Chicago, IL.</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May 2021</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Li Ying's Graduation</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completed MFA in Graphic Design at Illinois Institute of Art.</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07/01/2022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Moved to Springfield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Couple relocated to 1234 Main Street, Springfield, IL 62701. AR-11 filed 07/08/2022.</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07/15/2022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Joint Phone Plan</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added to Michael's T-Mobile family plan as second line.</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07/15/2022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Life Insurance Update</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Michael designated Li Ying as primary beneficiary of life insurance policy.</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08/01/2022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Joint Health Insurance</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added to Michael's BCBS employer plan as spouse — qualifying life event.</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09/12/2022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Estate Planning</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Joint wills and powers of attorney executed.</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02/14/2023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Engagement</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Michael proposed at Millennium Park. Li Ying accepted.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06/18/2022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MARRIAGE</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Civil ceremony at Cook County Clerk's Office. Certificate No. 2022-XXXXXXX.</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06/25/2022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Lease Signed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Joint lease for 742 Evergreen Terrace executed by both parties.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07/01/2022</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Joint Utilities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ComEd and Nicor accounts updated to include both names.</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07/15/2022</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Joint Banking</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Chase joint checking and savings accounts opened.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02/15/2023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Retainer Signed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Attorney-client retainer agreement signed with Smith Immigration Law Group, LLC.</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03/15/2023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FILING DATE</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Concurrent I-130/I-485/I-765/I-131/I-864/I-693/G-28 package filed at USCIS Chicago Field Office. Priority date established.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03/28/2023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Receipt Notices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I-797 Receipt Notices issued by USCIS for all filed applications (MSC-23-XXX-XXXXX series).</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04/12/2023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Tax Return Filed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Joint 2022 federal tax return (1040 MFJ) filed. AGI $91,200.</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04/28/2023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Biometrics Completed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Li Ying appeared at Chicago ASC for fingerprints, photo, and signature capture.</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05/10/2023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I-130 APPROVED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USCIS issued approval notice for I-130 petition. Immediate relative classification confirmed.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06/10/2023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EAD/AP Card Issued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Employment Authorization / Advance Parole combo card issued. Li Ying now authorized to work.</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06/15/2023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SSN Issued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obtained Social Security Number at SSA Chicago office using EAD card.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10/05/2023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Interview Notice</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USCIS mailed interview appointment notice for 11/14/2023 at Chicago Field Office.</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11/07/2023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Interview Prep</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Final interview preparation meeting with attorney. Documents organized.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11/14/2023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INTERVIEW HELD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Joint interview at USCIS Chicago Field Office. Both Michael and Li Ying attended with attorney. Interview lasted approx. 45 minutes. Officer reviewed all documents and marriage evidence. Case taken under advisement at conclusion.</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11/28/2023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I-485 APPROVED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USCIS issued approval notice. Li Ying granted Conditional Permanent Residence (CR-1). 2-year conditional status effective 11/28/2023.</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12/10/2023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Green Card Mailed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Form I-551 (Permanent Resident Card) mailed to 742 Evergreen Terrace, Springfield, IL.</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12/15/2023</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Green Card Received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Green Card received and confirmed. Card expiration: 11/28/2025.</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Dec 2023</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Taiwan Visit</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Couple traveled to Taiwan for holidays. Li Ying used Advance Parole for re-entry. Michael met Li Ying's family in person. Returned Jan 2024.</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01/2024</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Promotion</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Michael promoted to Principal Software Engineer. New salary: $108,000.</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Apr 2024</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2023 Taxes Filed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Joint 2023 tax return filed. AGI: $117,700 combined.</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06/18/2024</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2nd Anniversary</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Couple celebrated second wedding anniversary with friends.</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08/28/2025</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I-751 Window Opens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90-day filing window for I-751 opens.</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09/15/2025</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I-751 FILED</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Joint I-751 Petition to Remove Conditions filed with all supporting evidence. Receipt notice awaited.</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11/28/2025</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CR-1 Card Expires</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Green Card expiration date — I-797 I-751 receipt notice extends status while I-751 pending.</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TBD (est. 2026–2027)</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I-751 Biometrics</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Biometrics appointment for I-751 adjudication.</w:t>
            </w:r>
          </w:p>
        </w:tc>
      </w:tr>
      <w:tr>
        <w:tc>
          <w:tcPr>
            <w:tcW w:type="dxa" w:w="16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TBD</w:t>
            </w:r>
          </w:p>
        </w:tc>
        <w:tc>
          <w:tcPr>
            <w:tcW w:type="dxa" w:w="200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bCs/>
                <w:sz w:val="17"/>
                <w:szCs w:val="17"/>
              </w:rPr>
              <w:t xml:space="preserve">I-751 APPROVED</w:t>
            </w:r>
          </w:p>
        </w:tc>
        <w:tc>
          <w:tcPr>
            <w:tcW w:type="dxa" w:w="6480"/>
            <w:tcBorders>
              <w:top w:val="single" w:color="CCCCCC" w:sz="4"/>
              <w:left w:val="single" w:color="CCCCCC" w:sz="4"/>
              <w:bottom w:val="single" w:color="CCCCCC" w:sz="4"/>
              <w:right w:val="single" w:color="CCCCCC" w:sz="4"/>
            </w:tcBorders>
            <w:shd w:fill="FFFFFF" w:val="clear"/>
            <w:tcMar>
              <w:top w:type="dxa" w:w="70"/>
              <w:left w:type="dxa" w:w="100"/>
              <w:bottom w:type="dxa" w:w="70"/>
              <w:right w:type="dxa" w:w="100"/>
            </w:tcMar>
          </w:tcPr>
          <w:p>
            <w:r>
              <w:rPr>
                <w:rFonts w:ascii="Arial" w:cs="Arial" w:eastAsia="Arial" w:hAnsi="Arial"/>
                <w:b w:val="false"/>
                <w:bCs w:val="false"/>
                <w:sz w:val="17"/>
                <w:szCs w:val="17"/>
              </w:rPr>
              <w:t xml:space="preserve">Expected: Unconditional LPR status granted. New 10-year Green Card issued.</w:t>
            </w:r>
          </w:p>
        </w:tc>
      </w:tr>
      <w:tr>
        <w:tc>
          <w:tcPr>
            <w:tcW w:type="dxa" w:w="16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TBD (eligible Nov 2026)</w:t>
            </w:r>
          </w:p>
        </w:tc>
        <w:tc>
          <w:tcPr>
            <w:tcW w:type="dxa" w:w="200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bCs/>
                <w:sz w:val="17"/>
                <w:szCs w:val="17"/>
              </w:rPr>
              <w:t xml:space="preserve">N-400 Eligible</w:t>
            </w:r>
          </w:p>
        </w:tc>
        <w:tc>
          <w:tcPr>
            <w:tcW w:type="dxa" w:w="6480"/>
            <w:tcBorders>
              <w:top w:val="single" w:color="CCCCCC" w:sz="4"/>
              <w:left w:val="single" w:color="CCCCCC" w:sz="4"/>
              <w:bottom w:val="single" w:color="CCCCCC" w:sz="4"/>
              <w:right w:val="single" w:color="CCCCCC" w:sz="4"/>
            </w:tcBorders>
            <w:shd w:fill="EFF3FB" w:val="clear"/>
            <w:tcMar>
              <w:top w:type="dxa" w:w="70"/>
              <w:left w:type="dxa" w:w="100"/>
              <w:bottom w:type="dxa" w:w="70"/>
              <w:right w:type="dxa" w:w="100"/>
            </w:tcMar>
          </w:tcPr>
          <w:p>
            <w:r>
              <w:rPr>
                <w:rFonts w:ascii="Arial" w:cs="Arial" w:eastAsia="Arial" w:hAnsi="Arial"/>
                <w:b w:val="false"/>
                <w:bCs w:val="false"/>
                <w:sz w:val="17"/>
                <w:szCs w:val="17"/>
              </w:rPr>
              <w:t xml:space="preserve">Li Ying eligible to apply for U.S. citizenship (3 years as LPR married to USC — INA §319(a)).</w:t>
            </w:r>
          </w:p>
        </w:tc>
      </w:tr>
    </w:tbl>
    <w:p>
      <w:r>
        <w:br w:type="page"/>
      </w:r>
    </w:p>
    <w:p>
      <w:pPr>
        <w:pBdr>
          <w:bottom w:val="single" w:color="1F3864" w:sz="6" w:space="4"/>
        </w:pBdr>
        <w:spacing w:before="240" w:after="160"/>
      </w:pPr>
      <w:r>
        <w:rPr>
          <w:rFonts w:ascii="Arial" w:cs="Arial" w:eastAsia="Arial" w:hAnsi="Arial"/>
          <w:b/>
          <w:bCs/>
          <w:color w:val="1F3864"/>
          <w:sz w:val="28"/>
          <w:szCs w:val="28"/>
        </w:rPr>
        <w:t xml:space="preserve">TAB 30 — NATURALIZATION PATHWAY PREVIEW (Form N-400)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F0A500" w:sz="4"/>
              <w:left w:val="single" w:color="F0A500" w:sz="18"/>
              <w:bottom w:val="single" w:color="F0A500" w:sz="4"/>
              <w:right w:val="single" w:color="F0A500" w:sz="4"/>
            </w:tcBorders>
            <w:shd w:fill="FFF8E1" w:val="clear"/>
            <w:tcMar>
              <w:top w:type="dxa" w:w="100"/>
              <w:left w:type="dxa" w:w="200"/>
              <w:bottom w:type="dxa" w:w="100"/>
              <w:right w:type="dxa" w:w="200"/>
            </w:tcMar>
          </w:tcPr>
          <w:p>
            <w:r>
              <w:rPr>
                <w:rFonts w:ascii="Arial" w:cs="Arial" w:eastAsia="Arial" w:hAnsi="Arial"/>
                <w:i/>
                <w:iCs/>
                <w:sz w:val="19"/>
                <w:szCs w:val="19"/>
              </w:rPr>
              <w:t xml:space="preserve">N-400 Application for Naturalization — Informational preview only. Li Ying is not yet eligible but will become eligible in November 2026 (3-year LPR rule for spouses of U.S. citizens under INA § 319(a)).</w:t>
            </w:r>
          </w:p>
        </w:tc>
      </w:tr>
    </w:tbl>
    <w:p>
      <w:pPr>
        <w:spacing w:before="80" w:after="0"/>
      </w:pPr>
      <w:r>
        <w:t xml:space="preserve"/>
      </w:r>
    </w:p>
    <w:p>
      <w:pPr>
        <w:spacing w:before="200" w:after="100"/>
      </w:pPr>
      <w:r>
        <w:rPr>
          <w:rFonts w:ascii="Arial" w:cs="Arial" w:eastAsia="Arial" w:hAnsi="Arial"/>
          <w:b/>
          <w:bCs/>
          <w:color w:val="2E5496"/>
          <w:sz w:val="24"/>
          <w:szCs w:val="24"/>
        </w:rPr>
        <w:t xml:space="preserve">Eligibility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800"/>
        <w:gridCol w:w="6280"/>
      </w:tblGrid>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Naturalization Basis:</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INA § 319(a) — LPR continuously married to and living with U.S. citizen spouse for at least 3 years prior to filing N-400</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Standard Rule for LPRs:</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5 years continuous LPR status (INA § 316) — NOT APPLICABLE here (3-year rule available)</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3-Year Rule Available?:</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YES — Li Ying has been married to U.S. citizen continuously; shorter 3-year path available</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Earliest N-400 Filing Eligibility:</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November 28, 2026 (3 years after I-485 approval of 11/28/2023) — subject to I-751 approval prior to N-400 filing</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I-751 Must Be Approved Before N-400:</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RECOMMENDED — USCIS will require proof of LPR status without conditions to approve N-400</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Continuous Residence Requirement:</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3 years of continuous residence in U.S. — met (no disqualifying absences; Taiwan trip Dec 2023 approx. 3 weeks — does not break continuity)</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Physical Presence Requirement: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At least 18 months out of the 3 years before filing</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English Requirement:</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Must demonstrate ability to read, write, and speak English — Li Ying is fully English-proficient</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Civics Test: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100-question USCIS civics test — 6 oral questions administered; must answer 6/10 correctly</w:t>
            </w:r>
          </w:p>
        </w:tc>
      </w:tr>
      <w:tr>
        <w:tc>
          <w:tcPr>
            <w:tcW w:type="dxa" w:w="380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b/>
                <w:bCs/>
                <w:sz w:val="19"/>
                <w:szCs w:val="19"/>
              </w:rPr>
              <w:t xml:space="preserve">Good Moral Character:</w:t>
            </w:r>
          </w:p>
        </w:tc>
        <w:tc>
          <w:tcPr>
            <w:tcW w:type="dxa" w:w="6280"/>
            <w:tcBorders>
              <w:top w:val="single" w:color="D0D0D0" w:sz="4"/>
              <w:left w:val="single" w:color="D0D0D0" w:sz="4"/>
              <w:bottom w:val="single" w:color="D0D0D0" w:sz="4"/>
              <w:right w:val="single" w:color="D0D0D0" w:sz="4"/>
            </w:tcBorders>
            <w:shd w:fill="FFFFFF" w:val="clear"/>
            <w:tcMar>
              <w:top w:type="dxa" w:w="80"/>
              <w:left w:type="dxa" w:w="120"/>
              <w:bottom w:type="dxa" w:w="80"/>
              <w:right w:type="dxa" w:w="120"/>
            </w:tcMar>
          </w:tcPr>
          <w:p>
            <w:r>
              <w:rPr>
                <w:rFonts w:ascii="Arial" w:cs="Arial" w:eastAsia="Arial" w:hAnsi="Arial"/>
                <w:sz w:val="19"/>
                <w:szCs w:val="19"/>
              </w:rPr>
              <w:t xml:space="preserve">Required — no criminal history; no public charge violations; tax returns filed</w:t>
            </w:r>
          </w:p>
        </w:tc>
      </w:tr>
      <w:tr>
        <w:tc>
          <w:tcPr>
            <w:tcW w:type="dxa" w:w="3800"/>
            <w:tcBorders>
              <w:top w:val="single" w:color="D0D0D0" w:sz="4"/>
              <w:left w:val="single" w:color="D0D0D0" w:sz="4"/>
              <w:bottom w:val="single" w:color="D0D0D0" w:sz="4"/>
              <w:right w:val="single" w:color="D0D0D0" w:sz="4"/>
            </w:tcBorders>
            <w:shd w:fill="EFF3FB" w:val="clear"/>
            <w:tcMar>
              <w:top w:type="dxa" w:w="80"/>
              <w:left w:type="dxa" w:w="120"/>
              <w:bottom w:type="dxa" w:w="80"/>
              <w:right w:type="dxa" w:w="120"/>
            </w:tcMar>
          </w:tcPr>
          <w:p>
            <w:r>
              <w:rPr>
                <w:rFonts w:ascii="Arial" w:cs="Arial" w:eastAsia="Arial" w:hAnsi="Arial"/>
                <w:b/>
                <w:bCs/>
                <w:sz w:val="19"/>
                <w:szCs w:val="19"/>
              </w:rPr>
              <w:t xml:space="preserve">Filing Fee (current):</w:t>
            </w:r>
          </w:p>
        </w:tc>
        <w:tc>
          <w:tcPr>
            <w:tcW w:type="dxa" w:w="6280"/>
            <w:tcBorders>
              <w:top w:val="single" w:color="D0D0D0" w:sz="4"/>
              <w:left w:val="single" w:color="D0D0D0" w:sz="4"/>
              <w:bottom w:val="single" w:color="D0D0D0" w:sz="4"/>
              <w:right w:val="single" w:color="D0D0D0" w:sz="4"/>
            </w:tcBorders>
            <w:shd w:fill="F8F9FF" w:val="clear"/>
            <w:tcMar>
              <w:top w:type="dxa" w:w="80"/>
              <w:left w:type="dxa" w:w="120"/>
              <w:bottom w:type="dxa" w:w="80"/>
              <w:right w:type="dxa" w:w="120"/>
            </w:tcMar>
          </w:tcPr>
          <w:p>
            <w:r>
              <w:rPr>
                <w:rFonts w:ascii="Arial" w:cs="Arial" w:eastAsia="Arial" w:hAnsi="Arial"/>
                <w:sz w:val="19"/>
                <w:szCs w:val="19"/>
              </w:rPr>
              <w:t xml:space="preserve">$640 (verify at uscis.gov/fees)</w:t>
            </w:r>
          </w:p>
        </w:tc>
      </w:tr>
    </w:tbl>
    <w:p>
      <w:pPr>
        <w:spacing w:before="80" w:after="0"/>
      </w:pPr>
      <w:r>
        <w:t xml:space="preserve"/>
      </w:r>
    </w:p>
    <w:p>
      <w:pPr>
        <w:spacing w:before="200" w:after="100"/>
      </w:pPr>
      <w:r>
        <w:rPr>
          <w:rFonts w:ascii="Arial" w:cs="Arial" w:eastAsia="Arial" w:hAnsi="Arial"/>
          <w:b/>
          <w:bCs/>
          <w:color w:val="2E5496"/>
          <w:sz w:val="24"/>
          <w:szCs w:val="24"/>
        </w:rPr>
        <w:t xml:space="preserve">Documents to Gather for Future N-400</w:t>
      </w:r>
    </w:p>
    <w:p>
      <w:pPr>
        <w:pStyle w:val="ListParagraph"/>
        <w:numPr>
          <w:ilvl w:val="0"/>
          <w:numId w:val="2"/>
        </w:numPr>
        <w:spacing w:before="60" w:after="60"/>
      </w:pPr>
      <w:r>
        <w:rPr>
          <w:rFonts w:ascii="Arial" w:cs="Arial" w:eastAsia="Arial" w:hAnsi="Arial"/>
          <w:sz w:val="19"/>
          <w:szCs w:val="19"/>
        </w:rPr>
        <w:t xml:space="preserve">Permanent Resident Card (Green Card — unconditional, after I-751 approval)</w:t>
      </w:r>
    </w:p>
    <w:p>
      <w:pPr>
        <w:pStyle w:val="ListParagraph"/>
        <w:numPr>
          <w:ilvl w:val="0"/>
          <w:numId w:val="2"/>
        </w:numPr>
        <w:spacing w:before="60" w:after="60"/>
      </w:pPr>
      <w:r>
        <w:rPr>
          <w:rFonts w:ascii="Arial" w:cs="Arial" w:eastAsia="Arial" w:hAnsi="Arial"/>
          <w:sz w:val="19"/>
          <w:szCs w:val="19"/>
        </w:rPr>
        <w:t xml:space="preserve">Proof of U.S. citizen spouse's citizenship (passport or naturalization certificate)</w:t>
      </w:r>
    </w:p>
    <w:p>
      <w:pPr>
        <w:pStyle w:val="ListParagraph"/>
        <w:numPr>
          <w:ilvl w:val="0"/>
          <w:numId w:val="2"/>
        </w:numPr>
        <w:spacing w:before="60" w:after="60"/>
      </w:pPr>
      <w:r>
        <w:rPr>
          <w:rFonts w:ascii="Arial" w:cs="Arial" w:eastAsia="Arial" w:hAnsi="Arial"/>
          <w:sz w:val="19"/>
          <w:szCs w:val="19"/>
        </w:rPr>
        <w:t xml:space="preserve">Proof of joint marital residence throughout the 3-year LPR period</w:t>
      </w:r>
    </w:p>
    <w:p>
      <w:pPr>
        <w:pStyle w:val="ListParagraph"/>
        <w:numPr>
          <w:ilvl w:val="0"/>
          <w:numId w:val="2"/>
        </w:numPr>
        <w:spacing w:before="60" w:after="60"/>
      </w:pPr>
      <w:r>
        <w:rPr>
          <w:rFonts w:ascii="Arial" w:cs="Arial" w:eastAsia="Arial" w:hAnsi="Arial"/>
          <w:sz w:val="19"/>
          <w:szCs w:val="19"/>
        </w:rPr>
        <w:t xml:space="preserve">Federal tax returns for 3 years (2023, 2024, 2025)</w:t>
      </w:r>
    </w:p>
    <w:p>
      <w:pPr>
        <w:pStyle w:val="ListParagraph"/>
        <w:numPr>
          <w:ilvl w:val="0"/>
          <w:numId w:val="2"/>
        </w:numPr>
        <w:spacing w:before="60" w:after="60"/>
      </w:pPr>
      <w:r>
        <w:rPr>
          <w:rFonts w:ascii="Arial" w:cs="Arial" w:eastAsia="Arial" w:hAnsi="Arial"/>
          <w:sz w:val="19"/>
          <w:szCs w:val="19"/>
        </w:rPr>
        <w:t xml:space="preserve">Record of all trips outside the U.S. (destination, duration, purpose) since LPR status</w:t>
      </w:r>
    </w:p>
    <w:p>
      <w:pPr>
        <w:pStyle w:val="ListParagraph"/>
        <w:numPr>
          <w:ilvl w:val="0"/>
          <w:numId w:val="2"/>
        </w:numPr>
        <w:spacing w:before="60" w:after="60"/>
      </w:pPr>
      <w:r>
        <w:rPr>
          <w:rFonts w:ascii="Arial" w:cs="Arial" w:eastAsia="Arial" w:hAnsi="Arial"/>
          <w:sz w:val="19"/>
          <w:szCs w:val="19"/>
        </w:rPr>
        <w:t xml:space="preserve">Any criminal history — arrests, citations (none in this case)</w:t>
      </w:r>
    </w:p>
    <w:p>
      <w:pPr>
        <w:pStyle w:val="ListParagraph"/>
        <w:numPr>
          <w:ilvl w:val="0"/>
          <w:numId w:val="2"/>
        </w:numPr>
        <w:spacing w:before="60" w:after="60"/>
      </w:pPr>
      <w:r>
        <w:rPr>
          <w:rFonts w:ascii="Arial" w:cs="Arial" w:eastAsia="Arial" w:hAnsi="Arial"/>
          <w:sz w:val="19"/>
          <w:szCs w:val="19"/>
        </w:rPr>
        <w:t xml:space="preserve">Police clearance records (if any long international trips or prior foreign criminal history)</w:t>
      </w:r>
    </w:p>
    <w:p>
      <w:pPr>
        <w:spacing w:before="80" w:after="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Borders>
              <w:top w:val="single" w:color="2E5496" w:sz="4"/>
              <w:left w:val="single" w:color="2E5496" w:sz="18"/>
              <w:bottom w:val="single" w:color="2E5496" w:sz="4"/>
              <w:right w:val="single" w:color="2E5496" w:sz="4"/>
            </w:tcBorders>
            <w:shd w:fill="E8F0FF" w:val="clear"/>
            <w:tcMar>
              <w:top w:type="dxa" w:w="100"/>
              <w:left w:type="dxa" w:w="200"/>
              <w:bottom w:type="dxa" w:w="100"/>
              <w:right w:type="dxa" w:w="200"/>
            </w:tcMar>
          </w:tcPr>
          <w:p>
            <w:r>
              <w:rPr>
                <w:rFonts w:ascii="Arial" w:cs="Arial" w:eastAsia="Arial" w:hAnsi="Arial"/>
                <w:i/>
                <w:iCs/>
                <w:sz w:val="19"/>
                <w:szCs w:val="19"/>
              </w:rPr>
              <w:t xml:space="preserve">This naturalization preview is for planning purposes only. USCIS naturalization requirements and processing times are subject to change. Always verify current requirements at uscis.gov/n-400 and consult with an immigration attorney before filing.</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6"/>
        <w:szCs w:val="16"/>
      </w:rPr>
      <w:t xml:space="preserve">SYNTHETIC DATA ONLY — Not a real case — For training/educational purposes only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color w:val="888888"/>
        <w:sz w:val="16"/>
        <w:szCs w:val="16"/>
      </w:rPr>
      <w:t xml:space="preserve">MARRIAGE-BASED AOS — SYNTHETIC TRAINING FILE  |  ALL INFORMATION IS FICTITIOUS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rPr>
        <w:rFonts w:ascii="Arial" w:cs="Arial" w:eastAsia="Arial" w:hAnsi="Arial"/>
        <w:sz w:val="19"/>
        <w:szCs w:val="19"/>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19"/>
        <w:szCs w:val="19"/>
      </w:rPr>
    </w:lvl>
  </w:abstractNum>
  <w:abstractNum w:abstractNumId="4" w15:restartNumberingAfterBreak="0">
    <w:multiLevelType w:val="hybridMultilevel"/>
    <w:lvl w:ilvl="0" w15:tentative="1">
      <w:start w:val="1"/>
      <w:numFmt w:val="lowerLetter"/>
      <w:lvlText w:val="%1)"/>
      <w:lvlJc w:val="left"/>
      <w:pPr>
        <w:ind w:left="720" w:hanging="360"/>
      </w:pPr>
      <w:rPr>
        <w:rFonts w:ascii="Arial" w:cs="Arial" w:eastAsia="Arial" w:hAnsi="Arial"/>
        <w:sz w:val="19"/>
        <w:szCs w:val="19"/>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2026-03-23T07:41:30.206Z</dcterms:created>
  <dcterms:modified xsi:type="dcterms:W3CDTF">2026-03-23T07:41:30.206Z</dcterms:modified>
</cp:coreProperties>
</file>

<file path=docProps/custom.xml><?xml version="1.0" encoding="utf-8"?>
<Properties xmlns="http://schemas.openxmlformats.org/officeDocument/2006/custom-properties" xmlns:vt="http://schemas.openxmlformats.org/officeDocument/2006/docPropsVTypes"/>
</file>