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36C09" w:sz="20" w:space="0"/>
        </w:pBdr>
        <w:shd w:fill="003366" w:val="clear"/>
        <w:spacing w:after="0" w:before="0"/>
      </w:pPr>
      <w:r>
        <w:rPr>
          <w:rFonts w:ascii="Times New Roman" w:cs="Times New Roman" w:eastAsia="Times New Roman" w:hAnsi="Times New Roman"/>
          <w:b w:val="false"/>
          <w:bCs w:val="false"/>
          <w:i w:val="false"/>
          <w:iCs w:val="false"/>
          <w:color w:val="FFFFFF"/>
          <w:sz w:val="48"/>
          <w:szCs w:val="48"/>
        </w:rPr>
        <w:t xml:space="preserve"> </w:t>
      </w:r>
    </w:p>
    <w:p>
      <w:pPr>
        <w:spacing w:after="0" w:before="600"/>
      </w:pPr>
      <w:r>
        <w:rPr>
          <w:rFonts w:ascii="Times New Roman" w:cs="Times New Roman" w:eastAsia="Times New Roman" w:hAnsi="Times New Roman"/>
          <w:sz w:val="24"/>
          <w:szCs w:val="24"/>
        </w:rPr>
        <w:t xml:space="preserve"/>
      </w:r>
    </w:p>
    <w:p>
      <w:pPr>
        <w:spacing w:after="60" w:before="0"/>
        <w:jc w:val="center"/>
      </w:pPr>
      <w:r>
        <w:rPr>
          <w:rFonts w:ascii="Times New Roman" w:cs="Times New Roman" w:eastAsia="Times New Roman" w:hAnsi="Times New Roman"/>
          <w:b/>
          <w:bCs/>
          <w:i w:val="false"/>
          <w:iCs w:val="false"/>
          <w:color w:val="595959"/>
          <w:sz w:val="22"/>
          <w:szCs w:val="22"/>
        </w:rPr>
        <w:t xml:space="preserve">KEPLER COLLEGE</w:t>
      </w:r>
    </w:p>
    <w:p>
      <w:pPr>
        <w:spacing w:after="60" w:before="0"/>
        <w:jc w:val="center"/>
      </w:pPr>
      <w:r>
        <w:rPr>
          <w:rFonts w:ascii="Times New Roman" w:cs="Times New Roman" w:eastAsia="Times New Roman" w:hAnsi="Times New Roman"/>
          <w:b w:val="false"/>
          <w:bCs w:val="false"/>
          <w:i w:val="false"/>
          <w:iCs w:val="false"/>
          <w:color w:val="595959"/>
          <w:sz w:val="22"/>
          <w:szCs w:val="22"/>
        </w:rPr>
        <w:t xml:space="preserve">BUS82406 — Statistics and Probability for Business</w:t>
      </w:r>
    </w:p>
    <w:p>
      <w:pPr>
        <w:spacing w:after="400" w:before="0"/>
        <w:jc w:val="center"/>
      </w:pPr>
      <w:r>
        <w:rPr>
          <w:rFonts w:ascii="Times New Roman" w:cs="Times New Roman" w:eastAsia="Times New Roman" w:hAnsi="Times New Roman"/>
          <w:b w:val="false"/>
          <w:bCs w:val="false"/>
          <w:i/>
          <w:iCs/>
          <w:color w:val="595959"/>
          <w:sz w:val="22"/>
          <w:szCs w:val="22"/>
        </w:rPr>
        <w:t xml:space="preserve">Final Group Research Assessment · Trimester II · 2025–2026</w:t>
      </w:r>
    </w:p>
    <w:p>
      <w:pPr>
        <w:spacing w:after="120" w:before="0"/>
        <w:jc w:val="center"/>
      </w:pPr>
      <w:r>
        <w:rPr>
          <w:rFonts w:ascii="Times New Roman" w:cs="Times New Roman" w:eastAsia="Times New Roman" w:hAnsi="Times New Roman"/>
          <w:b/>
          <w:bCs/>
          <w:i w:val="false"/>
          <w:iCs w:val="false"/>
          <w:color w:val="003366"/>
          <w:sz w:val="52"/>
          <w:szCs w:val="52"/>
        </w:rPr>
        <w:t xml:space="preserve">Student Perceptions of AI Grading
and Human Grading at Kepler College</w:t>
      </w:r>
    </w:p>
    <w:p>
      <w:pPr>
        <w:spacing w:after="600" w:before="0"/>
        <w:jc w:val="center"/>
      </w:pPr>
      <w:r>
        <w:rPr>
          <w:rFonts w:ascii="Times New Roman" w:cs="Times New Roman" w:eastAsia="Times New Roman" w:hAnsi="Times New Roman"/>
          <w:b w:val="false"/>
          <w:bCs w:val="false"/>
          <w:i/>
          <w:iCs/>
          <w:color w:val="0070C0"/>
          <w:sz w:val="26"/>
          <w:szCs w:val="26"/>
        </w:rPr>
        <w:t xml:space="preserve">A Comparative Statistical Analysis Among Year 2 Students, Cohort 2025</w:t>
      </w:r>
    </w:p>
    <w:p>
      <w:pPr>
        <w:pBdr>
          <w:bottom w:val="single" w:color="E36C09" w:sz="6" w:space="1"/>
        </w:pBdr>
        <w:spacing w:after="400" w:before="0"/>
      </w:pPr>
      <w:r>
        <w:rPr>
          <w:rFonts w:ascii="Times New Roman" w:cs="Times New Roman" w:eastAsia="Times New Roman" w:hAnsi="Times New Roman"/>
          <w:b w:val="false"/>
          <w:bCs w:val="false"/>
          <w:i w:val="false"/>
          <w:iCs w:val="false"/>
          <w:color w:val="000000"/>
          <w:sz w:val="24"/>
          <w:szCs w:val="24"/>
        </w:rPr>
        <w:t xml:space="preserve"> </w:t>
      </w:r>
    </w:p>
    <w:p>
      <w:pPr>
        <w:spacing w:after="60" w:before="0"/>
        <w:jc w:val="center"/>
      </w:pPr>
      <w:r>
        <w:rPr>
          <w:rFonts w:ascii="Times New Roman" w:cs="Times New Roman" w:eastAsia="Times New Roman" w:hAnsi="Times New Roman"/>
          <w:b w:val="false"/>
          <w:bCs w:val="false"/>
          <w:i w:val="false"/>
          <w:iCs w:val="false"/>
          <w:color w:val="595959"/>
          <w:sz w:val="22"/>
          <w:szCs w:val="22"/>
        </w:rPr>
        <w:t xml:space="preserve">Module Instructor: Vedaste Nyandwi</w:t>
      </w:r>
    </w:p>
    <w:p>
      <w:pPr>
        <w:spacing w:after="60" w:before="0"/>
        <w:jc w:val="center"/>
      </w:pPr>
      <w:r>
        <w:rPr>
          <w:rFonts w:ascii="Times New Roman" w:cs="Times New Roman" w:eastAsia="Times New Roman" w:hAnsi="Times New Roman"/>
          <w:b w:val="false"/>
          <w:bCs w:val="false"/>
          <w:i w:val="false"/>
          <w:iCs w:val="false"/>
          <w:color w:val="595959"/>
          <w:sz w:val="22"/>
          <w:szCs w:val="22"/>
        </w:rPr>
        <w:t xml:space="preserve">Date of Submission: April 2026</w:t>
      </w:r>
    </w:p>
    <w:p>
      <w:pPr>
        <w:spacing w:after="400" w:before="0"/>
        <w:jc w:val="center"/>
      </w:pPr>
      <w:r>
        <w:rPr>
          <w:rFonts w:ascii="Times New Roman" w:cs="Times New Roman" w:eastAsia="Times New Roman" w:hAnsi="Times New Roman"/>
          <w:b w:val="false"/>
          <w:bCs w:val="false"/>
          <w:i w:val="false"/>
          <w:iCs w:val="false"/>
          <w:color w:val="595959"/>
          <w:sz w:val="22"/>
          <w:szCs w:val="22"/>
        </w:rPr>
        <w:t xml:space="preserve">Assessment Weighting: 40%   |   Sample Size: 91 Students</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Executive Snapshot</w:t>
      </w:r>
    </w:p>
    <w:p>
      <w:pPr>
        <w:spacing w:after="0" w:before="12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This study asked 91 Year 2 students at Kepler College to rate how fair they find human grading and AI grading on a scale of 1 to 10. The numbers below summarise the core findings at a glance before the full analysis that follows.</w:t>
      </w:r>
    </w:p>
    <w:p>
      <w:pPr>
        <w:spacing w:after="0" w:before="12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003366" w:val="clear"/>
            <w:tcMar>
              <w:top w:type="dxa" w:w="120"/>
              <w:left w:type="dxa" w:w="160"/>
              <w:bottom w:type="dxa" w:w="120"/>
              <w:right w:type="dxa" w:w="160"/>
            </w:tcMar>
            <w:vAlign w:val="center"/>
          </w:tcPr>
          <w:p>
            <w:pPr>
              <w:spacing w:after="20" w:before="40"/>
              <w:jc w:val="center"/>
            </w:pPr>
            <w:r>
              <w:rPr>
                <w:rFonts w:ascii="Times New Roman" w:cs="Times New Roman" w:eastAsia="Times New Roman" w:hAnsi="Times New Roman"/>
                <w:b/>
                <w:bCs/>
                <w:i w:val="false"/>
                <w:iCs w:val="false"/>
                <w:color w:val="FFFFFF"/>
                <w:sz w:val="36"/>
                <w:szCs w:val="36"/>
              </w:rPr>
              <w:t xml:space="preserve">91</w:t>
            </w:r>
          </w:p>
          <w:p>
            <w:pPr>
              <w:spacing w:after="40" w:before="0"/>
              <w:jc w:val="center"/>
            </w:pPr>
            <w:r>
              <w:rPr>
                <w:rFonts w:ascii="Times New Roman" w:cs="Times New Roman" w:eastAsia="Times New Roman" w:hAnsi="Times New Roman"/>
                <w:b w:val="false"/>
                <w:bCs w:val="false"/>
                <w:i w:val="false"/>
                <w:iCs w:val="false"/>
                <w:color w:val="BDD7EE"/>
                <w:sz w:val="18"/>
                <w:szCs w:val="18"/>
              </w:rPr>
              <w:t xml:space="preserve">Students surveyed</w:t>
            </w:r>
          </w:p>
        </w:tc>
        <w:tc>
          <w:tcPr>
            <w:tcW w:type="dxa" w:w="2340"/>
            <w:tcBorders>
              <w:top w:val="none" w:color="FFFFFF" w:sz="0"/>
              <w:left w:val="none" w:color="FFFFFF" w:sz="0"/>
              <w:bottom w:val="none" w:color="FFFFFF" w:sz="0"/>
              <w:right w:val="none" w:color="FFFFFF" w:sz="0"/>
            </w:tcBorders>
            <w:shd w:fill="003366" w:val="clear"/>
            <w:tcMar>
              <w:top w:type="dxa" w:w="120"/>
              <w:left w:type="dxa" w:w="160"/>
              <w:bottom w:type="dxa" w:w="120"/>
              <w:right w:type="dxa" w:w="160"/>
            </w:tcMar>
            <w:vAlign w:val="center"/>
          </w:tcPr>
          <w:p>
            <w:pPr>
              <w:spacing w:after="20" w:before="40"/>
              <w:jc w:val="center"/>
            </w:pPr>
            <w:r>
              <w:rPr>
                <w:rFonts w:ascii="Times New Roman" w:cs="Times New Roman" w:eastAsia="Times New Roman" w:hAnsi="Times New Roman"/>
                <w:b/>
                <w:bCs/>
                <w:i w:val="false"/>
                <w:iCs w:val="false"/>
                <w:color w:val="FFFFFF"/>
                <w:sz w:val="36"/>
                <w:szCs w:val="36"/>
              </w:rPr>
              <w:t xml:space="preserve">6.96 / 10</w:t>
            </w:r>
          </w:p>
          <w:p>
            <w:pPr>
              <w:spacing w:after="40" w:before="0"/>
              <w:jc w:val="center"/>
            </w:pPr>
            <w:r>
              <w:rPr>
                <w:rFonts w:ascii="Times New Roman" w:cs="Times New Roman" w:eastAsia="Times New Roman" w:hAnsi="Times New Roman"/>
                <w:b w:val="false"/>
                <w:bCs w:val="false"/>
                <w:i w:val="false"/>
                <w:iCs w:val="false"/>
                <w:color w:val="BDD7EE"/>
                <w:sz w:val="18"/>
                <w:szCs w:val="18"/>
              </w:rPr>
              <w:t xml:space="preserve">Mean human fairness score</w:t>
            </w:r>
          </w:p>
        </w:tc>
        <w:tc>
          <w:tcPr>
            <w:tcW w:type="dxa" w:w="2340"/>
            <w:tcBorders>
              <w:top w:val="none" w:color="FFFFFF" w:sz="0"/>
              <w:left w:val="none" w:color="FFFFFF" w:sz="0"/>
              <w:bottom w:val="none" w:color="FFFFFF" w:sz="0"/>
              <w:right w:val="none" w:color="FFFFFF" w:sz="0"/>
            </w:tcBorders>
            <w:shd w:fill="003366" w:val="clear"/>
            <w:tcMar>
              <w:top w:type="dxa" w:w="120"/>
              <w:left w:type="dxa" w:w="160"/>
              <w:bottom w:type="dxa" w:w="120"/>
              <w:right w:type="dxa" w:w="160"/>
            </w:tcMar>
            <w:vAlign w:val="center"/>
          </w:tcPr>
          <w:p>
            <w:pPr>
              <w:spacing w:after="20" w:before="40"/>
              <w:jc w:val="center"/>
            </w:pPr>
            <w:r>
              <w:rPr>
                <w:rFonts w:ascii="Times New Roman" w:cs="Times New Roman" w:eastAsia="Times New Roman" w:hAnsi="Times New Roman"/>
                <w:b/>
                <w:bCs/>
                <w:i w:val="false"/>
                <w:iCs w:val="false"/>
                <w:color w:val="FFFFFF"/>
                <w:sz w:val="36"/>
                <w:szCs w:val="36"/>
              </w:rPr>
              <w:t xml:space="preserve">6.07 / 10</w:t>
            </w:r>
          </w:p>
          <w:p>
            <w:pPr>
              <w:spacing w:after="40" w:before="0"/>
              <w:jc w:val="center"/>
            </w:pPr>
            <w:r>
              <w:rPr>
                <w:rFonts w:ascii="Times New Roman" w:cs="Times New Roman" w:eastAsia="Times New Roman" w:hAnsi="Times New Roman"/>
                <w:b w:val="false"/>
                <w:bCs w:val="false"/>
                <w:i w:val="false"/>
                <w:iCs w:val="false"/>
                <w:color w:val="BDD7EE"/>
                <w:sz w:val="18"/>
                <w:szCs w:val="18"/>
              </w:rPr>
              <w:t xml:space="preserve">Mean AI fairness score</w:t>
            </w:r>
          </w:p>
        </w:tc>
        <w:tc>
          <w:tcPr>
            <w:tcW w:type="dxa" w:w="2340"/>
            <w:tcBorders>
              <w:top w:val="none" w:color="FFFFFF" w:sz="0"/>
              <w:left w:val="none" w:color="FFFFFF" w:sz="0"/>
              <w:bottom w:val="none" w:color="FFFFFF" w:sz="0"/>
              <w:right w:val="none" w:color="FFFFFF" w:sz="0"/>
            </w:tcBorders>
            <w:shd w:fill="003366" w:val="clear"/>
            <w:tcMar>
              <w:top w:type="dxa" w:w="120"/>
              <w:left w:type="dxa" w:w="160"/>
              <w:bottom w:type="dxa" w:w="120"/>
              <w:right w:type="dxa" w:w="160"/>
            </w:tcMar>
            <w:vAlign w:val="center"/>
          </w:tcPr>
          <w:p>
            <w:pPr>
              <w:spacing w:after="20" w:before="40"/>
              <w:jc w:val="center"/>
            </w:pPr>
            <w:r>
              <w:rPr>
                <w:rFonts w:ascii="Times New Roman" w:cs="Times New Roman" w:eastAsia="Times New Roman" w:hAnsi="Times New Roman"/>
                <w:b/>
                <w:bCs/>
                <w:i w:val="false"/>
                <w:iCs w:val="false"/>
                <w:color w:val="FFFFFF"/>
                <w:sz w:val="36"/>
                <w:szCs w:val="36"/>
              </w:rPr>
              <w:t xml:space="preserve">0.0105</w:t>
            </w:r>
          </w:p>
          <w:p>
            <w:pPr>
              <w:spacing w:after="40" w:before="0"/>
              <w:jc w:val="center"/>
            </w:pPr>
            <w:r>
              <w:rPr>
                <w:rFonts w:ascii="Times New Roman" w:cs="Times New Roman" w:eastAsia="Times New Roman" w:hAnsi="Times New Roman"/>
                <w:b w:val="false"/>
                <w:bCs w:val="false"/>
                <w:i w:val="false"/>
                <w:iCs w:val="false"/>
                <w:color w:val="BDD7EE"/>
                <w:sz w:val="18"/>
                <w:szCs w:val="18"/>
              </w:rPr>
              <w:t xml:space="preserve">p-value (paired t-test)</w:t>
            </w:r>
          </w:p>
        </w:tc>
      </w:tr>
    </w:tbl>
    <w:p>
      <w:pPr>
        <w:spacing w:after="0" w:before="16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most important finding: students rated human grading significantly fairer than AI grading. The statistical test confirms this is a real difference, not one caused by chance. The sections below explain how this conclusion was reached, step by step.</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1.  Introduction</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1.1  The Challenge: A Campus Divided on Grading</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Assessment is one of the most consequential experiences in a student's academic life. A grade determines more than a score — it shapes confidence, guides academic decisions, and in many cases influences career paths. At Kepler College, a quiet but important conversation has been gaining momentum: should AI systems play a role in grading student work?</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Kepler College has been exploring the use of AI-assisted grading tools to support the growing volume of assessments across programs. For students, this shift raises genuine questions. Is an algorithm able to understand context, nuance, and effort the way a human instructor can? Will an AI system treat all students the same, or could it introduce a new kind of unfairness? These are not abstract concerns — they affect whether students trust the process and whether they feel their work is being evaluated with genuine understanding.</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At the same time, human grading is not without its own limitations. Teachers carry workloads, experience fatigue, and may unconsciously apply inconsistent standards. Some students might actually welcome an AI system they perceive as more neutral and standardised. The reality, then, is that opinion on this campus is divided — and that division is worth measuring.</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This study was designed to capture those student perceptions in a way that goes beyond casual opinion. By collecting data and applying formal statistical methods, the team aimed to produce evidence that the college can actually use when making decisions about grading policy.</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1.2  Research Objective</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primary objective of this study is to determine whether Year 2 Kepler College students perceive human grading as significantly fairer than AI grading, and to examine whether a student's academic program is associated with their preferred grading approach.</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More specifically, the study asks two questions:</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 Is there a statistically meaningful difference between how fairly students rate human grading and how fairly they rate AI grading?</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 Does the academic program a student belongs to — Business Analytics or Project Management — influence which grading system they prefer for high-stakes assessments?</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1.3  Hypotheses</w:t>
      </w:r>
    </w:p>
    <w:p>
      <w:pPr>
        <w:spacing w:after="60" w:before="160"/>
      </w:pPr>
      <w:r>
        <w:rPr>
          <w:rFonts w:ascii="Times New Roman" w:cs="Times New Roman" w:eastAsia="Times New Roman" w:hAnsi="Times New Roman"/>
          <w:b/>
          <w:bCs/>
          <w:color w:val="0070C0"/>
          <w:sz w:val="24"/>
          <w:szCs w:val="24"/>
        </w:rPr>
        <w:t xml:space="preserve">Primary Hypothesis (Paired t-test)</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To test the fairness question, the study uses the following formal statistical claims:</w:t>
      </w:r>
    </w:p>
    <w:p>
      <w:pPr>
        <w:spacing w:after="120" w:before="80" w:line="360"/>
        <w:jc w:val="left"/>
      </w:pPr>
      <w:r>
        <w:rPr>
          <w:rFonts w:ascii="Times New Roman" w:cs="Times New Roman" w:eastAsia="Times New Roman" w:hAnsi="Times New Roman"/>
          <w:b w:val="false"/>
          <w:bCs w:val="false"/>
          <w:i/>
          <w:iCs/>
          <w:color w:val="000000"/>
          <w:sz w:val="24"/>
          <w:szCs w:val="24"/>
        </w:rPr>
        <w:t xml:space="preserve">H₀ (Null Hypothesis): There is no significant difference between the mean fairness score that students give to human grading and the mean fairness score they give to AI grading. Mathematically: μHuman = μAI</w:t>
      </w:r>
    </w:p>
    <w:p>
      <w:pPr>
        <w:spacing w:after="120" w:before="80" w:line="360"/>
        <w:jc w:val="left"/>
      </w:pPr>
      <w:r>
        <w:rPr>
          <w:rFonts w:ascii="Times New Roman" w:cs="Times New Roman" w:eastAsia="Times New Roman" w:hAnsi="Times New Roman"/>
          <w:b w:val="false"/>
          <w:bCs w:val="false"/>
          <w:i/>
          <w:iCs/>
          <w:color w:val="000000"/>
          <w:sz w:val="24"/>
          <w:szCs w:val="24"/>
        </w:rPr>
        <w:t xml:space="preserve">H₁ (Alternative Hypothesis): There is a significant difference between the two mean scores. Mathematically: μHuman ≠ μAI</w:t>
      </w:r>
    </w:p>
    <w:p>
      <w:pPr>
        <w:spacing w:after="0" w:before="4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Secondary Hypothesis (Chi-square test)</w:t>
      </w:r>
    </w:p>
    <w:p>
      <w:pPr>
        <w:spacing w:after="120" w:before="80" w:line="360"/>
        <w:jc w:val="left"/>
      </w:pPr>
      <w:r>
        <w:rPr>
          <w:rFonts w:ascii="Times New Roman" w:cs="Times New Roman" w:eastAsia="Times New Roman" w:hAnsi="Times New Roman"/>
          <w:b w:val="false"/>
          <w:bCs w:val="false"/>
          <w:i/>
          <w:iCs/>
          <w:color w:val="000000"/>
          <w:sz w:val="24"/>
          <w:szCs w:val="24"/>
        </w:rPr>
        <w:t xml:space="preserve">H₀ (Null Hypothesis): A student's academic program and their preferred grading system are independent of each other — knowing someone's program tells us nothing about which system they prefer.</w:t>
      </w:r>
    </w:p>
    <w:p>
      <w:pPr>
        <w:spacing w:after="120" w:before="80" w:line="360"/>
        <w:jc w:val="left"/>
      </w:pPr>
      <w:r>
        <w:rPr>
          <w:rFonts w:ascii="Times New Roman" w:cs="Times New Roman" w:eastAsia="Times New Roman" w:hAnsi="Times New Roman"/>
          <w:b w:val="false"/>
          <w:bCs w:val="false"/>
          <w:i/>
          <w:iCs/>
          <w:color w:val="000000"/>
          <w:sz w:val="24"/>
          <w:szCs w:val="24"/>
        </w:rPr>
        <w:t xml:space="preserve">H₁ (Alternative Hypothesis): Academic program and preferred grading system are associated — students in different programs tend to prefer different grading approaches.</w:t>
      </w:r>
    </w:p>
    <w:p>
      <w:pPr>
        <w:spacing w:after="0" w:before="4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 significance level of α = 0.05 (95% confidence) was applied to both tests throughout this study. This means that a result is only considered statistically meaningful if there is less than a 5% probability that it occurred by chance.</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2.  Methodology</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2.1  Research Variables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 variable is simply anything that can be measured or categorised and that varies from person to person. In a statistical study, being precise about what was measured — and why — gives the reader confidence that the analysis is grounded in real information. The table below classifies each variable collected in this study.</w:t>
      </w:r>
    </w:p>
    <w:p>
      <w:pPr>
        <w:spacing w:after="0" w:before="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Variable</w:t>
            </w:r>
          </w:p>
        </w:tc>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Type</w:t>
            </w:r>
          </w:p>
        </w:tc>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Scale</w:t>
            </w:r>
          </w:p>
        </w:tc>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Role in Study</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Human_Fairness</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Quantitative – Ordinal</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 to 10</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Primary outcome: fairness of human grading</w:t>
            </w:r>
          </w:p>
        </w:tc>
      </w:tr>
      <w:tr>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AI_Fairness</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Quantitative – Ordinal</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 to 10</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Primary outcome: fairness of AI grading</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AI_Bias_Concern</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Quantitative – Ordinal</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 to 10</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Supporting: worry about algorithmic bias</w:t>
            </w:r>
          </w:p>
        </w:tc>
      </w:tr>
      <w:tr>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System_Preference</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Qualitative – Nominal</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3 categories</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Which grading system students prefer</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AI_Objectivity_Belief</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Qualitative – Nominal</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3 categories</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Whether students believe AI is more objective</w:t>
            </w:r>
          </w:p>
        </w:tc>
      </w:tr>
      <w:tr>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Comfortable_AI_Grading_Aspects</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Qualitative – Nominal</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Multiple select</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Which assignment types students trust AI to grade</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Academic_Program</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Qualitative – Nominal</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 programs</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Grouping variable for chi-square comparison</w:t>
            </w:r>
          </w:p>
        </w:tc>
      </w:tr>
      <w:tr>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Gender</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Qualitative – Nominal</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 categories</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Demographic descriptor</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Year_of_Study</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Qualitative – Nominal</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Year 1–3</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Used to filter sample to Year 2 only</w:t>
            </w:r>
          </w:p>
        </w:tc>
      </w:tr>
    </w:tbl>
    <w:p>
      <w:pPr>
        <w:spacing w:after="0" w:before="12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Human_Fairness and AI_Fairness are the two variables at the heart of the research because they allow a direct, number-based comparison of how students feel about each grading method. System_Preference and Academic_Program are critical for the second hypothesis, because they allow the study to test whether students in Business Analytics and Project Management have meaningfully different opinions about which grading system they want for important examinations. AI_Bias_Concern was collected as a supporting variable that adds context to the fairness discussion, since students who are concerned about algorithmic bias might be expected to rate AI grading as less fair.</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2.2  Population and Sample</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target population for this study is the full cohort of Year 2 students at Kepler College — those currently enrolled in the 2025–2026 academic year across the Business Analytics and Project Management programs. This population was chosen because these students have enough academic experience to form informed opinions about grading, and because both programs are directly exposed to the college's evolving use of AI tools.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After data collection and cleaning, the working sample consisted of 91 unique Year 2 responses — 48 from Business Analytics students and 43 from Project Management students. Although this sample does not represent every student at Kepler, it is large enough to apply inferential statistical tests with meaningful results, and the balance between the two programs strengthens the chi-square comparison.</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2.3  Sampling Strategy</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study used convenience sampling — the survey was made available to all Year 2 students, and those who chose to respond were included. While convenience sampling does not guarantee that every student in the population has an equal chance of being selected (as would be the case in random sampling), it is a practical and widely accepted approach for academic research conducted within a defined institutional community. The large response count relative to the cohort size helps reduce the risk that the sample is unrepresentative.</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2.4  Data Collection Method and Tools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This study relied exclusively on primary data — that is, information collected directly from Kepler students for the purpose of answering the research question. The data collection instrument was a structured questionnaire distributed through Google Forms.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survey was organised into three sections:</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 Perception ratings: Two Likert-scale questions (1 to 10) measuring perceived fairness of human grading and AI grading respectively, plus a third scale measuring concern about algorithmic bias.</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 Attitude and preference questions: Multiple-choice questions asking students which grading system they would prefer, whether they believe AI is more objective, and which types of assignments they would be comfortable having graded by AI.</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 Demographic information: Gender, academic program, and year of study, used to contextualise and compare responses across groups.</w:t>
      </w:r>
    </w:p>
    <w:p>
      <w:pPr>
        <w:spacing w:after="0" w:before="4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survey format was chosen for its efficiency in reaching a large number of students, its ability to produce quantitative data for statistical testing, and its anonymity — students were more likely to answer honestly knowing their identities were not attached to their responses.</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2.5  Ethical Considerations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Before any data collection began, the research team submitted a formal request for approval to the Kepler College research directorate (research@keplercollege.ac.rw) with the module instructor copied. Approval was granted prior to distributing the survey.</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All survey responses were collected anonymously. No identifying information was requested, and the data was used exclusively for academic analysis within the scope of this module. Results are reported in aggregate form only — no individual responses are identified or attributable to any specific student.</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3.  Data Processing</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3.1  Condition of the Raw Data</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When survey data is collected from real people, it rarely arrives in a perfectly clean state. Before any analysis could be done, the team had to examine the raw data carefully and correct several issues that would otherwise have produced misleading results.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raw dataset originally contained 95 rows and 10 columns, including a Timestamp column that recorded when each response was submitted. The following issues were identified:</w:t>
      </w:r>
    </w:p>
    <w:p>
      <w:pPr>
        <w:spacing w:after="0" w:before="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Issue Found</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Description</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How It Was Fixed</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Timestamp column</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Not needed for analysis; recording submission time does not contribute to the research question.</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Column removed entirely</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Duplicate entries</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A small number of respondents appeared to have submitted the survey more than once.</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Duplicate rows were identified and removed, keeping only the first unique response</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Inconsistent program labels</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The Academic_Program field contained the same program written in different ways (e.g., 'business analytics', 'Business Analytics ', 'Business Analytics').</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All entries were standardised using consistent capitalisation and trimmed of extra spaces</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Missing values</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A small number of entries had blank responses in certain fields (AI_Objectivity_Belief and Academic_Program).</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These were treated as genuinely missing and handled carefully — numeric missing values were excluded from relevant calculations</w:t>
            </w:r>
          </w:p>
        </w:tc>
      </w:tr>
    </w:tbl>
    <w:p>
      <w:pPr>
        <w:spacing w:after="0" w:before="12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3.2  Cleaned Dataset</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After applying the cleaning steps described above, the dataset was reduced to 91 unique, usable responses — all from Year 2 students across the two academic programs (48 in Business Analytics and 43 in Project Management). The cleaned data was stored separately from the original raw data to preserve transparency and allow verification of the changes made. Both the raw and cleaned files are included in the Appendices section of this report.</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One additional step was taken: all three numerical columns (Human_Fairness, AI_Fairness, and AI_Bias_Concern) were confirmed to be stored as numeric values before analysis, since spreadsheet exports sometimes store numbers as text.</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result of this process was a reliable, consistent dataset ready for statistical analysis — one where the patterns found could be trusted to reflect actual student opinions rather than artefacts of poor data quality.</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4.  Data Analysis</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4.1  Descriptive Statistics: Understanding the Data at a Glance</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Descriptive statistics summarise a large collection of data into a few key numbers that capture the overall picture. Think of them as a way to tell the story of the data in a compact form. The table below presents the most important descriptive measures for the three rating variables in this study.</w:t>
      </w:r>
    </w:p>
    <w:p>
      <w:pPr>
        <w:spacing w:after="0" w:before="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Variable</w:t>
            </w:r>
          </w:p>
        </w:tc>
        <w:tc>
          <w:tcPr>
            <w:tcW w:type="dxa" w:w="156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Count</w:t>
            </w:r>
          </w:p>
        </w:tc>
        <w:tc>
          <w:tcPr>
            <w:tcW w:type="dxa" w:w="156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Mean</w:t>
            </w:r>
          </w:p>
        </w:tc>
        <w:tc>
          <w:tcPr>
            <w:tcW w:type="dxa" w:w="156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Std. Deviation</w:t>
            </w:r>
          </w:p>
        </w:tc>
        <w:tc>
          <w:tcPr>
            <w:tcW w:type="dxa" w:w="156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Minimum</w:t>
            </w:r>
          </w:p>
        </w:tc>
        <w:tc>
          <w:tcPr>
            <w:tcW w:type="dxa" w:w="156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Maximum</w:t>
            </w:r>
          </w:p>
        </w:tc>
      </w:tr>
      <w:tr>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Human Fairness</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6.96</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2.37</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10</w:t>
            </w:r>
          </w:p>
        </w:tc>
      </w:tr>
      <w:tr>
        <w:tc>
          <w:tcPr>
            <w:tcW w:type="dxa" w:w="156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AI Fairness</w:t>
            </w:r>
          </w:p>
        </w:tc>
        <w:tc>
          <w:tcPr>
            <w:tcW w:type="dxa" w:w="156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c>
          <w:tcPr>
            <w:tcW w:type="dxa" w:w="156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6.07</w:t>
            </w:r>
          </w:p>
        </w:tc>
        <w:tc>
          <w:tcPr>
            <w:tcW w:type="dxa" w:w="156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2.30</w:t>
            </w:r>
          </w:p>
        </w:tc>
        <w:tc>
          <w:tcPr>
            <w:tcW w:type="dxa" w:w="156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156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10</w:t>
            </w:r>
          </w:p>
        </w:tc>
      </w:tr>
      <w:tr>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AI Bias Concern</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6.22</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2.19</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156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10</w:t>
            </w:r>
          </w:p>
        </w:tc>
      </w:tr>
    </w:tbl>
    <w:p>
      <w:pPr>
        <w:spacing w:after="0" w:before="12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What does this table tell us? At a basic level, it shows that students on average rated human grading higher (6.96 out of 10) than AI grading (6.07 out of 10). That is a difference of 0.89 points on a 10-point scale. While this may not sound enormous in everyday terms, the statistical test later in this section will reveal that the difference is consistent enough across all 91 students to be considered statistically meaningful.</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standard deviation for both variables is approximately 2.3, which tells us that there is a considerable spread in student opinions. Some students rated human grading as low as 1 (very unfair) and others as high as 10 (perfectly fair). The same is true for AI. This variability makes sense — grading is a deeply personal experience, and students bring different histories and expectations to how they perceive fairness. The fact that the average still shows a consistent lean toward human grading, despite this spread, strengthens the finding.</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AI Bias Concern averaged 6.22 out of 10 — a notably elevated score. This means that, on average, students have a moderately high level of worry about algorithmic bias. This concern runs parallel to — and likely explains — the tendency to view AI grading as less fair.</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4.2  Visual Analysis of Fairness Distributions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Numbers alone do not always convey the full picture. Charts allow us to see the shape of the data — whether scores cluster in the middle, skew toward one end, or have outliers. The following figures present four key visualisations from the dataset.</w:t>
      </w:r>
    </w:p>
    <w:p>
      <w:pPr>
        <w:spacing w:after="0" w:before="80"/>
      </w:pPr>
      <w:r>
        <w:rPr>
          <w:rFonts w:ascii="Times New Roman" w:cs="Times New Roman" w:eastAsia="Times New Roman" w:hAnsi="Times New Roman"/>
          <w:sz w:val="24"/>
          <w:szCs w:val="24"/>
        </w:rPr>
        <w:t xml:space="preserve"/>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595959"/>
          <w:sz w:val="20"/>
          <w:szCs w:val="20"/>
        </w:rPr>
        <w:t xml:space="preserve">Figure 1. Distribution of perceived fairness scores for human and AI grading (n = 91). Each box shows the middle 50% of responses; the horizontal line inside each box shows the median.</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Figure 1 is a boxplot — a standard tool for comparing two distributions side by side. In the chart, the box for human grading sits visibly higher than the box for AI grading. The horizontal line inside each box (the median) for human grading is 8, compared to 6 for AI grading. This means that the typical student — the student in the middle of the distribution — rated human grading two full points higher than AI grading. The boxes for both distributions are similar in size, confirming that the spread of opinions is roughly equal for both, so the higher human scores are not simply a result of one system having more agreement among students.</w:t>
      </w:r>
    </w:p>
    <w:p>
      <w:pPr>
        <w:spacing w:after="0" w:before="80"/>
      </w:pPr>
      <w:r>
        <w:rPr>
          <w:rFonts w:ascii="Times New Roman" w:cs="Times New Roman" w:eastAsia="Times New Roman" w:hAnsi="Times New Roman"/>
          <w:sz w:val="24"/>
          <w:szCs w:val="24"/>
        </w:rPr>
        <w:t xml:space="preserve"/>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595959"/>
          <w:sz w:val="20"/>
          <w:szCs w:val="20"/>
        </w:rPr>
        <w:t xml:space="preserve">Figure 2. Student preference for grading system when it comes to high-stakes assessments (n = 91). Percentages may not sum to 100% due to rounding.</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Figure 2 reveals the grading system that students would actually choose for a high-stakes assessment such as a final exam. The results are striking in what they reveal about trust: no single system dominates, but pure AI grading is clearly the least popular option. Only 11 students (12%) would opt for fully automated AI grading with no human involvement. By contrast, 41 students (45%) preferred a Hybrid approach where AI scores but a human validates the result, and 39 students (43%) preferred traditional 100% Human Grading. Together, 88% of students want a human being somewhere in the loop when it comes to their most important assessments.</w:t>
      </w:r>
    </w:p>
    <w:p>
      <w:pPr>
        <w:spacing w:after="0" w:before="80"/>
      </w:pPr>
      <w:r>
        <w:rPr>
          <w:rFonts w:ascii="Times New Roman" w:cs="Times New Roman" w:eastAsia="Times New Roman" w:hAnsi="Times New Roman"/>
          <w:sz w:val="24"/>
          <w:szCs w:val="24"/>
        </w:rPr>
        <w:t xml:space="preserve"/>
      </w:r>
    </w:p>
    <w:p>
      <w:pPr>
        <w:spacing w:after="60" w:before="12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432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595959"/>
          <w:sz w:val="20"/>
          <w:szCs w:val="20"/>
        </w:rPr>
        <w:t xml:space="preserve">Figure 3. Types of assessments students are most comfortable having graded by AI (multiple selections allowed, n = 91).</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Figure 3 shifts the lens slightly: rather than asking which overall system students prefer, it asks where AI grading feels acceptable. Multiple-choice quizzes are by far the most accepted application of AI grading (70 out of 91 students, or 77%), which makes intuitive sense — quizzes have definitive right or wrong answers that do not require judgment. Short answer questions and coding assignments each attracted around 35–38 responses, suggesting moderate comfort. Essays and presentations, which require nuanced interpretation of a student's thinking and communication, were the least accepted — only 28 and 15 students respectively felt comfortable with AI grading these. The pattern is consistent with a key insight: students trust AI for tasks that are objective and rule-based, but not for tasks that demand human understanding.</w:t>
      </w:r>
    </w:p>
    <w:p>
      <w:pPr>
        <w:spacing w:after="0" w:before="80"/>
      </w:pPr>
      <w:r>
        <w:rPr>
          <w:rFonts w:ascii="Times New Roman" w:cs="Times New Roman" w:eastAsia="Times New Roman" w:hAnsi="Times New Roman"/>
          <w:sz w:val="24"/>
          <w:szCs w:val="24"/>
        </w:rPr>
        <w:t xml:space="preserve"/>
      </w:r>
    </w:p>
    <w:p>
      <w:pPr>
        <w:spacing w:after="60" w:before="120"/>
        <w:jc w:val="center"/>
      </w:pPr>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857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595959"/>
          <w:sz w:val="20"/>
          <w:szCs w:val="20"/>
        </w:rPr>
        <w:t xml:space="preserve">Figure 4. Student beliefs on whether AI grading is inherently more objective than human grading (n = 91).</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Figure 4 captures a nuanced view. Although AI is often marketed as more objective than humans, the majority of students do not fully accept this claim. Nearly half (48%) believe that human grading is better or that AI simply introduces a different kind of bias. Only 27% fully agree that AI is more objective. The remaining 23% remain unsure. This is a significant finding: even among students who understand what AI is, there is widespread scepticism about whether it truly removes the subjectivity that human grading is often criticised for. This scepticism likely feeds directly into lower AI fairness scores.</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4.3  Inferential Statistics: Testing the Hypotheses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Descriptive statistics tell us what the data looks like. Inferential statistics go a step further: they use mathematical tools to determine whether the patterns we observe in our sample are likely to reflect a real pattern in the broader population, or whether they could simply be the result of random variation in who happened to answer our survey.</w:t>
      </w:r>
    </w:p>
    <w:p>
      <w:pPr>
        <w:spacing w:after="0" w:before="4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Test 1: Paired t-test — Is There a Real Difference in Fairness Ratings?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 paired t-test was selected as the primary hypothesis test. The logic behind this choice is important and straightforward: because the same 91 students rated both human grading and AI grading, the two scores from each student are linked. The fairness score someone gives to human grading and the score they give to AI grading are not two independent opinions — they come from the same person, with the same experiences and expectations. The paired t-test is specifically designed for exactly this situation: comparing two related measurements from the same group.</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An independent t-test (which compares two separate, unrelated groups) would have been the wrong tool here, because it would have ignored the paired structure of the data and potentially produced misleading results.</w:t>
      </w:r>
    </w:p>
    <w:p>
      <w:pPr>
        <w:spacing w:after="0" w:before="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Test Parameter</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Value</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Interpretation</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Test statistic (t)</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2.6150</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How many standard errors the mean difference is from zero</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Degrees of freedom</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90</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Based on 91 student pairs minus 1</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p-value</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0.0105</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Probability that this result is due to chance</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Significance level (α)</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0.05</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Our threshold for declaring a result significant</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95% Confidence Interval</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(0.214, 1.566)</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The true mean difference likely falls in this range</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Mean difference (Human − AI)</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0.890 points</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Students rated human grading 0.89 points higher on average</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Decision</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Reject H₀</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The difference is statistically significant</w:t>
            </w:r>
          </w:p>
        </w:tc>
      </w:tr>
    </w:tbl>
    <w:p>
      <w:pPr>
        <w:spacing w:after="0" w:before="12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What does this mean in plain language? The p-value of 0.0105 is well below the significance level of 0.05. In everyday terms, this means that if human and AI grading were truly perceived as equally fair — if H₀ were true — there is only about a 1 in 100 chance that we would observe a difference this large just by accident in a sample of 91 students. That probability is too small to dismiss. We therefore reject the null hypothesis and conclude that students genuinely rate human grading as significantly fairer than AI grading.</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95% confidence interval of (0.214, 1.566) reinforces this conclusion. This interval tells us that the true average difference in fairness ratings between human and AI grading — in the broader population of Year 2 students — is most likely somewhere between 0.21 and 1.57 points. Because this entire range is above zero, we can be confident that the difference goes in one direction only: students favour human grading. There is no statistical plausibility in the data that AI grading is perceived as equally fair or fairer.</w:t>
      </w:r>
    </w:p>
    <w:p>
      <w:pPr>
        <w:spacing w:after="0" w:before="6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Test 2: Chi-square Test — Does Academic Program Affect Grading Preference?</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second hypothesis asks a different kind of question: not about a numerical difference, but about a relationship between two categories. Is a student's academic program (Business Analytics or Project Management) related to which grading system they prefer (Human, AI, or Hybrid)? To answer this, a chi-square test of independence was used. This test is appropriate when both variables are categorical — that is, when data falls into groups or labels rather than numbers.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chi-square test works by comparing the distribution of responses we actually observed across the programs to the distribution we would expect if program and preference had nothing to do with each other. A large gap between observed and expected would suggest an association; a small gap suggests independence.</w:t>
      </w:r>
    </w:p>
    <w:p>
      <w:pPr>
        <w:spacing w:after="0" w:before="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Academic Program</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Prefers Human</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Prefers AI</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Prefers Hybrid</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Total</w:t>
            </w:r>
          </w:p>
        </w:tc>
      </w:tr>
      <w:tr>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Business Analytics</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48</w:t>
            </w:r>
          </w:p>
        </w:tc>
      </w:tr>
      <w:tr>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Project Management</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43</w:t>
            </w:r>
          </w:p>
        </w:tc>
      </w:tr>
      <w:tr>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Total</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39</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41</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r>
    </w:tbl>
    <w:p>
      <w:pPr>
        <w:spacing w:after="0" w:before="12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Test Parameter</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Value</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Interpretation</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Chi-square statistic (χ²)</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0.4529</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Small value = observed close to expected</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Degrees of freedom</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(rows − 1) × (columns − 1)</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p-value</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0.7973</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High probability result is due to chance</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Significance level (α)</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0.05</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Threshold for significance</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Decision</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Fail to Reject H₀</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No significant association found</w:t>
            </w:r>
          </w:p>
        </w:tc>
      </w:tr>
    </w:tbl>
    <w:p>
      <w:pPr>
        <w:spacing w:after="0" w:before="120"/>
      </w:pPr>
      <w:r>
        <w:rPr>
          <w:rFonts w:ascii="Times New Roman" w:cs="Times New Roman" w:eastAsia="Times New Roman" w:hAnsi="Times New Roman"/>
          <w:sz w:val="24"/>
          <w:szCs w:val="24"/>
        </w:rPr>
        <w:t xml:space="preserve"/>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p-value of 0.7973 is far above the significance level of 0.05. This means that 79.73% of the time, we would expect to see a distribution this similar between the two programs even if there were genuinely no relationship between program and preference. In other words, the data provides no evidence that Business Analytics students and Project Management students differ in their grading preferences. Both groups show a similar pattern: the majority prefer either Human or Hybrid grading, and very few students in either program would choose 100% AI grading for a high-stakes assessment.</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5.  Interpretation and Discussion</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5.1  What the Results Mean</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statistical results from this study paint a clear and coherent picture. Year 2 students at Kepler College, taken as a group, perceive human grading as significantly fairer than AI grading. This is not simply a matter of individual opinion scattered randomly across the cohort — the paired t-test confirms that this lean toward human grading is consistent enough across all 91 students to be considered statistically real.</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But understanding why this gap exists is just as important as knowing that it exists. The descriptive findings offer several important clues: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First, the data on AI Bias Concern tells a significant story. An average score of 6.22 out of 10 indicates moderate-to-high concern about algorithmic bias among students. This concern is not unfounded — AI systems learn from past data, and if that data contains patterns of inequality or inconsistency, the AI will replicate those patterns. Students who are aware of this — even intuitively — are less likely to trust that AI grading will treat them fairly as individuals.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Second, Figure 4 showed that only 27% of students believe AI is genuinely more objective than humans. Nearly half believe it introduces its own forms of bias. This is a remarkable finding given that AI is commonly promoted as a tool for removing human subjectivity. Kepler students are sceptical, and their scepticism appears to be informed rather than reflexive — it is reflected in both their objectivity ratings and their fairness scores.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Third, the comfort area analysis in Figure 3 shows that student trust in AI is conditional rather than categorical. Students are willing to let AI grade rule-based tasks like multiple-choice quizzes, but they draw a firm line at assessments that require understanding of human expression — essays, presentations, and nuanced short answers. This pattern suggests that students understand what AI can and cannot do, and they calibrate their trust accordingly. The implication for institutional policy is important: a blanket adoption of AI grading across all assessment types would encounter significant student resistance.</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Finally, Figure 2 reveals that the most popular option is not a binary choice between human or AI, but a middle path: 45% of students prefer a Hybrid system in which AI scores the work but a human validates the result. This is perhaps the most practically useful finding in the study. It suggests that students are not opposed to AI involvement in grading in principle — they simply want a human safety net.</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5.2  Implications for Kepler College</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Taken together, these findings carry a clear message for Kepler College's leadership and academic staff. Student trust is not automatic when it comes to AI grading. It must be earned, and it must be built on transparency and demonstrated fairness. If the college moves toward greater AI involvement in assessment without adequately communicating how these systems work, how they are monitored, and how students can appeal decisions, it risks eroding the very trust that is foundational to a healthy academic community.</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chi-square result adds an important nuance: the lack of significant difference between Business Analytics and Project Management students tells us that the concern about AI grading is shared across programs. This is not a discipline-specific reaction — it is a cohort-wide disposition. Any policy response therefore needs to be institution-wide rather than targeted at one group.</w:t>
      </w:r>
    </w:p>
    <w:p>
      <w:pPr>
        <w:spacing w:after="0" w:before="6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5.3  Limitations of the Study</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No study is without limitations, and acknowledging them is a sign of intellectual honesty and methodological rigour. The following limitations should be considered when interpreting these results:</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Sample scope: The study focused exclusively on Year 2 students enrolled in 2025–2026. Year 1 students who are newer to Kepler's grading environment, and Year 3 students who may have had more exposure to AI tools, could have meaningfully different opinions. The findings should not be generalised without verification across the full student body.</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Self-reported data: All scores in this study are based on student perceptions — what students believe to be true about fairness, not an objective measurement of actual grading accuracy. It is possible that students' perceptions are influenced by prior experiences, misconceptions about how AI works, or general attitudes toward technology.</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Convenience sampling: Because students chose whether or not to respond, there is a possibility of response bias — students who feel strongly about the topic (in either direction) may have been more likely to complete the survey than those with moderate views.</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Sample size relative to population: Although 91 responses is sufficient for the statistical tests used, a larger sample drawn from all years and programs would yield more generalisable conclusions.</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No actual AI grading experience: Most students at Kepler have not yet been graded by an AI system in practice. Their ratings of AI fairness are therefore based on anticipation and general knowledge rather than direct personal experience. Perceptions might change significantly once students have actually experienced AI-assisted grading.</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6.  Conclusion and Recommendations</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6.1  Conclusion</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This study set out to answer two questions about student perceptions of grading at Kepler College: whether students rate human grading as fairer than AI grading, and whether this preference varies by academic program.</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paired t-test result answered the first question clearly: with a t-statistic of 2.615 and a p-value of 0.0105 — well below the 0.05 threshold — the null hypothesis is rejected. Year 2 students rate human grading as significantly fairer than AI grading. The mean difference of 0.89 points, supported by a 95% confidence interval that does not include zero, confirms that this is a real and consistent difference across the cohort, not an artefact of random variation.</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chi-square test answered the second question with equal clarity: with a chi-square statistic of 0.4529 and a p-value of 0.7973, the null hypothesis for the second test cannot be rejected. There is no statistically significant association between academic program and preferred grading system. Both Business Analytics and Project Management students express similar grading preferences, meaning the concern about AI grading is a shared, college-wide disposition.</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descriptive findings add important texture to these conclusions. Students are not categorically opposed to AI in grading — they are comfortable with it for rule-based, objective tasks. What they resist is AI grading for assignments that require human judgment, and they do so because they question whether AI is truly free of bias. The most widely preferred approach is not full human grading or full AI grading, but a Hybrid model where human oversight remains part of the process.</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6.2  Recommendations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Based on the evidence from this study, the following evidence-based recommendations are offered to Kepler College:</w:t>
      </w:r>
    </w:p>
    <w:p>
      <w:pPr>
        <w:spacing w:after="0" w:before="4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Recommendation 1: Adopt a Hybrid Grading Model as the Starting Point</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Given that 45% of students prefer Hybrid grading and that both programs share this preference, the college should consider piloting a Hybrid grading model for appropriate assessments — one where AI assists with initial scoring but human instructors review and validate all final grades. This approach respects student preferences, reduces instructor workload, and maintains the human accountability that students value most.</w:t>
      </w:r>
    </w:p>
    <w:p>
      <w:pPr>
        <w:spacing w:after="0" w:before="4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Recommendation 2: Limit AI Grading to Objective Assessment Types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comfort area data strongly suggests that students accept AI grading for multiple-choice quizzes (77% comfortable) but not for essays or presentations (only 31% and 16% comfortable respectively). AI grading tools should initially be deployed only in contexts where their objectivity advantage is most defensible — factual recall quizzes and structured coding assessments — while human grading continues for open-ended and creative work.</w:t>
      </w:r>
    </w:p>
    <w:p>
      <w:pPr>
        <w:spacing w:after="0" w:before="4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Recommendation 3: Communicate Transparently About How AI Grading Works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 significant portion of student scepticism about AI grading appears to stem from uncertainty and concern about algorithmic bias. The college should proactively communicate to students how any AI grading tool works, how it was validated, and what steps are in place to ensure fairness. Demystifying the process can meaningfully shift perception, as scepticism often decreases when people understand what they are dealing with.</w:t>
      </w:r>
    </w:p>
    <w:p>
      <w:pPr>
        <w:spacing w:after="0" w:before="4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Recommendation 4: Establish a Student Feedback Mechanism Before Wider Adoption</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Any move toward broader AI grading implementation should include a structured process for collecting and responding to student feedback. This study provides a useful baseline. A follow-up survey after an AI grading pilot — measured using the same variables and scales — would allow the college to track whether student trust increases, decreases, or stays the same as actual experience with AI grading accumulates.</w:t>
      </w:r>
    </w:p>
    <w:p>
      <w:pPr>
        <w:spacing w:after="0" w:before="40"/>
      </w:pPr>
      <w:r>
        <w:rPr>
          <w:rFonts w:ascii="Times New Roman" w:cs="Times New Roman" w:eastAsia="Times New Roman" w:hAnsi="Times New Roman"/>
          <w:sz w:val="24"/>
          <w:szCs w:val="24"/>
        </w:rPr>
        <w:t xml:space="preserve"/>
      </w:r>
    </w:p>
    <w:p>
      <w:pPr>
        <w:spacing w:after="60" w:before="160"/>
      </w:pPr>
      <w:r>
        <w:rPr>
          <w:rFonts w:ascii="Times New Roman" w:cs="Times New Roman" w:eastAsia="Times New Roman" w:hAnsi="Times New Roman"/>
          <w:b/>
          <w:bCs/>
          <w:color w:val="0070C0"/>
          <w:sz w:val="24"/>
          <w:szCs w:val="24"/>
        </w:rPr>
        <w:t xml:space="preserve">Recommendation 5: Extend the Study to All Year Groups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Because this study was limited to Year 2 students, the college does not yet know whether Year 1 or Year 3 students hold similar views. A broader survey across all years and programs would allow the institution to design a grading transition strategy that accounts for the full diversity of student experience and expectation.</w:t>
      </w:r>
    </w:p>
    <w:p>
      <w:pPr>
        <w:spacing w:after="0" w:before="0"/>
      </w:pPr>
      <w:r>
        <w:rPr>
          <w:rFonts w:ascii="Times New Roman" w:cs="Times New Roman" w:eastAsia="Times New Roman" w:hAnsi="Times New Roman"/>
        </w:rPr>
        <w:br/>
      </w:r>
    </w:p>
    <w:p>
      <w:pPr>
        <w:pStyle w:val="Heading1"/>
        <w:shd w:fill="003366" w:color="003366" w:val="clear"/>
        <w:spacing w:after="120" w:before="240"/>
        <w:ind w:left="200"/>
      </w:pPr>
      <w:r>
        <w:rPr>
          <w:rFonts w:ascii="Times New Roman" w:cs="Times New Roman" w:eastAsia="Times New Roman" w:hAnsi="Times New Roman"/>
          <w:b/>
          <w:bCs/>
          <w:color w:val="FFFFFF"/>
          <w:sz w:val="30"/>
          <w:szCs w:val="30"/>
        </w:rPr>
        <w:t xml:space="preserve">Appendices</w:t>
      </w:r>
    </w:p>
    <w:p>
      <w:pPr>
        <w:spacing w:after="0" w:before="8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Appendix A: Survey Instrument</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The following questions were used in the Google Form survey distributed to Year 2 students at Kepler College:</w:t>
      </w:r>
    </w:p>
    <w:p>
      <w:pPr>
        <w:spacing w:after="0" w:before="40"/>
      </w:pPr>
      <w:r>
        <w:rPr>
          <w:rFonts w:ascii="Times New Roman" w:cs="Times New Roman" w:eastAsia="Times New Roman" w:hAnsi="Times New Roman"/>
          <w:sz w:val="24"/>
          <w:szCs w:val="24"/>
        </w:rPr>
        <w:t xml:space="preserve"/>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Q1 — On a scale of 1 to 10, how FAIR do you typically find traditional Human (Teacher) grading? (1 = Not at all fair; 10 = Perfectly fair)</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Q2 — On a scale of 1 to 10, how FAIR do you anticipate Automated (AI) grading to be? (1 = Not at all fair; 10 = Perfectly fair)</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Q3 — On a scale of 1 to 10, how concerned are you about Algorithmic Bias (AI being potentially unfair to certain groups)? (1 = Not concerned; 10 = Very concerned)</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Q4 — Which grading system would you prefer for a high-stakes assessment such as a final exam? [100% Human / 100% AI / Hybrid]</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Q5 — Do you believe AI grading is inherently more objective than human grading? [Yes / No / Unsure]</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Q6 — Which aspects of a course are you most comfortable having graded by AI? (Select all that apply)</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Q7 — What is your gender? [Male / Female]</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Q8 — Please specify your current Academic Program/Major.</w:t>
      </w:r>
    </w:p>
    <w:p>
      <w:pPr>
        <w:pStyle w:val="ListParagraph"/>
        <w:numPr>
          <w:ilvl w:val="0"/>
          <w:numId w:val="2"/>
        </w:numPr>
        <w:spacing w:after="40" w:before="40" w:line="360"/>
      </w:pPr>
      <w:r>
        <w:rPr>
          <w:rFonts w:ascii="Times New Roman" w:cs="Times New Roman" w:eastAsia="Times New Roman" w:hAnsi="Times New Roman"/>
          <w:b w:val="false"/>
          <w:bCs w:val="false"/>
          <w:i w:val="false"/>
          <w:iCs w:val="false"/>
          <w:color w:val="000000"/>
          <w:sz w:val="24"/>
          <w:szCs w:val="24"/>
        </w:rPr>
        <w:t xml:space="preserve">Q9 — What is your current Year of Study? [Year 1 / Year 2 / Year 3]</w:t>
      </w:r>
    </w:p>
    <w:p>
      <w:pPr>
        <w:spacing w:after="0" w:before="12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Appendix B: Descriptive Statistics Summary</w:t>
      </w:r>
    </w:p>
    <w:p>
      <w:pPr>
        <w:spacing w:after="0" w:before="4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Statistic</w:t>
            </w:r>
          </w:p>
        </w:tc>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Human Fairness</w:t>
            </w:r>
          </w:p>
        </w:tc>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AI Fairness</w:t>
            </w:r>
          </w:p>
        </w:tc>
        <w:tc>
          <w:tcPr>
            <w:tcW w:type="dxa" w:w="234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AI Bias Concern</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Count</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r>
      <w:tr>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Mean</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6.96</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6.07</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6.22</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Standard Deviation</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2.37</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2.30</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2.19</w:t>
            </w:r>
          </w:p>
        </w:tc>
      </w:tr>
      <w:tr>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Minimum</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w:t>
            </w:r>
          </w:p>
        </w:tc>
      </w:tr>
      <w:tr>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Maximum</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234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10</w:t>
            </w:r>
          </w:p>
        </w:tc>
      </w:tr>
      <w:tr>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Median</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234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w:t>
            </w:r>
          </w:p>
        </w:tc>
      </w:tr>
    </w:tbl>
    <w:p>
      <w:pPr>
        <w:spacing w:after="0" w:before="12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Appendix C: Paired t-test Full Output</w:t>
      </w:r>
    </w:p>
    <w:p>
      <w:pPr>
        <w:spacing w:after="0" w:before="4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Parameter</w:t>
            </w:r>
          </w:p>
        </w:tc>
        <w:tc>
          <w:tcPr>
            <w:tcW w:type="dxa" w:w="468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Value</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Test type</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Paired samples t-test (two-tailed)</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Significance level (α)</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0.05</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Sample size (n)</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Degrees of freedom</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90</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Mean difference (Human − AI)</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0.890</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Standard deviation of differences</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3.244</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Standard error</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0.340</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t-statistic</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2.6150</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Critical t-value (α = 0.05, df = 90)</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±1.987</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p-value (two-tailed)</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0.010461</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95% Confidence Interval</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(0.214, 1.566)</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Decision</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Reject H₀</w:t>
            </w:r>
          </w:p>
        </w:tc>
      </w:tr>
    </w:tbl>
    <w:p>
      <w:pPr>
        <w:spacing w:after="0" w:before="12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Appendix D: Chi-square Test Full Output</w:t>
      </w:r>
    </w:p>
    <w:p>
      <w:pPr>
        <w:spacing w:after="0" w:before="4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Parameter</w:t>
            </w:r>
          </w:p>
        </w:tc>
        <w:tc>
          <w:tcPr>
            <w:tcW w:type="dxa" w:w="468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Value</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Test type</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Chi-square test of independence</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Variables tested</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Academic Program vs. Preferred Grading System</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Significance level (α)</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0.05</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Chi-square statistic (χ²)</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0.4529</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Degrees of freedom</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w:t>
            </w:r>
          </w:p>
        </w:tc>
      </w:tr>
      <w:tr>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p-value</w:t>
            </w:r>
          </w:p>
        </w:tc>
        <w:tc>
          <w:tcPr>
            <w:tcW w:type="dxa" w:w="468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0.797340</w:t>
            </w:r>
          </w:p>
        </w:tc>
      </w:tr>
      <w:tr>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Decision</w:t>
            </w:r>
          </w:p>
        </w:tc>
        <w:tc>
          <w:tcPr>
            <w:tcW w:type="dxa" w:w="468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Fail to reject H₀</w:t>
            </w:r>
          </w:p>
        </w:tc>
      </w:tr>
    </w:tbl>
    <w:p>
      <w:pPr>
        <w:spacing w:after="0" w:before="12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Appendix E: Grading Preference by Academic Program (Contingency Table)</w:t>
      </w:r>
    </w:p>
    <w:p>
      <w:pPr>
        <w:spacing w:after="0" w:before="4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Academic Program</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100% Human</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100% AI</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Hybrid</w:t>
            </w:r>
          </w:p>
        </w:tc>
        <w:tc>
          <w:tcPr>
            <w:tcW w:type="dxa" w:w="1872"/>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Total</w:t>
            </w:r>
          </w:p>
        </w:tc>
      </w:tr>
      <w:tr>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Business Analytics</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48</w:t>
            </w:r>
          </w:p>
        </w:tc>
      </w:tr>
      <w:tr>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Project Management</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1872"/>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43</w:t>
            </w:r>
          </w:p>
        </w:tc>
      </w:tr>
      <w:tr>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Total</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39</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41</w:t>
            </w:r>
          </w:p>
        </w:tc>
        <w:tc>
          <w:tcPr>
            <w:tcW w:type="dxa" w:w="1872"/>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91</w:t>
            </w:r>
          </w:p>
        </w:tc>
      </w:tr>
    </w:tbl>
    <w:p>
      <w:pPr>
        <w:spacing w:after="0" w:before="12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Appendix F: Research Approval and Ethics</w:t>
      </w:r>
    </w:p>
    <w:p>
      <w:pPr>
        <w:spacing w:after="120" w:before="80" w:line="360"/>
        <w:jc w:val="left"/>
      </w:pPr>
      <w:r>
        <w:rPr>
          <w:rFonts w:ascii="Times New Roman" w:cs="Times New Roman" w:eastAsia="Times New Roman" w:hAnsi="Times New Roman"/>
          <w:b w:val="false"/>
          <w:bCs w:val="false"/>
          <w:i w:val="false"/>
          <w:iCs w:val="false"/>
          <w:color w:val="000000"/>
          <w:sz w:val="24"/>
          <w:szCs w:val="24"/>
        </w:rPr>
        <w:t xml:space="preserve">Research approval was obtained from the Kepler College Directorate of Research (research@keplercollege.ac.rw) prior to data collection, with a copy sent to the module instructor (vedaste.nyandwi@keplercollege.ac.rw). All responses were collected anonymously and handled in accordance with the college's research ethics guidelines. Raw data and cleaned data files are available upon request from the module instructor.</w:t>
      </w:r>
    </w:p>
    <w:p>
      <w:pPr>
        <w:spacing w:after="0" w:before="120"/>
      </w:pPr>
      <w:r>
        <w:rPr>
          <w:rFonts w:ascii="Times New Roman" w:cs="Times New Roman" w:eastAsia="Times New Roman" w:hAnsi="Times New Roman"/>
          <w:sz w:val="24"/>
          <w:szCs w:val="24"/>
        </w:rPr>
        <w:t xml:space="preserve"/>
      </w:r>
    </w:p>
    <w:p>
      <w:pPr>
        <w:pStyle w:val="Heading2"/>
        <w:pBdr>
          <w:bottom w:val="single" w:color="0070C0" w:sz="6" w:space="1"/>
        </w:pBdr>
        <w:spacing w:after="80" w:before="240"/>
      </w:pPr>
      <w:r>
        <w:rPr>
          <w:rFonts w:ascii="Times New Roman" w:cs="Times New Roman" w:eastAsia="Times New Roman" w:hAnsi="Times New Roman"/>
          <w:b/>
          <w:bCs/>
          <w:color w:val="003366"/>
          <w:sz w:val="26"/>
          <w:szCs w:val="26"/>
        </w:rPr>
        <w:t xml:space="preserve">Appendix G: Data Cleaning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Step</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Action</w:t>
            </w:r>
          </w:p>
        </w:tc>
        <w:tc>
          <w:tcPr>
            <w:tcW w:type="dxa" w:w="3120"/>
            <w:tcBorders>
              <w:top w:val="single" w:color="003366" w:sz="4"/>
              <w:left w:val="single" w:color="003366" w:sz="4"/>
              <w:bottom w:val="single" w:color="003366" w:sz="4"/>
              <w:right w:val="single" w:color="003366" w:sz="4"/>
            </w:tcBorders>
            <w:shd w:fill="003366" w:val="clear"/>
            <w:tcMar>
              <w:top w:type="dxa" w:w="80"/>
              <w:left w:type="dxa" w:w="120"/>
              <w:bottom w:type="dxa" w:w="80"/>
              <w:right w:type="dxa" w:w="120"/>
            </w:tcMar>
            <w:vAlign w:val="center"/>
          </w:tcPr>
          <w:p>
            <w:pPr>
              <w:spacing w:after="40" w:before="40"/>
              <w:jc w:val="center"/>
            </w:pPr>
            <w:r>
              <w:rPr>
                <w:rFonts w:ascii="Times New Roman" w:cs="Times New Roman" w:eastAsia="Times New Roman" w:hAnsi="Times New Roman"/>
                <w:b/>
                <w:bCs/>
                <w:i w:val="false"/>
                <w:iCs w:val="false"/>
                <w:color w:val="FFFFFF"/>
                <w:sz w:val="22"/>
                <w:szCs w:val="22"/>
              </w:rPr>
              <w:t xml:space="preserve">Reason</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1</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Removed Timestamp column</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Not relevant to research question</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2</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Removed 4 duplicate rows</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Preserve one response per student</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3</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Standardised Academic_Program capitalisation and spacing</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Ensure consistent grouping</w:t>
            </w:r>
          </w:p>
        </w:tc>
      </w:tr>
      <w:tr>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4</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Confirmed numeric types for Fairness and Bias columns</w:t>
            </w:r>
          </w:p>
        </w:tc>
        <w:tc>
          <w:tcPr>
            <w:tcW w:type="dxa" w:w="3120"/>
            <w:tcBorders>
              <w:top w:val="single" w:color="D9D9D9" w:sz="4"/>
              <w:left w:val="single" w:color="D9D9D9" w:sz="4"/>
              <w:bottom w:val="single" w:color="D9D9D9" w:sz="4"/>
              <w:right w:val="single" w:color="D9D9D9" w:sz="4"/>
            </w:tcBorders>
            <w:shd w:fill="EAF2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Required for t-test calculations</w:t>
            </w:r>
          </w:p>
        </w:tc>
      </w:tr>
      <w:tr>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left"/>
            </w:pPr>
            <w:r>
              <w:rPr>
                <w:rFonts w:ascii="Times New Roman" w:cs="Times New Roman" w:eastAsia="Times New Roman" w:hAnsi="Times New Roman"/>
                <w:b/>
                <w:bCs/>
                <w:i w:val="false"/>
                <w:iCs w:val="false"/>
                <w:color w:val="000000"/>
                <w:sz w:val="22"/>
                <w:szCs w:val="22"/>
              </w:rPr>
              <w:t xml:space="preserve">5</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Final sample: 91 Year 2 responses</w:t>
            </w:r>
          </w:p>
        </w:tc>
        <w:tc>
          <w:tcPr>
            <w:tcW w:type="dxa" w:w="3120"/>
            <w:tcBorders>
              <w:top w:val="single" w:color="D9D9D9" w:sz="4"/>
              <w:left w:val="single" w:color="D9D9D9" w:sz="4"/>
              <w:bottom w:val="single" w:color="D9D9D9" w:sz="4"/>
              <w:right w:val="single" w:color="D9D9D9" w:sz="4"/>
            </w:tcBorders>
            <w:shd w:fill="FFFFFF" w:val="clear"/>
            <w:tcMar>
              <w:top w:type="dxa" w:w="60"/>
              <w:left w:type="dxa" w:w="120"/>
              <w:bottom w:type="dxa" w:w="60"/>
              <w:right w:type="dxa" w:w="120"/>
            </w:tcMar>
            <w:vAlign w:val="center"/>
          </w:tcPr>
          <w:p>
            <w:pPr>
              <w:spacing w:after="30" w:before="30"/>
              <w:jc w:val="center"/>
            </w:pPr>
            <w:r>
              <w:rPr>
                <w:rFonts w:ascii="Times New Roman" w:cs="Times New Roman" w:eastAsia="Times New Roman" w:hAnsi="Times New Roman"/>
                <w:b w:val="false"/>
                <w:bCs w:val="false"/>
                <w:i w:val="false"/>
                <w:iCs w:val="false"/>
                <w:color w:val="000000"/>
                <w:sz w:val="22"/>
                <w:szCs w:val="22"/>
              </w:rPr>
              <w:t xml:space="preserve">All remaining rows valid and usable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70C0" w:sz="4" w:space="1"/>
      </w:pBdr>
      <w:spacing w:after="0" w:before="80"/>
    </w:pPr>
    <w:r>
      <w:rPr>
        <w:rFonts w:ascii="Times New Roman" w:cs="Times New Roman" w:eastAsia="Times New Roman" w:hAnsi="Times New Roman"/>
        <w:b w:val="false"/>
        <w:bCs w:val="false"/>
        <w:i w:val="false"/>
        <w:iCs w:val="false"/>
        <w:color w:val="595959"/>
        <w:sz w:val="18"/>
        <w:szCs w:val="18"/>
      </w:rPr>
      <w:t xml:space="preserve">BUS82406  |  Final Assessment  |  Statistics and Probability for Business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b w:val="false"/>
        <w:bCs w:val="false"/>
        <w:i w:val="false"/>
        <w:iCs w:val="false"/>
        <w:color w:val="595959"/>
        <w:sz w:val="18"/>
        <w:szCs w:val="18"/>
      </w:rPr>
      <w:t xml:space="preserve"> of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0C0" w:sz="4" w:space="1"/>
      </w:pBdr>
      <w:spacing w:after="120" w:before="0"/>
    </w:pPr>
    <w:r>
      <w:rPr>
        <w:rFonts w:ascii="Times New Roman" w:cs="Times New Roman" w:eastAsia="Times New Roman" w:hAnsi="Times New Roman"/>
        <w:b w:val="false"/>
        <w:bCs w:val="false"/>
        <w:i/>
        <w:iCs/>
        <w:color w:val="595959"/>
        <w:sz w:val="18"/>
        <w:szCs w:val="18"/>
      </w:rPr>
      <w:t xml:space="preserve">Student Perceptions of AI vs. Human Grading — Kepler College,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FFFFFF"/>
      <w:sz w:val="30"/>
      <w:szCs w:val="30"/>
    </w:rPr>
  </w:style>
  <w:style w:type="paragraph" w:styleId="Heading2">
    <w:name w:val="Heading 2"/>
    <w:basedOn w:val="Normal"/>
    <w:next w:val="Normal"/>
    <w:qFormat/>
    <w:pPr>
      <w:spacing w:after="80" w:before="240"/>
      <w:outlineLvl w:val="1"/>
    </w:pPr>
    <w:rPr>
      <w:rFonts w:ascii="Times New Roman" w:cs="Times New Roman" w:eastAsia="Times New Roman" w:hAnsi="Times New Roman"/>
      <w:b/>
      <w:bCs/>
      <w:color w:val="00336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b882e161f910d521c10c6af247695b1567863a.png"/><Relationship Id="rId10" Type="http://schemas.openxmlformats.org/officeDocument/2006/relationships/image" Target="media/aa2ea69b20dcd3ea43b58b7332db50a5bb380043.png"/><Relationship Id="rId11" Type="http://schemas.openxmlformats.org/officeDocument/2006/relationships/image" Target="media/5cdfc942e077bc9240639882a8229cf7fd655b0f.png"/><Relationship Id="rId12" Type="http://schemas.openxmlformats.org/officeDocument/2006/relationships/image" Target="media/c530c06cf89c410c0355d7852644a73fc3ec8c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2026-04-27T18:48:45.810Z</dcterms:created>
  <dcterms:modified xsi:type="dcterms:W3CDTF">2026-04-27T18:48:45.811Z</dcterms:modified>
</cp:coreProperties>
</file>

<file path=docProps/custom.xml><?xml version="1.0" encoding="utf-8"?>
<Properties xmlns="http://schemas.openxmlformats.org/officeDocument/2006/custom-properties" xmlns:vt="http://schemas.openxmlformats.org/officeDocument/2006/docPropsVTypes"/>
</file>