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page"/>
    <w:p>
      <w:pPr>
        <w:pStyle w:val="Heading1"/>
      </w:pPr>
      <w:r>
        <w:t xml:space="preserve">1. Cover Page</w:t>
      </w:r>
    </w:p>
    <w:p>
      <w:pPr>
        <w:pStyle w:val="FirstParagraph"/>
      </w:pPr>
      <w:r>
        <w:rPr>
          <w:bCs/>
          <w:b/>
        </w:rPr>
        <w:t xml:space="preserve">Company Assessed:</w:t>
      </w:r>
      <w:r>
        <w:t xml:space="preserve"> </w:t>
      </w:r>
      <w:r>
        <w:t xml:space="preserve">MTN Rwanda Plc (Audited Financial Statements 2025)</w:t>
      </w:r>
      <w:r>
        <w:br/>
      </w:r>
      <w:r>
        <w:rPr>
          <w:bCs/>
          <w:b/>
        </w:rPr>
        <w:t xml:space="preserve">Assignment Focus:</w:t>
      </w:r>
      <w:r>
        <w:t xml:space="preserve"> </w:t>
      </w:r>
      <w:r>
        <w:t xml:space="preserve">Vertical Analysis</w:t>
      </w:r>
      <w:r>
        <w:br/>
      </w:r>
      <w:r>
        <w:rPr>
          <w:bCs/>
          <w:b/>
        </w:rPr>
        <w:t xml:space="preserve">Group:</w:t>
      </w:r>
      <w:r>
        <w:t xml:space="preserve"> </w:t>
      </w:r>
      <w:r>
        <w:t xml:space="preserve">BAGR-05</w:t>
      </w:r>
      <w:r>
        <w:br/>
      </w:r>
      <w:r>
        <w:rPr>
          <w:bCs/>
          <w:b/>
        </w:rPr>
        <w:t xml:space="preserve">Target Audience:</w:t>
      </w:r>
      <w:r>
        <w:t xml:space="preserve"> </w:t>
      </w:r>
      <w:r>
        <w:t xml:space="preserve">Management, Investors, and Business Analytics Classmates</w:t>
      </w:r>
      <w:r>
        <w:br/>
      </w:r>
      <w:r>
        <w:rPr>
          <w:bCs/>
          <w:b/>
        </w:rPr>
        <w:t xml:space="preserve">Topic:</w:t>
      </w:r>
      <w:r>
        <w:t xml:space="preserve"> </w:t>
      </w:r>
      <w:r>
        <w:t xml:space="preserve">Vertical Analysis of MTN Rwanda Plc’s 2025 Financial Health</w:t>
      </w:r>
      <w:r>
        <w:br/>
      </w:r>
      <w:r>
        <w:rPr>
          <w:bCs/>
          <w:b/>
        </w:rPr>
        <w:t xml:space="preserve">Platform:</w:t>
      </w:r>
      <w:r>
        <w:t xml:space="preserve"> </w:t>
      </w:r>
      <w:r>
        <w:t xml:space="preserve">IGA Learning Management Platform</w:t>
      </w:r>
    </w:p>
    <w:p>
      <w:r>
        <w:pict>
          <v:rect style="width:0;height:1.5pt" o:hralign="center" o:hrstd="t" o:hr="t"/>
        </w:pict>
      </w:r>
    </w:p>
    <w:bookmarkEnd w:id="20"/>
    <w:bookmarkStart w:id="21" w:name="executive-summary"/>
    <w:p>
      <w:pPr>
        <w:pStyle w:val="Heading1"/>
      </w:pPr>
      <w:r>
        <w:t xml:space="preserve">2. Executive Summary</w:t>
      </w:r>
    </w:p>
    <w:p>
      <w:pPr>
        <w:pStyle w:val="FirstParagraph"/>
      </w:pPr>
      <w:r>
        <w:t xml:space="preserve">This report provides a vertical analysis of MTN Rwanda Plc’s financial health based on its 2025 audited financial statements, alongside restated 2024 comparative figures. Our focus is on unpacking the structure of the company’s income statement and balance sheet by expressing items as percentages of total revenue and total assets, respectively.</w:t>
      </w:r>
    </w:p>
    <w:p>
      <w:pPr>
        <w:pStyle w:val="BodyText"/>
      </w:pPr>
      <w:r>
        <w:t xml:space="preserve">We found that MTN Rwanda successfully turned its profitability around in 2025, reaching a positive net profit margin of 3.63%, recovering from a net loss in 2024. Operating profits also expanded. However, the company operates with a highly leveraged balance sheet. Liabilities account for roughly 92% of all assets, and short-term obligations outweigh short-term assets.</w:t>
      </w:r>
    </w:p>
    <w:p>
      <w:pPr>
        <w:pStyle w:val="BodyText"/>
      </w:pPr>
      <w:r>
        <w:t xml:space="preserve">For 2026, we recommend management prioritize debt restructuring to ease liquidity pressures and continue retaining earnings to strengthen the equity base. Investors should view MTN as a strong operational player that requires careful monitoring regarding its financial risk.</w:t>
      </w:r>
    </w:p>
    <w:bookmarkEnd w:id="21"/>
    <w:bookmarkStart w:id="22" w:name="introduction"/>
    <w:p>
      <w:pPr>
        <w:pStyle w:val="Heading1"/>
      </w:pPr>
      <w:r>
        <w:t xml:space="preserve">3. Introduction</w:t>
      </w:r>
    </w:p>
    <w:p>
      <w:pPr>
        <w:pStyle w:val="FirstParagraph"/>
      </w:pPr>
      <w:r>
        <w:t xml:space="preserve">The telecommunications and fintech sectors are moving rapidly in Rwanda, making data-driven financial decisions more critical than ever. As the BAGR-05 financial analytics team, we were tasked with evaluating the financial health of MTN Rwanda Plc.</w:t>
      </w:r>
    </w:p>
    <w:p>
      <w:pPr>
        <w:pStyle w:val="BodyText"/>
      </w:pPr>
      <w:r>
        <w:t xml:space="preserve">Instead of just looking at raw numbers, we used vertical analysis to understand the internal structure of MTN’s finances. By converting the income statement into percentages of revenue and the balance sheet into percentages of total assets, we can easily identify where the company’s money is going and how its asset base is funded. This report outlines our methodology, details our findings on major cost drivers and asset structures, presents a comprehensive financial health scorecard, and concludes with strategic recommendations for the upcoming year.</w:t>
      </w:r>
    </w:p>
    <w:bookmarkEnd w:id="22"/>
    <w:bookmarkStart w:id="23" w:name="methodology"/>
    <w:p>
      <w:pPr>
        <w:pStyle w:val="Heading1"/>
      </w:pPr>
      <w:r>
        <w:t xml:space="preserve">4. Methodology</w:t>
      </w:r>
    </w:p>
    <w:p>
      <w:pPr>
        <w:pStyle w:val="FirstParagraph"/>
      </w:pPr>
      <w:r>
        <w:t xml:space="preserve">Our primary technique was vertical analysis, also known as common-size financial statement analysis. For the income statement, every expense and income line item was divided by total revenue for that specific year. For the balance sheet, every asset, liability, and equity item was divided by total assets.</w:t>
      </w:r>
    </w:p>
    <w:p>
      <w:pPr>
        <w:pStyle w:val="BodyText"/>
      </w:pPr>
      <w:r>
        <w:t xml:space="preserve">We used the audited financial statements for the year ended December 31, 2025. We also utilized the restated 2024 figures provided in the annual report to establish a baseline for comparison. This approach normalizes the data, removing the sheer size of the numbers to reveal the underlying structural shifts in how MTN operates and finances itself.</w:t>
      </w:r>
    </w:p>
    <w:bookmarkEnd w:id="23"/>
    <w:bookmarkStart w:id="26" w:name="analysis-and-findings"/>
    <w:p>
      <w:pPr>
        <w:pStyle w:val="Heading1"/>
      </w:pPr>
      <w:r>
        <w:t xml:space="preserve">5. Analysis and Findings</w:t>
      </w:r>
    </w:p>
    <w:bookmarkStart w:id="24" w:name="X1686ee21f23620a9c161ade3bff6cb34b629e92"/>
    <w:p>
      <w:pPr>
        <w:pStyle w:val="Heading3"/>
      </w:pPr>
      <w:r>
        <w:t xml:space="preserve">Income Statement Structure and Cost Drivers</w:t>
      </w:r>
    </w:p>
    <w:p>
      <w:pPr>
        <w:pStyle w:val="FirstParagraph"/>
      </w:pPr>
      <w:r>
        <w:t xml:space="preserve">MTN Rwanda’s operational turnaround in 2025 is evident when looking at the income statement structure. The company achieved an operating profit margin of 18.87% in 2025, a noticeable improvement from 14.48% in 2024. This operational efficiency trickled down to the bottom line, moving the net profit margin from a negative 2.07% to a positive 3.63%.</w:t>
      </w:r>
    </w:p>
    <w:p>
      <w:pPr>
        <w:pStyle w:val="BodyText"/>
      </w:pPr>
      <w:r>
        <w:t xml:space="preserve">When examining the major cost drivers, direct network operating costs take the largest piece of the pie, consuming 16.40% of revenue in 2025. This represents a slight increase from 15.76% the previous year. Sales, distribution, and marketing costs remained steady, representing roughly 14.6% of revenue in both years. Interestingly,</w:t>
      </w:r>
      <w:r>
        <w:t xml:space="preserve"> </w:t>
      </w:r>
      <w:r>
        <w:t xml:space="preserve">“</w:t>
      </w:r>
      <w:r>
        <w:t xml:space="preserve">other operating expenses</w:t>
      </w:r>
      <w:r>
        <w:t xml:space="preserve">”</w:t>
      </w:r>
      <w:r>
        <w:t xml:space="preserve"> </w:t>
      </w:r>
      <w:r>
        <w:t xml:space="preserve">jumped to 14.64% of revenue in 2025, up from 11.89%. Management will need to keep a close eye on this category to ensure overhead does not eat into the hard-won profit margins.</w:t>
      </w:r>
    </w:p>
    <w:p>
      <w:pPr>
        <w:pStyle w:val="BodyText"/>
      </w:pPr>
      <w:r>
        <w:t xml:space="preserve">Furthermore, finance costs continue to be a massive burden. Although they dropped from 14.94% of revenue in 2024 to 13.02% in 2025, spending over a tenth of all incoming revenue just to service debt is a significant drag on overall profitability.</w:t>
      </w:r>
    </w:p>
    <w:bookmarkEnd w:id="24"/>
    <w:bookmarkStart w:id="25" w:name="balance-sheet-structure"/>
    <w:p>
      <w:pPr>
        <w:pStyle w:val="Heading3"/>
      </w:pPr>
      <w:r>
        <w:t xml:space="preserve">Balance Sheet Structure</w:t>
      </w:r>
    </w:p>
    <w:p>
      <w:pPr>
        <w:pStyle w:val="FirstParagraph"/>
      </w:pPr>
      <w:r>
        <w:t xml:space="preserve">The balance sheet reveals a company that is heavily reliant on debt financing. In 2025, total liabilities made up a staggering 91.98% of total assets. While this is a marginal improvement from 92.32% in 2024, it leaves an equity base of just 8.02%.</w:t>
      </w:r>
    </w:p>
    <w:p>
      <w:pPr>
        <w:pStyle w:val="BodyText"/>
      </w:pPr>
      <w:r>
        <w:t xml:space="preserve">Looking at the asset side, there was a clear shift toward liquidity. Current assets grew to represent 52.88% of total assets in 2025, up from 45.17% in 2024. Consequently, non-current assets shrank as a proportion of the total. This gives the company slightly more flexibility.</w:t>
      </w:r>
    </w:p>
    <w:p>
      <w:pPr>
        <w:pStyle w:val="BodyText"/>
      </w:pPr>
      <w:r>
        <w:t xml:space="preserve">However, the liability structure is heavily skewed toward short-term obligations. Current liabilities account for 66.19% of total assets. Because current liabilities (66.19%) exceed current assets (52.88%), MTN operates with a working capital deficit. This structural imbalance means the company relies heavily on rolling over short-term debt or generating intense cash flow to meet its immediate obligations.</w:t>
      </w:r>
    </w:p>
    <w:bookmarkEnd w:id="25"/>
    <w:bookmarkEnd w:id="26"/>
    <w:bookmarkStart w:id="27" w:name="financial-health-scorecard"/>
    <w:p>
      <w:pPr>
        <w:pStyle w:val="Heading1"/>
      </w:pPr>
      <w:r>
        <w:t xml:space="preserve">6. Financial Health Scorecard</w:t>
      </w:r>
    </w:p>
    <w:p>
      <w:pPr>
        <w:pStyle w:val="FirstParagraph"/>
      </w:pPr>
      <w:r>
        <w:t xml:space="preserve">Based on our analysis, we have scored MTN Rwanda across seven key indicators on a scale of 1 to 5.</w:t>
      </w:r>
    </w:p>
    <w:p>
      <w:pPr>
        <w:pStyle w:val="BodyText"/>
      </w:pPr>
      <w:r>
        <w:rPr>
          <w:bCs/>
          <w:b/>
        </w:rPr>
        <w:t xml:space="preserve">Profitability: 4</w:t>
      </w:r>
      <w:r>
        <w:t xml:space="preserve"> </w:t>
      </w:r>
      <w:r>
        <w:t xml:space="preserve">The company successfully returned to profitability in 2025. Operating margins expanded nicely, and net income is back in the black.</w:t>
      </w:r>
    </w:p>
    <w:p>
      <w:pPr>
        <w:pStyle w:val="BodyText"/>
      </w:pPr>
      <w:r>
        <w:rPr>
          <w:bCs/>
          <w:b/>
        </w:rPr>
        <w:t xml:space="preserve">Liquidity: 2</w:t>
      </w:r>
      <w:r>
        <w:t xml:space="preserve"> </w:t>
      </w:r>
      <w:r>
        <w:t xml:space="preserve">The current ratio sits at roughly 0.80. While this is a slight improvement from 2024, having current liabilities outstrip current assets creates ongoing short-term liquidity stress.</w:t>
      </w:r>
    </w:p>
    <w:p>
      <w:pPr>
        <w:pStyle w:val="BodyText"/>
      </w:pPr>
      <w:r>
        <w:rPr>
          <w:bCs/>
          <w:b/>
        </w:rPr>
        <w:t xml:space="preserve">Solvency: 2</w:t>
      </w:r>
      <w:r>
        <w:t xml:space="preserve"> </w:t>
      </w:r>
      <w:r>
        <w:t xml:space="preserve">Liabilities make up roughly 92% of the balance sheet. The debt-to-equity ratio is extremely high, indicating a highly leveraged position that poses long-term financial risks.</w:t>
      </w:r>
    </w:p>
    <w:p>
      <w:pPr>
        <w:pStyle w:val="BodyText"/>
      </w:pPr>
      <w:r>
        <w:rPr>
          <w:bCs/>
          <w:b/>
        </w:rPr>
        <w:t xml:space="preserve">Efficiency: 4</w:t>
      </w:r>
      <w:r>
        <w:t xml:space="preserve"> </w:t>
      </w:r>
      <w:r>
        <w:t xml:space="preserve">MTN managed to grow its revenue and shift its asset base toward more liquid assets without blowing out its core operational cost proportions, like sales and marketing.</w:t>
      </w:r>
    </w:p>
    <w:p>
      <w:pPr>
        <w:pStyle w:val="BodyText"/>
      </w:pPr>
      <w:r>
        <w:rPr>
          <w:bCs/>
          <w:b/>
        </w:rPr>
        <w:t xml:space="preserve">Growth Potential: 4</w:t>
      </w:r>
      <w:r>
        <w:t xml:space="preserve"> </w:t>
      </w:r>
      <w:r>
        <w:t xml:space="preserve">The return to profitability combined with a leaner, more liquid asset structure positions the company well to capitalize on Rwanda’s expanding digital and fintech markets.</w:t>
      </w:r>
    </w:p>
    <w:p>
      <w:pPr>
        <w:pStyle w:val="BodyText"/>
      </w:pPr>
      <w:r>
        <w:rPr>
          <w:bCs/>
          <w:b/>
        </w:rPr>
        <w:t xml:space="preserve">Risk Exposure: 2</w:t>
      </w:r>
      <w:r>
        <w:t xml:space="preserve"> </w:t>
      </w:r>
      <w:r>
        <w:t xml:space="preserve">The sheer volume of debt is the primary risk. High finance costs consume a large portion of revenue, making the company vulnerable to interest rate shocks or sudden revenue dips.</w:t>
      </w:r>
    </w:p>
    <w:p>
      <w:pPr>
        <w:pStyle w:val="BodyText"/>
      </w:pPr>
      <w:r>
        <w:rPr>
          <w:bCs/>
          <w:b/>
        </w:rPr>
        <w:t xml:space="preserve">Sustainability: 3</w:t>
      </w:r>
      <w:r>
        <w:t xml:space="preserve"> </w:t>
      </w:r>
      <w:r>
        <w:t xml:space="preserve">While the core operations are clearly viable and cash-generative, the current capital structure is difficult to sustain long-term without eventual restructuring or significant equity injections.</w:t>
      </w:r>
    </w:p>
    <w:p>
      <w:pPr>
        <w:pStyle w:val="BodyText"/>
      </w:pPr>
      <w:r>
        <w:rPr>
          <w:bCs/>
          <w:b/>
        </w:rPr>
        <w:t xml:space="preserve">Overall Financial Health: 3</w:t>
      </w:r>
      <w:r>
        <w:t xml:space="preserve"> </w:t>
      </w:r>
      <w:r>
        <w:t xml:space="preserve">MTN Rwanda is operationally strong but financially fragile. The business model works, but the balance sheet needs repair.</w:t>
      </w:r>
    </w:p>
    <w:bookmarkEnd w:id="27"/>
    <w:bookmarkStart w:id="28" w:name="strategic-recommendations"/>
    <w:p>
      <w:pPr>
        <w:pStyle w:val="Heading1"/>
      </w:pPr>
      <w:r>
        <w:t xml:space="preserve">7. Strategic Recommendations</w:t>
      </w:r>
    </w:p>
    <w:p>
      <w:pPr>
        <w:pStyle w:val="FirstParagraph"/>
      </w:pPr>
      <w:r>
        <w:t xml:space="preserve">Based on our assessment of MTN Rwanda Plc’s overall financial health, we recommend the following strategic actions for management and investors during the 2026 financial year.</w:t>
      </w:r>
    </w:p>
    <w:p>
      <w:pPr>
        <w:pStyle w:val="BodyText"/>
      </w:pPr>
      <w:r>
        <w:t xml:space="preserve">Management must address the working capital deficit. We recommend aggressively exploring debt restructuring to convert a portion of the heavy short-term liabilities into long-term debt. This would immediately relieve liquidity pressure and improve the current ratio.</w:t>
      </w:r>
    </w:p>
    <w:p>
      <w:pPr>
        <w:pStyle w:val="BodyText"/>
      </w:pPr>
      <w:r>
        <w:t xml:space="preserve">Additionally, management should continue the policy of retaining earnings. The decision to halt dividends in 2025 was painful but necessary. They need to keep building the equity base to reduce the extreme leverage profile over the next few years. Operationally, a deep dive into</w:t>
      </w:r>
      <w:r>
        <w:t xml:space="preserve"> </w:t>
      </w:r>
      <w:r>
        <w:t xml:space="preserve">“</w:t>
      </w:r>
      <w:r>
        <w:t xml:space="preserve">other operating expenses</w:t>
      </w:r>
      <w:r>
        <w:t xml:space="preserve">”</w:t>
      </w:r>
      <w:r>
        <w:t xml:space="preserve"> </w:t>
      </w:r>
      <w:r>
        <w:t xml:space="preserve">is needed to identify why this cost center grew as a percentage of revenue and how it can be reigned in.</w:t>
      </w:r>
    </w:p>
    <w:p>
      <w:pPr>
        <w:pStyle w:val="BodyText"/>
      </w:pPr>
      <w:r>
        <w:t xml:space="preserve">For investors, our recommendation is a cautious</w:t>
      </w:r>
      <w:r>
        <w:t xml:space="preserve"> </w:t>
      </w:r>
      <w:r>
        <w:t xml:space="preserve">“</w:t>
      </w:r>
      <w:r>
        <w:t xml:space="preserve">Hold</w:t>
      </w:r>
      <w:r>
        <w:t xml:space="preserve">”</w:t>
      </w:r>
      <w:r>
        <w:t xml:space="preserve">. The operational turnaround is highly encouraging, and the core telecommunications and fintech businesses are solid. However, the high risk exposure from the current capital structure means new investors should wait for clear signs of balance sheet deleveraging before taking aggressive new positions.</w:t>
      </w:r>
    </w:p>
    <w:bookmarkEnd w:id="28"/>
    <w:bookmarkStart w:id="29" w:name="conclusion"/>
    <w:p>
      <w:pPr>
        <w:pStyle w:val="Heading1"/>
      </w:pPr>
      <w:r>
        <w:t xml:space="preserve">8. Conclusion</w:t>
      </w:r>
    </w:p>
    <w:p>
      <w:pPr>
        <w:pStyle w:val="FirstParagraph"/>
      </w:pPr>
      <w:r>
        <w:t xml:space="preserve">MTN Rwanda is a classic example of a strong underlying business carrying a heavy financial burden. Our vertical analysis highlights that while the company generates excellent operating margins and has successfully corrected its bottom-line profitability, it does so while balancing on a highly leveraged, short-term focused liability structure.</w:t>
      </w:r>
    </w:p>
    <w:p>
      <w:pPr>
        <w:pStyle w:val="BodyText"/>
      </w:pPr>
      <w:r>
        <w:t xml:space="preserve">By recognizing these structural realities, management can spend 2026 focusing not just on growing the top line, but on fixing the foundation underneath it. Through disciplined cost control and strategic debt management, MTN can ensure its long-term stability matches its operational success.</w:t>
      </w:r>
    </w:p>
    <w:bookmarkEnd w:id="29"/>
    <w:bookmarkStart w:id="30" w:name="references"/>
    <w:p>
      <w:pPr>
        <w:pStyle w:val="Heading1"/>
      </w:pPr>
      <w:r>
        <w:t xml:space="preserve">9. References</w:t>
      </w:r>
    </w:p>
    <w:p>
      <w:pPr>
        <w:numPr>
          <w:ilvl w:val="0"/>
          <w:numId w:val="1001"/>
        </w:numPr>
        <w:pStyle w:val="Compact"/>
      </w:pPr>
      <w:r>
        <w:t xml:space="preserve">MTN Rwandacell Plc, Annual Report and Consolidated Financial Statements for the year ended 31 December 2025.</w:t>
      </w:r>
    </w:p>
    <w:p>
      <w:pPr>
        <w:numPr>
          <w:ilvl w:val="0"/>
          <w:numId w:val="1001"/>
        </w:numPr>
        <w:pStyle w:val="Compact"/>
      </w:pPr>
      <w:r>
        <w:t xml:space="preserve">IGA Learning Management Platform, Assignment Guidelines.</w:t>
      </w:r>
    </w:p>
    <w:bookmarkEnd w:id="30"/>
    <w:bookmarkStart w:id="31" w:name="appendices"/>
    <w:p>
      <w:pPr>
        <w:pStyle w:val="Heading1"/>
      </w:pPr>
      <w:r>
        <w:t xml:space="preserve">10. Appendices</w:t>
      </w:r>
    </w:p>
    <w:p>
      <w:pPr>
        <w:pStyle w:val="FirstParagraph"/>
      </w:pPr>
      <w:r>
        <w:rPr>
          <w:bCs/>
          <w:b/>
        </w:rPr>
        <w:t xml:space="preserve">Appendix A: Vertical Analysis - Income Statement (as % of Revenue)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2025 (%)</w:t>
            </w:r>
          </w:p>
        </w:tc>
        <w:tc>
          <w:tcPr/>
          <w:p>
            <w:pPr>
              <w:pStyle w:val="Compact"/>
              <w:jc w:val="left"/>
            </w:pPr>
            <w:r>
              <w:t xml:space="preserve">2024 (%)</w:t>
            </w:r>
          </w:p>
        </w:tc>
      </w:tr>
      <w:tr>
        <w:tc>
          <w:tcPr/>
          <w:p>
            <w:pPr>
              <w:pStyle w:val="Compact"/>
              <w:jc w:val="left"/>
            </w:pPr>
            <w:r>
              <w:t xml:space="preserve">Revenue</w:t>
            </w:r>
          </w:p>
        </w:tc>
        <w:tc>
          <w:tcPr/>
          <w:p>
            <w:pPr>
              <w:pStyle w:val="Compact"/>
              <w:jc w:val="left"/>
            </w:pPr>
            <w:r>
              <w:t xml:space="preserve">100.00</w:t>
            </w:r>
          </w:p>
        </w:tc>
        <w:tc>
          <w:tcPr/>
          <w:p>
            <w:pPr>
              <w:pStyle w:val="Compact"/>
              <w:jc w:val="left"/>
            </w:pPr>
            <w:r>
              <w:t xml:space="preserve">100.00</w:t>
            </w:r>
          </w:p>
        </w:tc>
      </w:tr>
      <w:tr>
        <w:tc>
          <w:tcPr/>
          <w:p>
            <w:pPr>
              <w:pStyle w:val="Compact"/>
              <w:jc w:val="left"/>
            </w:pPr>
            <w:r>
              <w:t xml:space="preserve">Other income</w:t>
            </w:r>
          </w:p>
        </w:tc>
        <w:tc>
          <w:tcPr/>
          <w:p>
            <w:pPr>
              <w:pStyle w:val="Compact"/>
              <w:jc w:val="left"/>
            </w:pPr>
            <w:r>
              <w:t xml:space="preserve">0.54</w:t>
            </w:r>
          </w:p>
        </w:tc>
        <w:tc>
          <w:tcPr/>
          <w:p>
            <w:pPr>
              <w:pStyle w:val="Compact"/>
              <w:jc w:val="left"/>
            </w:pPr>
            <w:r>
              <w:t xml:space="preserve">0.79</w:t>
            </w:r>
          </w:p>
        </w:tc>
      </w:tr>
      <w:tr>
        <w:tc>
          <w:tcPr/>
          <w:p>
            <w:pPr>
              <w:pStyle w:val="Compact"/>
              <w:jc w:val="left"/>
            </w:pPr>
            <w:r>
              <w:t xml:space="preserve">Total income</w:t>
            </w:r>
          </w:p>
        </w:tc>
        <w:tc>
          <w:tcPr/>
          <w:p>
            <w:pPr>
              <w:pStyle w:val="Compact"/>
              <w:jc w:val="left"/>
            </w:pPr>
            <w:r>
              <w:t xml:space="preserve">100.54</w:t>
            </w:r>
          </w:p>
        </w:tc>
        <w:tc>
          <w:tcPr/>
          <w:p>
            <w:pPr>
              <w:pStyle w:val="Compact"/>
              <w:jc w:val="left"/>
            </w:pPr>
            <w:r>
              <w:t xml:space="preserve">100.79</w:t>
            </w:r>
          </w:p>
        </w:tc>
      </w:tr>
      <w:tr>
        <w:tc>
          <w:tcPr/>
          <w:p>
            <w:pPr>
              <w:pStyle w:val="Compact"/>
              <w:jc w:val="left"/>
            </w:pPr>
            <w:r>
              <w:t xml:space="preserve">Direct network operating costs</w:t>
            </w:r>
          </w:p>
        </w:tc>
        <w:tc>
          <w:tcPr/>
          <w:p>
            <w:pPr>
              <w:pStyle w:val="Compact"/>
              <w:jc w:val="left"/>
            </w:pPr>
            <w:r>
              <w:t xml:space="preserve">-16.40</w:t>
            </w:r>
          </w:p>
        </w:tc>
        <w:tc>
          <w:tcPr/>
          <w:p>
            <w:pPr>
              <w:pStyle w:val="Compact"/>
              <w:jc w:val="left"/>
            </w:pPr>
            <w:r>
              <w:t xml:space="preserve">-15.76</w:t>
            </w:r>
          </w:p>
        </w:tc>
      </w:tr>
      <w:tr>
        <w:tc>
          <w:tcPr/>
          <w:p>
            <w:pPr>
              <w:pStyle w:val="Compact"/>
              <w:jc w:val="left"/>
            </w:pPr>
            <w:r>
              <w:t xml:space="preserve">Government and regulatory costs</w:t>
            </w:r>
          </w:p>
        </w:tc>
        <w:tc>
          <w:tcPr/>
          <w:p>
            <w:pPr>
              <w:pStyle w:val="Compact"/>
              <w:jc w:val="left"/>
            </w:pPr>
            <w:r>
              <w:t xml:space="preserve">-4.71</w:t>
            </w:r>
          </w:p>
        </w:tc>
        <w:tc>
          <w:tcPr/>
          <w:p>
            <w:pPr>
              <w:pStyle w:val="Compact"/>
              <w:jc w:val="left"/>
            </w:pPr>
            <w:r>
              <w:t xml:space="preserve">-6.21</w:t>
            </w:r>
          </w:p>
        </w:tc>
      </w:tr>
      <w:tr>
        <w:tc>
          <w:tcPr/>
          <w:p>
            <w:pPr>
              <w:pStyle w:val="Compact"/>
              <w:jc w:val="left"/>
            </w:pPr>
            <w:r>
              <w:t xml:space="preserve">Cost of handsets and accessories</w:t>
            </w:r>
          </w:p>
        </w:tc>
        <w:tc>
          <w:tcPr/>
          <w:p>
            <w:pPr>
              <w:pStyle w:val="Compact"/>
              <w:jc w:val="left"/>
            </w:pPr>
            <w:r>
              <w:t xml:space="preserve">-1.96</w:t>
            </w:r>
          </w:p>
        </w:tc>
        <w:tc>
          <w:tcPr/>
          <w:p>
            <w:pPr>
              <w:pStyle w:val="Compact"/>
              <w:jc w:val="left"/>
            </w:pPr>
            <w:r>
              <w:t xml:space="preserve">-3.37</w:t>
            </w:r>
          </w:p>
        </w:tc>
      </w:tr>
      <w:tr>
        <w:tc>
          <w:tcPr/>
          <w:p>
            <w:pPr>
              <w:pStyle w:val="Compact"/>
              <w:jc w:val="left"/>
            </w:pPr>
            <w:r>
              <w:t xml:space="preserve">Interconnection and roaming fees</w:t>
            </w:r>
          </w:p>
        </w:tc>
        <w:tc>
          <w:tcPr/>
          <w:p>
            <w:pPr>
              <w:pStyle w:val="Compact"/>
              <w:jc w:val="left"/>
            </w:pPr>
            <w:r>
              <w:t xml:space="preserve">-2.24</w:t>
            </w:r>
          </w:p>
        </w:tc>
        <w:tc>
          <w:tcPr/>
          <w:p>
            <w:pPr>
              <w:pStyle w:val="Compact"/>
              <w:jc w:val="left"/>
            </w:pPr>
            <w:r>
              <w:t xml:space="preserve">-4.26</w:t>
            </w:r>
          </w:p>
        </w:tc>
      </w:tr>
      <w:tr>
        <w:tc>
          <w:tcPr/>
          <w:p>
            <w:pPr>
              <w:pStyle w:val="Compact"/>
              <w:jc w:val="left"/>
            </w:pPr>
            <w:r>
              <w:t xml:space="preserve">Employee benefits expense</w:t>
            </w:r>
          </w:p>
        </w:tc>
        <w:tc>
          <w:tcPr/>
          <w:p>
            <w:pPr>
              <w:pStyle w:val="Compact"/>
              <w:jc w:val="left"/>
            </w:pPr>
            <w:r>
              <w:t xml:space="preserve">-8.84</w:t>
            </w:r>
          </w:p>
        </w:tc>
        <w:tc>
          <w:tcPr/>
          <w:p>
            <w:pPr>
              <w:pStyle w:val="Compact"/>
              <w:jc w:val="left"/>
            </w:pPr>
            <w:r>
              <w:t xml:space="preserve">-9.09</w:t>
            </w:r>
          </w:p>
        </w:tc>
      </w:tr>
      <w:tr>
        <w:tc>
          <w:tcPr/>
          <w:p>
            <w:pPr>
              <w:pStyle w:val="Compact"/>
              <w:jc w:val="left"/>
            </w:pPr>
            <w:r>
              <w:t xml:space="preserve">Sales, distribution and marketing</w:t>
            </w:r>
          </w:p>
        </w:tc>
        <w:tc>
          <w:tcPr/>
          <w:p>
            <w:pPr>
              <w:pStyle w:val="Compact"/>
              <w:jc w:val="left"/>
            </w:pPr>
            <w:r>
              <w:t xml:space="preserve">-14.66</w:t>
            </w:r>
          </w:p>
        </w:tc>
        <w:tc>
          <w:tcPr/>
          <w:p>
            <w:pPr>
              <w:pStyle w:val="Compact"/>
              <w:jc w:val="left"/>
            </w:pPr>
            <w:r>
              <w:t xml:space="preserve">-14.92</w:t>
            </w:r>
          </w:p>
        </w:tc>
      </w:tr>
      <w:tr>
        <w:tc>
          <w:tcPr/>
          <w:p>
            <w:pPr>
              <w:pStyle w:val="Compact"/>
              <w:jc w:val="left"/>
            </w:pPr>
            <w:r>
              <w:t xml:space="preserve">Other operating expenses</w:t>
            </w:r>
          </w:p>
        </w:tc>
        <w:tc>
          <w:tcPr/>
          <w:p>
            <w:pPr>
              <w:pStyle w:val="Compact"/>
              <w:jc w:val="left"/>
            </w:pPr>
            <w:r>
              <w:t xml:space="preserve">-14.64</w:t>
            </w:r>
          </w:p>
        </w:tc>
        <w:tc>
          <w:tcPr/>
          <w:p>
            <w:pPr>
              <w:pStyle w:val="Compact"/>
              <w:jc w:val="left"/>
            </w:pPr>
            <w:r>
              <w:t xml:space="preserve">-11.89</w:t>
            </w:r>
          </w:p>
        </w:tc>
      </w:tr>
      <w:tr>
        <w:tc>
          <w:tcPr/>
          <w:p>
            <w:pPr>
              <w:pStyle w:val="Compact"/>
              <w:jc w:val="left"/>
            </w:pPr>
            <w:r>
              <w:t xml:space="preserve">Credit Loss expense</w:t>
            </w:r>
          </w:p>
        </w:tc>
        <w:tc>
          <w:tcPr/>
          <w:p>
            <w:pPr>
              <w:pStyle w:val="Compact"/>
              <w:jc w:val="left"/>
            </w:pPr>
            <w:r>
              <w:t xml:space="preserve">-1.09</w:t>
            </w:r>
          </w:p>
        </w:tc>
        <w:tc>
          <w:tcPr/>
          <w:p>
            <w:pPr>
              <w:pStyle w:val="Compact"/>
              <w:jc w:val="left"/>
            </w:pPr>
            <w:r>
              <w:t xml:space="preserve">-0.22</w:t>
            </w:r>
          </w:p>
        </w:tc>
      </w:tr>
      <w:tr>
        <w:tc>
          <w:tcPr/>
          <w:p>
            <w:pPr>
              <w:pStyle w:val="Compact"/>
              <w:jc w:val="left"/>
            </w:pPr>
            <w:r>
              <w:t xml:space="preserve">Depreciation on property/equipment</w:t>
            </w:r>
          </w:p>
        </w:tc>
        <w:tc>
          <w:tcPr/>
          <w:p>
            <w:pPr>
              <w:pStyle w:val="Compact"/>
              <w:jc w:val="left"/>
            </w:pPr>
            <w:r>
              <w:t xml:space="preserve">-6.93</w:t>
            </w:r>
          </w:p>
        </w:tc>
        <w:tc>
          <w:tcPr/>
          <w:p>
            <w:pPr>
              <w:pStyle w:val="Compact"/>
              <w:jc w:val="left"/>
            </w:pPr>
            <w:r>
              <w:t xml:space="preserve">-9.19</w:t>
            </w:r>
          </w:p>
        </w:tc>
      </w:tr>
      <w:tr>
        <w:tc>
          <w:tcPr/>
          <w:p>
            <w:pPr>
              <w:pStyle w:val="Compact"/>
              <w:jc w:val="left"/>
            </w:pPr>
            <w:r>
              <w:t xml:space="preserve">Depreciation - right of use asset</w:t>
            </w:r>
          </w:p>
        </w:tc>
        <w:tc>
          <w:tcPr/>
          <w:p>
            <w:pPr>
              <w:pStyle w:val="Compact"/>
              <w:jc w:val="left"/>
            </w:pPr>
            <w:r>
              <w:t xml:space="preserve">-5.12</w:t>
            </w:r>
          </w:p>
        </w:tc>
        <w:tc>
          <w:tcPr/>
          <w:p>
            <w:pPr>
              <w:pStyle w:val="Compact"/>
              <w:jc w:val="left"/>
            </w:pPr>
            <w:r>
              <w:t xml:space="preserve">-6.36</w:t>
            </w:r>
          </w:p>
        </w:tc>
      </w:tr>
      <w:tr>
        <w:tc>
          <w:tcPr/>
          <w:p>
            <w:pPr>
              <w:pStyle w:val="Compact"/>
              <w:jc w:val="left"/>
            </w:pPr>
            <w:r>
              <w:t xml:space="preserve">Operating profit</w:t>
            </w:r>
          </w:p>
        </w:tc>
        <w:tc>
          <w:tcPr/>
          <w:p>
            <w:pPr>
              <w:pStyle w:val="Compact"/>
              <w:jc w:val="left"/>
            </w:pPr>
            <w:r>
              <w:t xml:space="preserve">18.87</w:t>
            </w:r>
          </w:p>
        </w:tc>
        <w:tc>
          <w:tcPr/>
          <w:p>
            <w:pPr>
              <w:pStyle w:val="Compact"/>
              <w:jc w:val="left"/>
            </w:pPr>
            <w:r>
              <w:t xml:space="preserve">14.48</w:t>
            </w:r>
          </w:p>
        </w:tc>
      </w:tr>
      <w:tr>
        <w:tc>
          <w:tcPr/>
          <w:p>
            <w:pPr>
              <w:pStyle w:val="Compact"/>
              <w:jc w:val="left"/>
            </w:pPr>
            <w:r>
              <w:t xml:space="preserve">Finance income</w:t>
            </w:r>
          </w:p>
        </w:tc>
        <w:tc>
          <w:tcPr/>
          <w:p>
            <w:pPr>
              <w:pStyle w:val="Compact"/>
              <w:jc w:val="left"/>
            </w:pPr>
            <w:r>
              <w:t xml:space="preserve">0.32</w:t>
            </w:r>
          </w:p>
        </w:tc>
        <w:tc>
          <w:tcPr/>
          <w:p>
            <w:pPr>
              <w:pStyle w:val="Compact"/>
              <w:jc w:val="left"/>
            </w:pPr>
            <w:r>
              <w:t xml:space="preserve">0.57</w:t>
            </w:r>
          </w:p>
        </w:tc>
      </w:tr>
      <w:tr>
        <w:tc>
          <w:tcPr/>
          <w:p>
            <w:pPr>
              <w:pStyle w:val="Compact"/>
              <w:jc w:val="left"/>
            </w:pPr>
            <w:r>
              <w:t xml:space="preserve">Finance costs</w:t>
            </w:r>
          </w:p>
        </w:tc>
        <w:tc>
          <w:tcPr/>
          <w:p>
            <w:pPr>
              <w:pStyle w:val="Compact"/>
              <w:jc w:val="left"/>
            </w:pPr>
            <w:r>
              <w:t xml:space="preserve">-13.02</w:t>
            </w:r>
          </w:p>
        </w:tc>
        <w:tc>
          <w:tcPr/>
          <w:p>
            <w:pPr>
              <w:pStyle w:val="Compact"/>
              <w:jc w:val="left"/>
            </w:pPr>
            <w:r>
              <w:t xml:space="preserve">-14.94</w:t>
            </w:r>
          </w:p>
        </w:tc>
      </w:tr>
      <w:tr>
        <w:tc>
          <w:tcPr/>
          <w:p>
            <w:pPr>
              <w:pStyle w:val="Compact"/>
              <w:jc w:val="left"/>
            </w:pPr>
            <w:r>
              <w:t xml:space="preserve">Profit before income tax</w:t>
            </w:r>
          </w:p>
        </w:tc>
        <w:tc>
          <w:tcPr/>
          <w:p>
            <w:pPr>
              <w:pStyle w:val="Compact"/>
              <w:jc w:val="left"/>
            </w:pPr>
            <w:r>
              <w:t xml:space="preserve">6.17</w:t>
            </w:r>
          </w:p>
        </w:tc>
        <w:tc>
          <w:tcPr/>
          <w:p>
            <w:pPr>
              <w:pStyle w:val="Compact"/>
              <w:jc w:val="left"/>
            </w:pPr>
            <w:r>
              <w:t xml:space="preserve">0.11</w:t>
            </w:r>
          </w:p>
        </w:tc>
      </w:tr>
      <w:tr>
        <w:tc>
          <w:tcPr/>
          <w:p>
            <w:pPr>
              <w:pStyle w:val="Compact"/>
              <w:jc w:val="left"/>
            </w:pPr>
            <w:r>
              <w:t xml:space="preserve">Income tax expense</w:t>
            </w:r>
          </w:p>
        </w:tc>
        <w:tc>
          <w:tcPr/>
          <w:p>
            <w:pPr>
              <w:pStyle w:val="Compact"/>
              <w:jc w:val="left"/>
            </w:pPr>
            <w:r>
              <w:t xml:space="preserve">-2.54</w:t>
            </w:r>
          </w:p>
        </w:tc>
        <w:tc>
          <w:tcPr/>
          <w:p>
            <w:pPr>
              <w:pStyle w:val="Compact"/>
              <w:jc w:val="left"/>
            </w:pPr>
            <w:r>
              <w:t xml:space="preserve">-2.18</w:t>
            </w:r>
          </w:p>
        </w:tc>
      </w:tr>
      <w:tr>
        <w:tc>
          <w:tcPr/>
          <w:p>
            <w:pPr>
              <w:pStyle w:val="Compact"/>
              <w:jc w:val="left"/>
            </w:pPr>
            <w:r>
              <w:t xml:space="preserve">Profit for the year</w:t>
            </w:r>
          </w:p>
        </w:tc>
        <w:tc>
          <w:tcPr/>
          <w:p>
            <w:pPr>
              <w:pStyle w:val="Compact"/>
              <w:jc w:val="left"/>
            </w:pPr>
            <w:r>
              <w:t xml:space="preserve">3.63</w:t>
            </w:r>
          </w:p>
        </w:tc>
        <w:tc>
          <w:tcPr/>
          <w:p>
            <w:pPr>
              <w:pStyle w:val="Compact"/>
              <w:jc w:val="left"/>
            </w:pPr>
            <w:r>
              <w:t xml:space="preserve">-2.07</w:t>
            </w:r>
          </w:p>
        </w:tc>
      </w:tr>
    </w:tbl>
    <w:p>
      <w:pPr>
        <w:pStyle w:val="BodyText"/>
      </w:pPr>
      <w:r>
        <w:rPr>
          <w:bCs/>
          <w:b/>
        </w:rPr>
        <w:t xml:space="preserve">Appendix B: Vertical Analysis - Balance Sheet (as % of Total Assets)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2025 (%)</w:t>
            </w:r>
          </w:p>
        </w:tc>
        <w:tc>
          <w:tcPr/>
          <w:p>
            <w:pPr>
              <w:pStyle w:val="Compact"/>
              <w:jc w:val="left"/>
            </w:pPr>
            <w:r>
              <w:t xml:space="preserve">2024 (%)</w:t>
            </w:r>
          </w:p>
        </w:tc>
      </w:tr>
      <w:tr>
        <w:tc>
          <w:tcPr/>
          <w:p>
            <w:pPr>
              <w:pStyle w:val="Compact"/>
              <w:jc w:val="left"/>
            </w:pPr>
            <w:r>
              <w:t xml:space="preserve">Total assets</w:t>
            </w:r>
          </w:p>
        </w:tc>
        <w:tc>
          <w:tcPr/>
          <w:p>
            <w:pPr>
              <w:pStyle w:val="Compact"/>
              <w:jc w:val="left"/>
            </w:pPr>
            <w:r>
              <w:t xml:space="preserve">100.00</w:t>
            </w:r>
          </w:p>
        </w:tc>
        <w:tc>
          <w:tcPr/>
          <w:p>
            <w:pPr>
              <w:pStyle w:val="Compact"/>
              <w:jc w:val="left"/>
            </w:pPr>
            <w:r>
              <w:t xml:space="preserve">100.00</w:t>
            </w:r>
          </w:p>
        </w:tc>
      </w:tr>
      <w:tr>
        <w:tc>
          <w:tcPr/>
          <w:p>
            <w:pPr>
              <w:pStyle w:val="Compact"/>
              <w:jc w:val="left"/>
            </w:pPr>
            <w:r>
              <w:t xml:space="preserve">Total non-current assets</w:t>
            </w:r>
          </w:p>
        </w:tc>
        <w:tc>
          <w:tcPr/>
          <w:p>
            <w:pPr>
              <w:pStyle w:val="Compact"/>
              <w:jc w:val="left"/>
            </w:pPr>
            <w:r>
              <w:t xml:space="preserve">47.12</w:t>
            </w:r>
          </w:p>
        </w:tc>
        <w:tc>
          <w:tcPr/>
          <w:p>
            <w:pPr>
              <w:pStyle w:val="Compact"/>
              <w:jc w:val="left"/>
            </w:pPr>
            <w:r>
              <w:t xml:space="preserve">54.83</w:t>
            </w:r>
          </w:p>
        </w:tc>
      </w:tr>
      <w:tr>
        <w:tc>
          <w:tcPr/>
          <w:p>
            <w:pPr>
              <w:pStyle w:val="Compact"/>
              <w:jc w:val="left"/>
            </w:pPr>
            <w:r>
              <w:t xml:space="preserve">Total current assets</w:t>
            </w:r>
          </w:p>
        </w:tc>
        <w:tc>
          <w:tcPr/>
          <w:p>
            <w:pPr>
              <w:pStyle w:val="Compact"/>
              <w:jc w:val="left"/>
            </w:pPr>
            <w:r>
              <w:t xml:space="preserve">52.88</w:t>
            </w:r>
          </w:p>
        </w:tc>
        <w:tc>
          <w:tcPr/>
          <w:p>
            <w:pPr>
              <w:pStyle w:val="Compact"/>
              <w:jc w:val="left"/>
            </w:pPr>
            <w:r>
              <w:t xml:space="preserve">45.17</w:t>
            </w:r>
          </w:p>
        </w:tc>
      </w:tr>
      <w:tr>
        <w:tc>
          <w:tcPr/>
          <w:p>
            <w:pPr>
              <w:pStyle w:val="Compact"/>
              <w:jc w:val="left"/>
            </w:pPr>
            <w:r>
              <w:t xml:space="preserve">Total equity</w:t>
            </w:r>
          </w:p>
        </w:tc>
        <w:tc>
          <w:tcPr/>
          <w:p>
            <w:pPr>
              <w:pStyle w:val="Compact"/>
              <w:jc w:val="left"/>
            </w:pPr>
            <w:r>
              <w:t xml:space="preserve">8.02</w:t>
            </w:r>
          </w:p>
        </w:tc>
        <w:tc>
          <w:tcPr/>
          <w:p>
            <w:pPr>
              <w:pStyle w:val="Compact"/>
              <w:jc w:val="left"/>
            </w:pPr>
            <w:r>
              <w:t xml:space="preserve">7.68</w:t>
            </w:r>
          </w:p>
        </w:tc>
      </w:tr>
      <w:tr>
        <w:tc>
          <w:tcPr/>
          <w:p>
            <w:pPr>
              <w:pStyle w:val="Compact"/>
              <w:jc w:val="left"/>
            </w:pPr>
            <w:r>
              <w:t xml:space="preserve">Total liabilities</w:t>
            </w:r>
          </w:p>
        </w:tc>
        <w:tc>
          <w:tcPr/>
          <w:p>
            <w:pPr>
              <w:pStyle w:val="Compact"/>
              <w:jc w:val="left"/>
            </w:pPr>
            <w:r>
              <w:t xml:space="preserve">91.98</w:t>
            </w:r>
          </w:p>
        </w:tc>
        <w:tc>
          <w:tcPr/>
          <w:p>
            <w:pPr>
              <w:pStyle w:val="Compact"/>
              <w:jc w:val="left"/>
            </w:pPr>
            <w:r>
              <w:t xml:space="preserve">92.32</w:t>
            </w:r>
          </w:p>
        </w:tc>
      </w:tr>
      <w:tr>
        <w:tc>
          <w:tcPr/>
          <w:p>
            <w:pPr>
              <w:pStyle w:val="Compact"/>
              <w:jc w:val="left"/>
            </w:pPr>
            <w:r>
              <w:t xml:space="preserve">Total non-current liabilities</w:t>
            </w:r>
          </w:p>
        </w:tc>
        <w:tc>
          <w:tcPr/>
          <w:p>
            <w:pPr>
              <w:pStyle w:val="Compact"/>
              <w:jc w:val="left"/>
            </w:pPr>
            <w:r>
              <w:t xml:space="preserve">25.79</w:t>
            </w:r>
          </w:p>
        </w:tc>
        <w:tc>
          <w:tcPr/>
          <w:p>
            <w:pPr>
              <w:pStyle w:val="Compact"/>
              <w:jc w:val="left"/>
            </w:pPr>
            <w:r>
              <w:t xml:space="preserve">33.62</w:t>
            </w:r>
          </w:p>
        </w:tc>
      </w:tr>
      <w:tr>
        <w:tc>
          <w:tcPr/>
          <w:p>
            <w:pPr>
              <w:pStyle w:val="Compact"/>
              <w:jc w:val="left"/>
            </w:pPr>
            <w:r>
              <w:t xml:space="preserve">Total current liabilities</w:t>
            </w:r>
          </w:p>
        </w:tc>
        <w:tc>
          <w:tcPr/>
          <w:p>
            <w:pPr>
              <w:pStyle w:val="Compact"/>
              <w:jc w:val="left"/>
            </w:pPr>
            <w:r>
              <w:t xml:space="preserve">66.19</w:t>
            </w:r>
          </w:p>
        </w:tc>
        <w:tc>
          <w:tcPr/>
          <w:p>
            <w:pPr>
              <w:pStyle w:val="Compact"/>
              <w:jc w:val="left"/>
            </w:pPr>
            <w:r>
              <w:t xml:space="preserve">58.70</w:t>
            </w:r>
          </w:p>
        </w:tc>
      </w:tr>
    </w:tbl>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2026-06-08T16:40:47Z</dcterms:created>
  <dcterms:modified xsi:type="dcterms:W3CDTF">2026-06-08T16:40:47Z</dcterms:modified>
</cp:coreProperties>
</file>

<file path=docProps/custom.xml><?xml version="1.0" encoding="utf-8"?>
<Properties xmlns="http://schemas.openxmlformats.org/officeDocument/2006/custom-properties" xmlns:vt="http://schemas.openxmlformats.org/officeDocument/2006/docPropsVTypes"/>
</file>