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rFonts w:ascii="ＭＳ Ｐ明朝" w:eastAsia="ＭＳ Ｐ明朝"/>
        </w:rPr>
        <w:t xml:space="preserve">㌻㌻㌻㌻㌻㌻㌻㌻㌻㌻㌻㌻㌻㌻㌻㌻㌻㌻㌻㌻</w:t>
      </w:r>
    </w:p>
    <w:p>
      <w:pPr>
        <w:jc w:val="left"/>
      </w:pPr>
      <w:r>
        <w:rPr>
          <w:rFonts w:ascii="ＭＳ 明朝" w:eastAsia="ＭＳ 明朝" w:hAnsi="ＭＳ 明朝" w:hint="eastAsia"/>
        </w:rPr>
        <w:t xml:space="preserve">END</w:t>
      </w:r>
    </w:p>
    <w:sectPr>
      <w:pgSz w:w="11906" w:h="16838"/>
      <w:pgMar w:top="1418" w:right="1021" w:bottom="1134" w:left="1021" w:header="851" w:footer="992" w:gutter="0"/>
      <w:cols w:space="425"/>
      <w:docGrid w:type="linesAndChars" w:linePitch="411" w:charSpace="3042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22"/>
        <w:szCs w:val="22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