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明朝" w:eastAsia="ＭＳ 明朝" w:hAnsi="ＭＳ 明朝" w:hint="eastAsia"/>
          <w:w w:val="80"/>
        </w:rPr>
        <w:t xml:space="preserve">母子家庭及父子家庭高等職業訓練促進給付金等事業母子家庭及父子</w:t>
      </w:r>
    </w:p>
    <w:p>
      <w:pPr>
        <w:jc w:val="left"/>
      </w:pPr>
      <w:r>
        <w:rPr>
          <w:rFonts w:ascii="ＭＳ 明朝" w:eastAsia="ＭＳ 明朝" w:hAnsi="ＭＳ 明朝" w:hint="eastAsia"/>
        </w:rPr>
        <w:t xml:space="preserve">END</w:t>
      </w:r>
    </w:p>
    <w:sectPr>
      <w:pgSz w:w="11906" w:h="16838"/>
      <w:pgMar w:top="1418" w:right="1021" w:bottom="1134" w:left="1021"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