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B0AF1" w14:textId="7921C1D4" w:rsidR="005A5694" w:rsidRPr="005A5694" w:rsidRDefault="005A5694" w:rsidP="00BC4320">
      <w:pPr>
        <w:spacing w:line="276" w:lineRule="auto"/>
        <w:jc w:val="center"/>
        <w:rPr>
          <w:rFonts w:ascii="Times New Roman" w:hAnsi="Times New Roman" w:cs="Times New Roman"/>
          <w:b/>
          <w:bCs/>
        </w:rPr>
      </w:pPr>
      <w:r w:rsidRPr="005A5694">
        <w:rPr>
          <w:rFonts w:ascii="Times New Roman" w:hAnsi="Times New Roman" w:cs="Times New Roman"/>
          <w:b/>
          <w:bCs/>
        </w:rPr>
        <w:t>Literature Review: Adoption and Innovation Frameworks AI</w:t>
      </w:r>
    </w:p>
    <w:p w14:paraId="02DC1223" w14:textId="5AC02755" w:rsidR="005A5694" w:rsidRPr="005A5694" w:rsidRDefault="005A5694" w:rsidP="00BC4320">
      <w:pPr>
        <w:spacing w:line="276" w:lineRule="auto"/>
        <w:rPr>
          <w:rFonts w:ascii="Times New Roman" w:hAnsi="Times New Roman" w:cs="Times New Roman"/>
        </w:rPr>
      </w:pPr>
      <w:r w:rsidRPr="005A5694">
        <w:rPr>
          <w:rFonts w:ascii="Times New Roman" w:hAnsi="Times New Roman" w:cs="Times New Roman"/>
        </w:rPr>
        <w:t>The study of artificial intelligence (AI) adoption has gained momentum over the past few years, and it has been informed by a variety of theoretical frameworks aimed at describing the ways in which organizations, as part of their acceptance, integration, and benefits, embrace AI technologies. The Technology Organization Environment (TOE) framework, Diffusion of Innovations (DOI), and technology acceptance theories like TAM and UTAUT are some of the central frameworks used in reference.</w:t>
      </w:r>
    </w:p>
    <w:p w14:paraId="3E0CB2D5" w14:textId="563C1A0C" w:rsidR="005A5694" w:rsidRPr="005A5694" w:rsidRDefault="005A5694" w:rsidP="00BC4320">
      <w:pPr>
        <w:spacing w:line="276" w:lineRule="auto"/>
        <w:rPr>
          <w:rFonts w:ascii="Times New Roman" w:hAnsi="Times New Roman" w:cs="Times New Roman"/>
        </w:rPr>
      </w:pPr>
      <w:r w:rsidRPr="005A5694">
        <w:rPr>
          <w:rFonts w:ascii="Times New Roman" w:hAnsi="Times New Roman" w:cs="Times New Roman"/>
        </w:rPr>
        <w:t>The TOE framework is one of the frameworks that the literature bases the adoption of AI on, as it places AI adoption in technological, organizational, and environmental environments. Sanches (2025) employed an integrated TOEDOI lens to examine the adoption of AI among small and medium-sized enterprises (SMEs) and discovered that both readiness to adopt and the result of innovation (e.g. digital transformation pressures) depend on the context of the sector. It is an integration that aids in expanding theoretical knowledge past one-theory explanations (Sanchez, 2025; Buana et al., 2025).</w:t>
      </w:r>
    </w:p>
    <w:p w14:paraId="08356E2C" w14:textId="77777777" w:rsidR="005A5694" w:rsidRPr="005A5694" w:rsidRDefault="005A5694" w:rsidP="00BC4320">
      <w:pPr>
        <w:spacing w:line="276" w:lineRule="auto"/>
        <w:rPr>
          <w:rFonts w:ascii="Times New Roman" w:hAnsi="Times New Roman" w:cs="Times New Roman"/>
        </w:rPr>
      </w:pPr>
      <w:r w:rsidRPr="005A5694">
        <w:rPr>
          <w:rFonts w:ascii="Times New Roman" w:hAnsi="Times New Roman" w:cs="Times New Roman"/>
        </w:rPr>
        <w:t xml:space="preserve">Along with models at the organizational level, research examines wider sociotechnical and behavioral aspects. As an example, </w:t>
      </w:r>
      <w:proofErr w:type="spellStart"/>
      <w:r w:rsidRPr="005A5694">
        <w:rPr>
          <w:rFonts w:ascii="Times New Roman" w:hAnsi="Times New Roman" w:cs="Times New Roman"/>
        </w:rPr>
        <w:t>Tursunbayeva</w:t>
      </w:r>
      <w:proofErr w:type="spellEnd"/>
      <w:r w:rsidRPr="005A5694">
        <w:rPr>
          <w:rFonts w:ascii="Times New Roman" w:hAnsi="Times New Roman" w:cs="Times New Roman"/>
        </w:rPr>
        <w:t xml:space="preserve"> (2024) suggested a strategic approach, which focuses on the sociotechnical elements (including technology affordances and managerial preparedness) and emphasizes the interdependence of human, organizational, and technical systems in the successful implementation of AI. This viewpoint takes research beyond mere adoption measures to encompass innovation potential and strategic alignment.</w:t>
      </w:r>
    </w:p>
    <w:p w14:paraId="5B17C4DB" w14:textId="3E6AB949" w:rsidR="005A5694" w:rsidRPr="005A5694" w:rsidRDefault="005A5694" w:rsidP="00BC4320">
      <w:pPr>
        <w:spacing w:line="276" w:lineRule="auto"/>
        <w:rPr>
          <w:rFonts w:ascii="Times New Roman" w:hAnsi="Times New Roman" w:cs="Times New Roman"/>
        </w:rPr>
      </w:pPr>
      <w:r w:rsidRPr="005A5694">
        <w:rPr>
          <w:rFonts w:ascii="Times New Roman" w:hAnsi="Times New Roman" w:cs="Times New Roman"/>
        </w:rPr>
        <w:t>Other studies emphasize the combination of user-centered theories such as UTAUT and TAM in order to address individual-level factors influencing AI acceptance. Rana (2024) used UTAUT to explain the adoption behavior of AI in the academic setting with the highlights of performance expectancy and social influence as the main predictors of AI adoption intention, especially where the issues of trust and privacy are involved in the choice of technology utilization. This supports the interaction of individual perceptions with organizational drivers to influence adoption paths.</w:t>
      </w:r>
    </w:p>
    <w:p w14:paraId="0EF96329" w14:textId="722E2E1A" w:rsidR="005A5694" w:rsidRPr="005A5694" w:rsidRDefault="005A5694" w:rsidP="00BC4320">
      <w:pPr>
        <w:spacing w:line="276" w:lineRule="auto"/>
        <w:rPr>
          <w:rFonts w:ascii="Times New Roman" w:hAnsi="Times New Roman" w:cs="Times New Roman"/>
        </w:rPr>
      </w:pPr>
      <w:r w:rsidRPr="005A5694">
        <w:rPr>
          <w:rFonts w:ascii="Times New Roman" w:hAnsi="Times New Roman" w:cs="Times New Roman"/>
        </w:rPr>
        <w:t>Lastly, there is the emergence of conceptual frameworks that focus on conceptual integration domain specificity. To illustrate, Fitriani et al. (2025) formulated an AI adoption framework in accordance with the business architecture principles, which portrays that AI integration necessitates alignment of organizational capabilities, information systems and strategic goals. These frameworks acknowledge the fact that AI adoption is a multi-dimensional endeavor that needs cross-functional integration within a firm that has undertaken an innovation strategy.</w:t>
      </w:r>
    </w:p>
    <w:p w14:paraId="4AB181B3" w14:textId="442EE60B" w:rsidR="005A5694" w:rsidRPr="005A5694" w:rsidRDefault="005A5694" w:rsidP="00BC4320">
      <w:pPr>
        <w:spacing w:line="276" w:lineRule="auto"/>
        <w:rPr>
          <w:rFonts w:ascii="Times New Roman" w:hAnsi="Times New Roman" w:cs="Times New Roman"/>
        </w:rPr>
      </w:pPr>
      <w:r w:rsidRPr="005A5694">
        <w:rPr>
          <w:rFonts w:ascii="Times New Roman" w:hAnsi="Times New Roman" w:cs="Times New Roman"/>
        </w:rPr>
        <w:t>All in all, the literature implies that multi-theoretical and integrative models, including organizational, technological, individual, and environmental, offer the most detailed explanations of the process of adoption and innovation of AI. These frameworks assist scholars and practitioners to realize why AI is adopted, but how the adoption can transform performance, change, and long-term innovation results across setting</w:t>
      </w:r>
    </w:p>
    <w:p w14:paraId="4D6473B1" w14:textId="77777777" w:rsidR="005A5694" w:rsidRPr="005A5694" w:rsidRDefault="005A5694" w:rsidP="00BC4320">
      <w:pPr>
        <w:spacing w:line="276" w:lineRule="auto"/>
        <w:rPr>
          <w:rFonts w:ascii="Times New Roman" w:hAnsi="Times New Roman" w:cs="Times New Roman"/>
        </w:rPr>
      </w:pPr>
    </w:p>
    <w:p w14:paraId="5E16E749" w14:textId="0862D8E7" w:rsidR="005A5694" w:rsidRPr="005A5694" w:rsidRDefault="005A5694" w:rsidP="00BC4320">
      <w:pPr>
        <w:spacing w:line="276" w:lineRule="auto"/>
        <w:jc w:val="center"/>
        <w:rPr>
          <w:rFonts w:ascii="Times New Roman" w:hAnsi="Times New Roman" w:cs="Times New Roman"/>
          <w:b/>
          <w:bCs/>
          <w:lang w:val="es-ES"/>
        </w:rPr>
      </w:pPr>
      <w:proofErr w:type="spellStart"/>
      <w:r w:rsidRPr="005A5694">
        <w:rPr>
          <w:rFonts w:ascii="Times New Roman" w:hAnsi="Times New Roman" w:cs="Times New Roman"/>
          <w:b/>
          <w:bCs/>
          <w:lang w:val="es-ES"/>
        </w:rPr>
        <w:t>References</w:t>
      </w:r>
      <w:proofErr w:type="spellEnd"/>
    </w:p>
    <w:p w14:paraId="2FB3D475" w14:textId="77777777" w:rsidR="005A5694" w:rsidRPr="005A5694" w:rsidRDefault="005A5694" w:rsidP="00BC4320">
      <w:pPr>
        <w:spacing w:line="276" w:lineRule="auto"/>
        <w:rPr>
          <w:rFonts w:ascii="Times New Roman" w:hAnsi="Times New Roman" w:cs="Times New Roman"/>
          <w:lang w:val="fr-FR"/>
        </w:rPr>
      </w:pPr>
      <w:r w:rsidRPr="005A5694">
        <w:rPr>
          <w:rFonts w:ascii="Times New Roman" w:hAnsi="Times New Roman" w:cs="Times New Roman"/>
          <w:lang w:val="es-ES"/>
        </w:rPr>
        <w:t xml:space="preserve">Buana, S. M., </w:t>
      </w:r>
      <w:proofErr w:type="spellStart"/>
      <w:r w:rsidRPr="005A5694">
        <w:rPr>
          <w:rFonts w:ascii="Times New Roman" w:hAnsi="Times New Roman" w:cs="Times New Roman"/>
          <w:lang w:val="es-ES"/>
        </w:rPr>
        <w:t>Susetyono</w:t>
      </w:r>
      <w:proofErr w:type="spellEnd"/>
      <w:r w:rsidRPr="005A5694">
        <w:rPr>
          <w:rFonts w:ascii="Times New Roman" w:hAnsi="Times New Roman" w:cs="Times New Roman"/>
          <w:lang w:val="es-ES"/>
        </w:rPr>
        <w:t xml:space="preserve">, E., </w:t>
      </w:r>
      <w:proofErr w:type="spellStart"/>
      <w:r w:rsidRPr="005A5694">
        <w:rPr>
          <w:rFonts w:ascii="Times New Roman" w:hAnsi="Times New Roman" w:cs="Times New Roman"/>
          <w:lang w:val="es-ES"/>
        </w:rPr>
        <w:t>Adiwijaya</w:t>
      </w:r>
      <w:proofErr w:type="spellEnd"/>
      <w:r w:rsidRPr="005A5694">
        <w:rPr>
          <w:rFonts w:ascii="Times New Roman" w:hAnsi="Times New Roman" w:cs="Times New Roman"/>
          <w:lang w:val="es-ES"/>
        </w:rPr>
        <w:t xml:space="preserve">, A., Madani, M., &amp; Kareem, Y. M. (2025). </w:t>
      </w:r>
      <w:r w:rsidRPr="005A5694">
        <w:rPr>
          <w:rFonts w:ascii="Times New Roman" w:hAnsi="Times New Roman" w:cs="Times New Roman"/>
          <w:i/>
          <w:iCs/>
        </w:rPr>
        <w:t>AI adoption barriers in SMEs analyzed through the Technology–Organization–Environment (TOE) framework</w:t>
      </w:r>
      <w:r w:rsidRPr="005A5694">
        <w:rPr>
          <w:rFonts w:ascii="Times New Roman" w:hAnsi="Times New Roman" w:cs="Times New Roman"/>
        </w:rPr>
        <w:t xml:space="preserve">. </w:t>
      </w:r>
      <w:hyperlink r:id="rId4" w:tgtFrame="_new" w:history="1">
        <w:r w:rsidRPr="005A5694">
          <w:rPr>
            <w:rStyle w:val="Hyperlink"/>
            <w:rFonts w:ascii="Times New Roman" w:hAnsi="Times New Roman" w:cs="Times New Roman"/>
            <w:lang w:val="fr-FR"/>
          </w:rPr>
          <w:t>https://ijc.ilearning.co/index.php/ATM/article/view/2537</w:t>
        </w:r>
      </w:hyperlink>
    </w:p>
    <w:p w14:paraId="20EA466D" w14:textId="77777777" w:rsidR="005A5694" w:rsidRPr="005A5694" w:rsidRDefault="005A5694" w:rsidP="00BC4320">
      <w:pPr>
        <w:spacing w:line="276" w:lineRule="auto"/>
        <w:rPr>
          <w:rFonts w:ascii="Times New Roman" w:hAnsi="Times New Roman" w:cs="Times New Roman"/>
        </w:rPr>
      </w:pPr>
      <w:r w:rsidRPr="005A5694">
        <w:rPr>
          <w:rFonts w:ascii="Times New Roman" w:hAnsi="Times New Roman" w:cs="Times New Roman"/>
          <w:lang w:val="fr-FR"/>
        </w:rPr>
        <w:t xml:space="preserve">Fitriani, L., </w:t>
      </w:r>
      <w:proofErr w:type="spellStart"/>
      <w:r w:rsidRPr="005A5694">
        <w:rPr>
          <w:rFonts w:ascii="Times New Roman" w:hAnsi="Times New Roman" w:cs="Times New Roman"/>
          <w:lang w:val="fr-FR"/>
        </w:rPr>
        <w:t>Khodra</w:t>
      </w:r>
      <w:proofErr w:type="spellEnd"/>
      <w:r w:rsidRPr="005A5694">
        <w:rPr>
          <w:rFonts w:ascii="Times New Roman" w:hAnsi="Times New Roman" w:cs="Times New Roman"/>
          <w:lang w:val="fr-FR"/>
        </w:rPr>
        <w:t xml:space="preserve">, M. L., &amp; </w:t>
      </w:r>
      <w:proofErr w:type="spellStart"/>
      <w:r w:rsidRPr="005A5694">
        <w:rPr>
          <w:rFonts w:ascii="Times New Roman" w:hAnsi="Times New Roman" w:cs="Times New Roman"/>
          <w:lang w:val="fr-FR"/>
        </w:rPr>
        <w:t>Surendro</w:t>
      </w:r>
      <w:proofErr w:type="spellEnd"/>
      <w:r w:rsidRPr="005A5694">
        <w:rPr>
          <w:rFonts w:ascii="Times New Roman" w:hAnsi="Times New Roman" w:cs="Times New Roman"/>
          <w:lang w:val="fr-FR"/>
        </w:rPr>
        <w:t xml:space="preserve">, K. (2025). </w:t>
      </w:r>
      <w:r w:rsidRPr="005A5694">
        <w:rPr>
          <w:rFonts w:ascii="Times New Roman" w:hAnsi="Times New Roman" w:cs="Times New Roman"/>
          <w:i/>
          <w:iCs/>
        </w:rPr>
        <w:t>A conceptual framework for AI adoption in business architecture with case studies in higher education and government</w:t>
      </w:r>
      <w:r w:rsidRPr="005A5694">
        <w:rPr>
          <w:rFonts w:ascii="Times New Roman" w:hAnsi="Times New Roman" w:cs="Times New Roman"/>
        </w:rPr>
        <w:t xml:space="preserve">. Springer. </w:t>
      </w:r>
      <w:hyperlink r:id="rId5" w:tgtFrame="_new" w:history="1">
        <w:r w:rsidRPr="005A5694">
          <w:rPr>
            <w:rStyle w:val="Hyperlink"/>
            <w:rFonts w:ascii="Times New Roman" w:hAnsi="Times New Roman" w:cs="Times New Roman"/>
          </w:rPr>
          <w:t>https://link.springer.com/article/10.1007/s44163-025-00673-3</w:t>
        </w:r>
      </w:hyperlink>
    </w:p>
    <w:p w14:paraId="569C86BB" w14:textId="77777777" w:rsidR="005A5694" w:rsidRPr="005A5694" w:rsidRDefault="005A5694" w:rsidP="00BC4320">
      <w:pPr>
        <w:spacing w:line="276" w:lineRule="auto"/>
        <w:rPr>
          <w:rFonts w:ascii="Times New Roman" w:hAnsi="Times New Roman" w:cs="Times New Roman"/>
        </w:rPr>
      </w:pPr>
      <w:r w:rsidRPr="005A5694">
        <w:rPr>
          <w:rFonts w:ascii="Times New Roman" w:hAnsi="Times New Roman" w:cs="Times New Roman"/>
        </w:rPr>
        <w:t xml:space="preserve">Rana, M. M. (2024). </w:t>
      </w:r>
      <w:r w:rsidRPr="005A5694">
        <w:rPr>
          <w:rFonts w:ascii="Times New Roman" w:hAnsi="Times New Roman" w:cs="Times New Roman"/>
          <w:i/>
          <w:iCs/>
        </w:rPr>
        <w:t>Assessing AI adoption in developing country academia using UTAUT</w:t>
      </w:r>
      <w:r w:rsidRPr="005A5694">
        <w:rPr>
          <w:rFonts w:ascii="Times New Roman" w:hAnsi="Times New Roman" w:cs="Times New Roman"/>
        </w:rPr>
        <w:t xml:space="preserve">. ScienceDirect. </w:t>
      </w:r>
      <w:hyperlink r:id="rId6" w:tgtFrame="_new" w:history="1">
        <w:r w:rsidRPr="005A5694">
          <w:rPr>
            <w:rStyle w:val="Hyperlink"/>
            <w:rFonts w:ascii="Times New Roman" w:hAnsi="Times New Roman" w:cs="Times New Roman"/>
          </w:rPr>
          <w:t>https://www.sciencedirect.com/science/article/pii/S2405844024136006</w:t>
        </w:r>
      </w:hyperlink>
    </w:p>
    <w:p w14:paraId="4DE9AA8B" w14:textId="77777777" w:rsidR="005A5694" w:rsidRPr="005A5694" w:rsidRDefault="005A5694" w:rsidP="00BC4320">
      <w:pPr>
        <w:spacing w:line="276" w:lineRule="auto"/>
        <w:rPr>
          <w:rFonts w:ascii="Times New Roman" w:hAnsi="Times New Roman" w:cs="Times New Roman"/>
        </w:rPr>
      </w:pPr>
      <w:r w:rsidRPr="005A5694">
        <w:rPr>
          <w:rFonts w:ascii="Times New Roman" w:hAnsi="Times New Roman" w:cs="Times New Roman"/>
        </w:rPr>
        <w:t xml:space="preserve">Sánchez, E. (2025). </w:t>
      </w:r>
      <w:r w:rsidRPr="005A5694">
        <w:rPr>
          <w:rFonts w:ascii="Times New Roman" w:hAnsi="Times New Roman" w:cs="Times New Roman"/>
          <w:i/>
          <w:iCs/>
        </w:rPr>
        <w:t>Artificial Intelligence Adoption in SMEs: Survey based on the TOE–DOI framework</w:t>
      </w:r>
      <w:r w:rsidRPr="005A5694">
        <w:rPr>
          <w:rFonts w:ascii="Times New Roman" w:hAnsi="Times New Roman" w:cs="Times New Roman"/>
        </w:rPr>
        <w:t xml:space="preserve">. MDPI. </w:t>
      </w:r>
      <w:hyperlink r:id="rId7" w:tgtFrame="_new" w:history="1">
        <w:r w:rsidRPr="005A5694">
          <w:rPr>
            <w:rStyle w:val="Hyperlink"/>
            <w:rFonts w:ascii="Times New Roman" w:hAnsi="Times New Roman" w:cs="Times New Roman"/>
          </w:rPr>
          <w:t>https://www.mdpi.com/2076-3417/15/12/6465</w:t>
        </w:r>
      </w:hyperlink>
    </w:p>
    <w:p w14:paraId="184084F1" w14:textId="77777777" w:rsidR="005A5694" w:rsidRPr="005A5694" w:rsidRDefault="005A5694" w:rsidP="00BC4320">
      <w:pPr>
        <w:spacing w:line="276" w:lineRule="auto"/>
        <w:rPr>
          <w:rFonts w:ascii="Times New Roman" w:hAnsi="Times New Roman" w:cs="Times New Roman"/>
        </w:rPr>
      </w:pPr>
      <w:proofErr w:type="spellStart"/>
      <w:r w:rsidRPr="005A5694">
        <w:rPr>
          <w:rFonts w:ascii="Times New Roman" w:hAnsi="Times New Roman" w:cs="Times New Roman"/>
        </w:rPr>
        <w:t>Tursunbayeva</w:t>
      </w:r>
      <w:proofErr w:type="spellEnd"/>
      <w:r w:rsidRPr="005A5694">
        <w:rPr>
          <w:rFonts w:ascii="Times New Roman" w:hAnsi="Times New Roman" w:cs="Times New Roman"/>
        </w:rPr>
        <w:t xml:space="preserve">, A. (2024). </w:t>
      </w:r>
      <w:r w:rsidRPr="005A5694">
        <w:rPr>
          <w:rFonts w:ascii="Times New Roman" w:hAnsi="Times New Roman" w:cs="Times New Roman"/>
          <w:i/>
          <w:iCs/>
        </w:rPr>
        <w:t>Adoption of artificial intelligence: A TOE framework-based approach</w:t>
      </w:r>
      <w:r w:rsidRPr="005A5694">
        <w:rPr>
          <w:rFonts w:ascii="Times New Roman" w:hAnsi="Times New Roman" w:cs="Times New Roman"/>
        </w:rPr>
        <w:t xml:space="preserve">. ScienceDirect. </w:t>
      </w:r>
      <w:hyperlink r:id="rId8" w:tgtFrame="_new" w:history="1">
        <w:r w:rsidRPr="005A5694">
          <w:rPr>
            <w:rStyle w:val="Hyperlink"/>
            <w:rFonts w:ascii="Times New Roman" w:hAnsi="Times New Roman" w:cs="Times New Roman"/>
          </w:rPr>
          <w:t>https://www.sciencedirect.com/science/article/pii/S000768132400051X</w:t>
        </w:r>
      </w:hyperlink>
    </w:p>
    <w:p w14:paraId="4AE06579" w14:textId="77777777" w:rsidR="005A5694" w:rsidRPr="005A5694" w:rsidRDefault="005A5694" w:rsidP="00BC4320">
      <w:pPr>
        <w:spacing w:line="276" w:lineRule="auto"/>
        <w:rPr>
          <w:rFonts w:ascii="Times New Roman" w:hAnsi="Times New Roman" w:cs="Times New Roman"/>
        </w:rPr>
      </w:pPr>
    </w:p>
    <w:sectPr w:rsidR="005A5694" w:rsidRPr="005A5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94"/>
    <w:rsid w:val="00013776"/>
    <w:rsid w:val="00450BAC"/>
    <w:rsid w:val="005A5694"/>
    <w:rsid w:val="007453A0"/>
    <w:rsid w:val="009C7DA4"/>
    <w:rsid w:val="00BC23E7"/>
    <w:rsid w:val="00BC4320"/>
    <w:rsid w:val="00C82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CA03"/>
  <w15:chartTrackingRefBased/>
  <w15:docId w15:val="{D38C7F1B-CE96-4D0C-90FF-256197DB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694"/>
    <w:rPr>
      <w:rFonts w:eastAsiaTheme="majorEastAsia" w:cstheme="majorBidi"/>
      <w:color w:val="272727" w:themeColor="text1" w:themeTint="D8"/>
    </w:rPr>
  </w:style>
  <w:style w:type="paragraph" w:styleId="Title">
    <w:name w:val="Title"/>
    <w:basedOn w:val="Normal"/>
    <w:next w:val="Normal"/>
    <w:link w:val="TitleChar"/>
    <w:uiPriority w:val="10"/>
    <w:qFormat/>
    <w:rsid w:val="005A5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694"/>
    <w:pPr>
      <w:spacing w:before="160"/>
      <w:jc w:val="center"/>
    </w:pPr>
    <w:rPr>
      <w:i/>
      <w:iCs/>
      <w:color w:val="404040" w:themeColor="text1" w:themeTint="BF"/>
    </w:rPr>
  </w:style>
  <w:style w:type="character" w:customStyle="1" w:styleId="QuoteChar">
    <w:name w:val="Quote Char"/>
    <w:basedOn w:val="DefaultParagraphFont"/>
    <w:link w:val="Quote"/>
    <w:uiPriority w:val="29"/>
    <w:rsid w:val="005A5694"/>
    <w:rPr>
      <w:i/>
      <w:iCs/>
      <w:color w:val="404040" w:themeColor="text1" w:themeTint="BF"/>
    </w:rPr>
  </w:style>
  <w:style w:type="paragraph" w:styleId="ListParagraph">
    <w:name w:val="List Paragraph"/>
    <w:basedOn w:val="Normal"/>
    <w:uiPriority w:val="34"/>
    <w:qFormat/>
    <w:rsid w:val="005A5694"/>
    <w:pPr>
      <w:ind w:left="720"/>
      <w:contextualSpacing/>
    </w:pPr>
  </w:style>
  <w:style w:type="character" w:styleId="IntenseEmphasis">
    <w:name w:val="Intense Emphasis"/>
    <w:basedOn w:val="DefaultParagraphFont"/>
    <w:uiPriority w:val="21"/>
    <w:qFormat/>
    <w:rsid w:val="005A5694"/>
    <w:rPr>
      <w:i/>
      <w:iCs/>
      <w:color w:val="0F4761" w:themeColor="accent1" w:themeShade="BF"/>
    </w:rPr>
  </w:style>
  <w:style w:type="paragraph" w:styleId="IntenseQuote">
    <w:name w:val="Intense Quote"/>
    <w:basedOn w:val="Normal"/>
    <w:next w:val="Normal"/>
    <w:link w:val="IntenseQuoteChar"/>
    <w:uiPriority w:val="30"/>
    <w:qFormat/>
    <w:rsid w:val="005A5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694"/>
    <w:rPr>
      <w:i/>
      <w:iCs/>
      <w:color w:val="0F4761" w:themeColor="accent1" w:themeShade="BF"/>
    </w:rPr>
  </w:style>
  <w:style w:type="character" w:styleId="IntenseReference">
    <w:name w:val="Intense Reference"/>
    <w:basedOn w:val="DefaultParagraphFont"/>
    <w:uiPriority w:val="32"/>
    <w:qFormat/>
    <w:rsid w:val="005A5694"/>
    <w:rPr>
      <w:b/>
      <w:bCs/>
      <w:smallCaps/>
      <w:color w:val="0F4761" w:themeColor="accent1" w:themeShade="BF"/>
      <w:spacing w:val="5"/>
    </w:rPr>
  </w:style>
  <w:style w:type="character" w:styleId="Hyperlink">
    <w:name w:val="Hyperlink"/>
    <w:basedOn w:val="DefaultParagraphFont"/>
    <w:uiPriority w:val="99"/>
    <w:unhideWhenUsed/>
    <w:rsid w:val="005A5694"/>
    <w:rPr>
      <w:color w:val="467886" w:themeColor="hyperlink"/>
      <w:u w:val="single"/>
    </w:rPr>
  </w:style>
  <w:style w:type="character" w:styleId="UnresolvedMention">
    <w:name w:val="Unresolved Mention"/>
    <w:basedOn w:val="DefaultParagraphFont"/>
    <w:uiPriority w:val="99"/>
    <w:semiHidden/>
    <w:unhideWhenUsed/>
    <w:rsid w:val="005A56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0768132400051X?utm_source=chatgpt.com" TargetMode="External"/><Relationship Id="rId3" Type="http://schemas.openxmlformats.org/officeDocument/2006/relationships/webSettings" Target="webSettings.xml"/><Relationship Id="rId7" Type="http://schemas.openxmlformats.org/officeDocument/2006/relationships/hyperlink" Target="https://www.mdpi.com/2076-3417/15/12/6465?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cedirect.com/science/article/pii/S2405844024136006?utm_source=chatgpt.com" TargetMode="External"/><Relationship Id="rId5" Type="http://schemas.openxmlformats.org/officeDocument/2006/relationships/hyperlink" Target="https://link.springer.com/article/10.1007/s44163-025-00673-3?utm_source=chatgpt.com" TargetMode="External"/><Relationship Id="rId10" Type="http://schemas.openxmlformats.org/officeDocument/2006/relationships/theme" Target="theme/theme1.xml"/><Relationship Id="rId4" Type="http://schemas.openxmlformats.org/officeDocument/2006/relationships/hyperlink" Target="https://ijc.ilearning.co/index.php/ATM/article/view/2537?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Majedul</dc:creator>
  <cp:keywords/>
  <dc:description/>
  <cp:lastModifiedBy>Meriya Budhathoki</cp:lastModifiedBy>
  <cp:revision>2</cp:revision>
  <dcterms:created xsi:type="dcterms:W3CDTF">2026-04-18T16:27:00Z</dcterms:created>
  <dcterms:modified xsi:type="dcterms:W3CDTF">2026-04-18T16:27:00Z</dcterms:modified>
</cp:coreProperties>
</file>