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BF464">
      <w:pPr>
        <w:pStyle w:val="16"/>
        <w:jc w:val="left"/>
        <w:rPr>
          <w:rFonts w:hint="eastAsia"/>
        </w:rPr>
      </w:pPr>
      <w:r>
        <w:rPr>
          <w:rFonts w:hint="eastAsia"/>
        </w:rPr>
        <w:t>20260511-雪球股票Day1</w:t>
      </w:r>
    </w:p>
    <w:p w14:paraId="67F55631">
      <w:pPr>
        <w:jc w:val="left"/>
      </w:pPr>
    </w:p>
    <w:p w14:paraId="44E11A97">
      <w:pPr>
        <w:snapToGrid/>
        <w:spacing w:line="240" w:lineRule="auto"/>
      </w:pPr>
      <w:r>
        <w:rPr>
          <w:b/>
          <w:i w:val="0"/>
          <w:strike w:val="0"/>
          <w:color w:val="000000"/>
          <w:u w:val="none"/>
        </w:rPr>
        <w:t>20260511</w:t>
      </w:r>
      <w:r>
        <w:rPr>
          <w:i w:val="0"/>
          <w:strike w:val="0"/>
          <w:color w:val="000000"/>
          <w:u w:val="none"/>
        </w:rPr>
        <w:t>【</w:t>
      </w:r>
      <w:r>
        <w:rPr>
          <w:i w:val="0"/>
          <w:strike w:val="0"/>
          <w:color w:val="FF0000"/>
          <w:u w:val="none"/>
        </w:rPr>
        <w:t>如何从宏观数据中挖掘投资机会</w:t>
      </w:r>
      <w:r>
        <w:rPr>
          <w:i w:val="0"/>
          <w:strike w:val="0"/>
          <w:color w:val="000000"/>
          <w:u w:val="none"/>
        </w:rPr>
        <w:t>】</w:t>
      </w:r>
    </w:p>
    <w:p w14:paraId="6A135DB6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职业投资人、长雪全天候的基金经理</w:t>
      </w:r>
      <w:r>
        <w:rPr>
          <w:i w:val="0"/>
          <w:strike w:val="0"/>
          <w:color w:val="FF0000"/>
          <w:u w:val="none"/>
        </w:rPr>
        <w:t>杨鑫斌</w:t>
      </w:r>
      <w:r>
        <w:rPr>
          <w:i w:val="0"/>
          <w:strike w:val="0"/>
          <w:color w:val="000000"/>
          <w:u w:val="none"/>
        </w:rPr>
        <w:t>【如何通过M1\M2\社融的变化判断市场的景气度？】</w:t>
      </w:r>
    </w:p>
    <w:p w14:paraId="10C0381A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历史长河中，我们只是沧海一粟，勿以市场涨跌而喜悲！</w:t>
      </w:r>
    </w:p>
    <w:p w14:paraId="0721F8C3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1、历史是教科书，为历史考卷；</w:t>
      </w:r>
    </w:p>
    <w:p w14:paraId="69441D57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2、长期与预期的思维方式！</w:t>
      </w:r>
    </w:p>
    <w:p w14:paraId="509633C5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3、独立思考，知行合一！</w:t>
      </w:r>
    </w:p>
    <w:p w14:paraId="41ED72FA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独立思考，知行合一，勿以市场涨跌而喜悲！</w:t>
      </w:r>
    </w:p>
    <w:p w14:paraId="66BA3973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长期战略的正确远比短期战术调整更为关键[强]</w:t>
      </w:r>
    </w:p>
    <w:p w14:paraId="5383CCA4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总结：</w:t>
      </w:r>
    </w:p>
    <w:p w14:paraId="73359F36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1️⃣宏观对市场影响非常明显</w:t>
      </w:r>
    </w:p>
    <w:p w14:paraId="75063B2C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以美股1970-1980滞涨为例，从行业的角度来看，“滞胀”过程中，周期行业受益明显；</w:t>
      </w:r>
    </w:p>
    <w:p w14:paraId="0CA44DB5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“滞胀”结束后，可选消费行业表现更佳。</w:t>
      </w:r>
    </w:p>
    <w:p w14:paraId="0E6A1FCA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2️⃣宏观经济里的领先指标是非常重要的投资参考</w:t>
      </w:r>
    </w:p>
    <w:p w14:paraId="3B8F8388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比如货币金融数据、新开工、库存、PMI、 企业盈利、消费者信心指数等等。</w:t>
      </w:r>
    </w:p>
    <w:p w14:paraId="3B299C6B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以PMI为例，当PMI大于50时，说明经济在扩张；当PMI小于50时，说明经济在收缩。</w:t>
      </w:r>
    </w:p>
    <w:p w14:paraId="5B90FE6C">
      <w:pPr>
        <w:snapToGrid/>
        <w:spacing w:line="240" w:lineRule="auto"/>
      </w:pPr>
      <w:r>
        <w:rPr>
          <w:i w:val="0"/>
          <w:strike w:val="0"/>
          <w:color w:val="000000"/>
          <w:u w:val="none"/>
        </w:rPr>
        <w:t>PMI是目前最受关注的国内经济指标</w:t>
      </w:r>
    </w:p>
    <w:p w14:paraId="77E25215">
      <w:pPr>
        <w:snapToGrid/>
        <w:spacing w:line="240" w:lineRule="auto"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作为制造业大国，如果PMI持续扩张，表明制造业的恢复态势仍在继续，这会直接提升中国资产的吸引力，全球资本流入A股。</w:t>
      </w:r>
    </w:p>
    <w:p w14:paraId="070A7AFD">
      <w:pPr>
        <w:snapToGrid/>
        <w:spacing w:line="240" w:lineRule="auto"/>
        <w:rPr>
          <w:i w:val="0"/>
          <w:strike w:val="0"/>
          <w:color w:val="000000"/>
          <w:u w:val="none"/>
        </w:rPr>
      </w:pPr>
    </w:p>
    <w:p w14:paraId="6DD5A525">
      <w:pPr>
        <w:snapToGrid/>
        <w:spacing w:line="240" w:lineRule="auto"/>
        <w:rPr>
          <w:i w:val="0"/>
          <w:strike w:val="0"/>
          <w:color w:val="000000"/>
          <w:u w:val="none"/>
        </w:rPr>
      </w:pPr>
    </w:p>
    <w:p w14:paraId="6E11A2E3">
      <w:pPr>
        <w:pStyle w:val="4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pacing w:val="0"/>
          <w:w w:val="100"/>
          <w:sz w:val="28"/>
          <w:szCs w:val="28"/>
          <w:vertAlign w:val="baseline"/>
        </w:rPr>
        <w:t>雪球精品课-盘前提醒</w:t>
      </w:r>
    </w:p>
    <w:p w14:paraId="17B9E330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【盘前提醒】来了，每日盘前必读，一文概览热点资讯</w:t>
      </w:r>
    </w:p>
    <w:p w14:paraId="33F3490D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｜重点速递｜</w:t>
      </w:r>
    </w:p>
    <w:p w14:paraId="386A517E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1. 特朗普将访华，外交部确认应习近平邀请于5月13日至15日进行国事访问；</w:t>
      </w:r>
    </w:p>
    <w:p w14:paraId="273F78EC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2. 美伊谈判陷入僵局，特朗普称停火协议"岌岌可危"；</w:t>
      </w:r>
    </w:p>
    <w:p w14:paraId="4CAFBC6E">
      <w:pPr>
        <w:pStyle w:val="15"/>
        <w:keepNext w:val="0"/>
        <w:keepLines w:val="0"/>
        <w:widowControl/>
        <w:numPr>
          <w:ilvl w:val="0"/>
          <w:numId w:val="1"/>
        </w:numPr>
        <w:suppressLineNumbers w:val="0"/>
        <w:spacing w:before="60" w:beforeAutospacing="0" w:after="60" w:afterAutospacing="0"/>
        <w:ind w:left="336" w:right="0" w:hanging="336"/>
        <w:jc w:val="both"/>
      </w:pPr>
      <w:r>
        <w:t xml:space="preserve"> 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中国4月CPI同比上涨1.2%，PPI同比上涨2.8%。</w:t>
      </w:r>
    </w:p>
    <w:p w14:paraId="41604F13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6F1AEDE3">
      <w:pPr>
        <w:pStyle w:val="4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/>
          <w:bCs/>
          <w:i w:val="0"/>
          <w:iCs w:val="0"/>
          <w:color w:val="333333"/>
          <w:spacing w:val="0"/>
          <w:w w:val="100"/>
          <w:sz w:val="28"/>
          <w:szCs w:val="28"/>
          <w:vertAlign w:val="baseline"/>
        </w:rPr>
        <w:t>市场焦点</w:t>
      </w:r>
    </w:p>
    <w:p w14:paraId="31799DA2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/>
          <w:bCs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今天的市场焦点！</w:t>
      </w:r>
    </w:p>
    <w:p w14:paraId="7C7A9178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1、绿电概念反复走强，韶能股份涨停</w:t>
      </w:r>
    </w:p>
    <w:p w14:paraId="5BFE8392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韶能股份直线涨停，大唐发电5连板，银星能源、华电辽能、甘肃能源、晋控电力、立新能源跟涨。消息面上，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国家能源局会同国家发展改革委、工业和信息化部、国家数据局日前印发了《关于促进人工智能与能源双向赋能的行动方案》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。方案指出，要加强算力设施项目布局规划指导，将绿电使用占比作为重要参考指标。</w:t>
      </w:r>
    </w:p>
    <w:p w14:paraId="516A34C1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2、CPO概念反复活跃，德科立大涨续创新高</w:t>
      </w:r>
    </w:p>
    <w:p w14:paraId="10F9F086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德科立涨超10%续创历史新高，剑桥科技、源杰科技、新易盛、光库科技、中际旭创跟涨。消息面上，美股光通信概念股大涨，POET Technologies涨逾26%，应用光电Applied Optoelectronics涨逾24%。</w:t>
      </w:r>
    </w:p>
    <w:p w14:paraId="6B80164A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3、机器人概念逆势活跃，百达精工涨停</w:t>
      </w:r>
    </w:p>
    <w:p w14:paraId="007705C5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百达精工涨停，唯科科技、华瑞股份涨超10%，晋拓股份、万达轴承、中大力德、秦川机床等跟涨。消息面上，据海关统计，今年一季度，我国机器人产业海外市场拓展步伐加快。各类单独列名的“机器人”合计出口额达113.2亿元，一季度我国工业机器人出口达31.6亿元，同比增长42%。</w:t>
      </w:r>
    </w:p>
    <w:p w14:paraId="7F768378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5B9772C1">
      <w:pPr>
        <w:pStyle w:val="4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/>
          <w:bCs/>
          <w:i w:val="0"/>
          <w:iCs w:val="0"/>
          <w:color w:val="333333"/>
          <w:spacing w:val="0"/>
          <w:w w:val="100"/>
          <w:sz w:val="28"/>
          <w:szCs w:val="28"/>
          <w:vertAlign w:val="baseline"/>
        </w:rPr>
        <w:t>算力-&gt;有色</w:t>
      </w:r>
    </w:p>
    <w:p w14:paraId="264C5E37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如果后续算力板块高位震荡或者回调，流出来的钱会去哪里呢？小雪翻了翻盘面，其实有色挺符合“高切低”的审美，位置够低、有群众基础，并且最近的铜价、金价期货走势也不弱。</w:t>
      </w:r>
    </w:p>
    <w:p w14:paraId="3D285B57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经过3月份的调整，有色的风险释放了不少，很多有色股回到相对低位，但有色的逻辑其实还挺硬的，我给大家简单梳理下~</w:t>
      </w:r>
    </w:p>
    <w:p w14:paraId="3270A891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第一，供给跟不上。以前有色的经典周期是“价格上涨→产能扩张→供给释放→价格回落”，目前这个逻辑正在被打破，老矿山品位下降，新矿又难找，再加上全球约束碳排放，供给刚性越来越明显。</w:t>
      </w:r>
    </w:p>
    <w:p w14:paraId="3F815A26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第二，需求代际切换。 以前有色主要看地产基建，周期性强。现在光伏、风电、新能源车这些新兴产业对铜、铝的消耗很大；AI算力的背后是电力，人形机器人也开始落地，这些对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稀土、铜、铝等金属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都形成新增需求。</w:t>
      </w:r>
    </w:p>
    <w:p w14:paraId="77396D9F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第三，就是逆全球化下的战略价值。各国都在抢矿、加税、限出口。供应链不稳，价格易涨难跌。</w:t>
      </w:r>
    </w:p>
    <w:p w14:paraId="5FC6D8F9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所以，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有色的逻辑很简单：低位、供需硬、还有战略溢价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。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不一定马上动，但赔率还不错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。</w:t>
      </w:r>
    </w:p>
    <w:p w14:paraId="2457B9D9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45E234CA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有色板块给大家梳理了几个方向，感兴趣的可以留意下</w:t>
      </w:r>
    </w:p>
    <w:p w14:paraId="2A638801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1、贵金属（黄金、白银）</w:t>
      </w:r>
    </w:p>
    <w:p w14:paraId="6E1259AD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美元信用弱化，全球央行持续购金，加上降息预期，黄金有支撑；白银更特殊，连续五年供需缺口，库存压得很低，光伏银浆的需求又是刚性，弹性比黄金大。</w:t>
      </w:r>
    </w:p>
    <w:p w14:paraId="25FEDA5B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2、工业金属（铜、铝）</w:t>
      </w:r>
    </w:p>
    <w:p w14:paraId="3C3265F2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供给刚性，需求端电网、AI数据中心、新能源车都在吃铜，缺口在拉大；铝类似，国内4500万吨产能天花板锁死，海外中东产能受影响，26年几乎没增量。</w:t>
      </w:r>
    </w:p>
    <w:p w14:paraId="374A8680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3、稀土、小金属</w:t>
      </w:r>
    </w:p>
    <w:p w14:paraId="63C7AFCB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稀土是战略筹码，国内配额难放松，需求端新能源车、风电、人形机器人消耗大。轻稀土看北方稀土，中重稀土看中国稀土。</w:t>
      </w:r>
    </w:p>
    <w:p w14:paraId="78FB3890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4、能源金属（锂、钴）</w:t>
      </w:r>
    </w:p>
    <w:p w14:paraId="0A9CD5CA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这个方向主要是博弈周期拐点，需求端有储能、新能源车，供给端有不确定性，比如津巴布韦出口配额、国内锂矿换证等扰动，锂价有持续走强的可能。</w:t>
      </w:r>
    </w:p>
    <w:p w14:paraId="51983ABF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如果个股把握不好，或者不知道怎么选，可以看看相关的ETF，比如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稀有金属ETF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、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有色ETF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，也可以在这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两类ETF的成分股中挖掘下优质个股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。</w:t>
      </w:r>
    </w:p>
    <w:p w14:paraId="3E14E443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58CFAF19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【5月12日大A情报】铜价新高日，关注有色时？</w:t>
      </w:r>
    </w:p>
    <w:p w14:paraId="44F0F818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不知道朋友们关注到没有，其实铜价在昨日已经创下历史新高了，今天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u w:val="single"/>
          <w:vertAlign w:val="baseline"/>
        </w:rPr>
        <w:t>江西铜业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和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u w:val="single"/>
          <w:vertAlign w:val="baseline"/>
        </w:rPr>
        <w:t>洛阳钼业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算是小小表现了一下。</w:t>
      </w:r>
    </w:p>
    <w:p w14:paraId="5293C00D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4月以来科技线可以说是暴力反弹，主要受产业趋势叙事影响，对原油完全脱敏。</w:t>
      </w:r>
    </w:p>
    <w:p w14:paraId="12232D18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但金属始终活在美伊前景不确定的阴霾下，因为油价涨价全球就有加息预期，这样会压制所有大宗商品的价格，这是资金不敢进金属的原因。</w:t>
      </w:r>
    </w:p>
    <w:p w14:paraId="04E63181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但铜价新高展现出的金属供给趋紧的形势没有改变，整个金属板块的基本面还是比较扎实</w:t>
      </w:r>
    </w:p>
    <w:p w14:paraId="783BF0AE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另一方面，今年能走出大行情的板块一般都是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业绩型板块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。</w:t>
      </w:r>
    </w:p>
    <w:p w14:paraId="3D104A99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例如有涨价预期AI硬件相关的玻璃纤维、CPO、覆铜板、存储、GPU、超硬材料、磷化锢等板块均获得50%左右涨幅。</w:t>
      </w:r>
    </w:p>
    <w:p w14:paraId="0AF6938B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金属持续涨价，相关公司的业绩如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u w:val="single"/>
          <w:vertAlign w:val="baseline"/>
        </w:rPr>
        <w:t>紫金矿业、洛阳钼业、江西铜业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等公司的26年业绩不会难看。</w:t>
      </w:r>
    </w:p>
    <w:p w14:paraId="390531BB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因此如果行情扩散，有色金属应该会被看重基本面的大机构大资金选择。</w:t>
      </w:r>
    </w:p>
    <w:p w14:paraId="3E9BEEE6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/>
        </w:rPr>
        <w:t> </w:t>
      </w:r>
    </w:p>
    <w:p w14:paraId="05C77A17">
      <w:pPr>
        <w:pStyle w:val="4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/>
          <w:bCs/>
          <w:i w:val="0"/>
          <w:iCs w:val="0"/>
          <w:color w:val="333333"/>
          <w:spacing w:val="0"/>
          <w:w w:val="100"/>
          <w:sz w:val="28"/>
          <w:szCs w:val="28"/>
          <w:vertAlign w:val="baseline"/>
        </w:rPr>
        <w:t>脱水研报</w:t>
      </w:r>
    </w:p>
    <w:p w14:paraId="66F8A197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脱水研报回答了一个投资者朋友很关心的问题，现在AI链是否到头了？</w:t>
      </w:r>
    </w:p>
    <w:p w14:paraId="30861CB7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连续上涨后市场有消化涨幅的诉求，此时出现一些担忧的声音非常正常。所谓的产业故事相关的担忧，很多都是下个月就会被忘记的担忧。</w:t>
      </w:r>
    </w:p>
    <w:p w14:paraId="7E845CD7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并且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决定行情的不是叙事，而是利率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。历史上美股牛市的终结几乎都来自于加息或者加息预期。</w:t>
      </w:r>
    </w:p>
    <w:p w14:paraId="1C211100">
      <w:pPr>
        <w:pStyle w:val="15"/>
        <w:keepNext w:val="0"/>
        <w:keepLines w:val="0"/>
        <w:widowControl/>
        <w:suppressLineNumbers w:val="0"/>
        <w:spacing w:before="60" w:beforeAutospacing="0" w:after="60" w:afterAutospacing="0"/>
        <w:ind w:left="0" w:right="0"/>
        <w:jc w:val="both"/>
      </w:pP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但是今年美国加息概率极低，在这个宏观背景下，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FF0000"/>
          <w:spacing w:val="0"/>
          <w:w w:val="100"/>
          <w:sz w:val="22"/>
          <w:szCs w:val="22"/>
          <w:vertAlign w:val="baseline"/>
        </w:rPr>
        <w:t>今年投资的一个原则可能就是"任何事件性的利空都是买点"</w:t>
      </w:r>
      <w:r>
        <w:rPr>
          <w:rFonts w:hint="default" w:ascii="微软雅黑" w:hAnsi="微软雅黑" w:eastAsia="微软雅黑" w:cs="微软雅黑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。</w:t>
      </w:r>
    </w:p>
    <w:p w14:paraId="0831ED34">
      <w:pPr>
        <w:snapToGrid/>
        <w:spacing w:line="240" w:lineRule="auto"/>
        <w:rPr>
          <w:i w:val="0"/>
          <w:strike w:val="0"/>
          <w:color w:val="000000"/>
          <w:u w:val="none"/>
        </w:rPr>
      </w:pPr>
      <w:bookmarkStart w:id="0" w:name="_GoBack"/>
      <w:bookmarkEnd w:id="0"/>
    </w:p>
    <w:p w14:paraId="39650C05">
      <w:pPr>
        <w:pBdr>
          <w:bottom w:val="none" w:color="auto" w:sz="0" w:space="0"/>
        </w:pBdr>
        <w:jc w:val="left"/>
      </w:pPr>
    </w:p>
    <w:sectPr>
      <w:pgSz w:w="11906" w:h="16838"/>
      <w:pgMar w:top="1440" w:right="1797" w:bottom="1440" w:left="1797" w:header="851" w:footer="992" w:gutter="0"/>
      <w:cols w:space="0" w:num="1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Monaco">
    <w:panose1 w:val="00000000000000000000"/>
    <w:charset w:val="00"/>
    <w:family w:val="auto"/>
    <w:pitch w:val="default"/>
    <w:sig w:usb0="A00002FF" w:usb1="500039FB" w:usb2="00000000" w:usb3="00000000" w:csb0="20000197" w:csb1="4F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7F1D1C"/>
    <w:multiLevelType w:val="multilevel"/>
    <w:tmpl w:val="177F1D1C"/>
    <w:lvl w:ilvl="0" w:tentative="0">
      <w:start w:val="1"/>
      <w:numFmt w:val="decimal"/>
      <w:lvlText w:val="%1."/>
      <w:lvlJc w:val="left"/>
      <w:pPr>
        <w:ind w:left="720"/>
      </w:pPr>
    </w:lvl>
    <w:lvl w:ilvl="1" w:tentative="0">
      <w:start w:val="1"/>
      <w:numFmt w:val="lowerLetter"/>
      <w:lvlText w:val="%2."/>
      <w:lvlJc w:val="left"/>
      <w:pPr>
        <w:ind w:left="1440"/>
      </w:pPr>
    </w:lvl>
    <w:lvl w:ilvl="2" w:tentative="0">
      <w:start w:val="1"/>
      <w:numFmt w:val="lowerRoman"/>
      <w:lvlText w:val="%3."/>
      <w:lvlJc w:val="left"/>
      <w:pPr>
        <w:ind w:left="2160"/>
      </w:pPr>
    </w:lvl>
    <w:lvl w:ilvl="3" w:tentative="0">
      <w:start w:val="1"/>
      <w:numFmt w:val="decimal"/>
      <w:lvlText w:val="%4."/>
      <w:lvlJc w:val="left"/>
      <w:pPr>
        <w:ind w:left="2880"/>
      </w:pPr>
    </w:lvl>
    <w:lvl w:ilvl="4" w:tentative="0">
      <w:start w:val="1"/>
      <w:numFmt w:val="lowerLetter"/>
      <w:lvlText w:val="%5."/>
      <w:lvlJc w:val="left"/>
      <w:pPr>
        <w:ind w:left="3600"/>
      </w:pPr>
    </w:lvl>
    <w:lvl w:ilvl="5" w:tentative="0">
      <w:start w:val="1"/>
      <w:numFmt w:val="lowerRoman"/>
      <w:lvlText w:val="%6."/>
      <w:lvlJc w:val="left"/>
      <w:pPr>
        <w:ind w:left="4320"/>
      </w:pPr>
    </w:lvl>
    <w:lvl w:ilvl="6" w:tentative="0">
      <w:start w:val="1"/>
      <w:numFmt w:val="decimal"/>
      <w:lvlText w:val="%7."/>
      <w:lvlJc w:val="left"/>
      <w:pPr>
        <w:ind w:left="5040"/>
      </w:pPr>
    </w:lvl>
    <w:lvl w:ilvl="7" w:tentative="0">
      <w:start w:val="1"/>
      <w:numFmt w:val="lowerLetter"/>
      <w:lvlText w:val="%8."/>
      <w:lvlJc w:val="left"/>
      <w:pPr>
        <w:ind w:left="5760"/>
      </w:pPr>
    </w:lvl>
    <w:lvl w:ilvl="8" w:tentative="0">
      <w:start w:val="1"/>
      <w:numFmt w:val="lowerRoman"/>
      <w:lvlText w:val="%9."/>
      <w:lvlJc w:val="left"/>
      <w:pPr>
        <w:ind w:left="6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HorizontalSpacing w:val="220"/>
  <w:drawingGridVerticalSpacing w:val="387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A24D9F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3A8B2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99" w:semiHidden="0" w:name="toc 1"/>
    <w:lsdException w:unhideWhenUsed="0" w:uiPriority="99" w:semiHidden="0" w:name="toc 2"/>
    <w:lsdException w:unhideWhenUsed="0" w:uiPriority="99" w:semiHidden="0" w:name="toc 3"/>
    <w:lsdException w:unhideWhenUsed="0" w:uiPriority="99" w:semiHidden="0" w:name="toc 4"/>
    <w:lsdException w:unhideWhenUsed="0" w:uiPriority="99" w:semiHidden="0" w:name="toc 5"/>
    <w:lsdException w:unhideWhenUsed="0" w:uiPriority="99" w:semiHidden="0" w:name="toc 6"/>
    <w:lsdException w:unhideWhenUsed="0" w:uiPriority="99" w:semiHidden="0" w:name="toc 7"/>
    <w:lsdException w:qFormat="1" w:unhideWhenUsed="0" w:uiPriority="99" w:semiHidden="0" w:name="toc 8"/>
    <w:lsdException w:unhideWhenUsed="0" w:uiPriority="99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99" w:semiHidden="0" w:name="HTML Acronym"/>
    <w:lsdException w:unhideWhenUsed="0" w:uiPriority="99" w:semiHidden="0" w:name="HTML Address"/>
    <w:lsdException w:unhideWhenUsed="0" w:uiPriority="99" w:semiHidden="0" w:name="HTML Cite"/>
    <w:lsdException w:unhideWhenUsed="0" w:uiPriority="99" w:semiHidden="0" w:name="HTML Code"/>
    <w:lsdException w:unhideWhenUsed="0" w:uiPriority="99" w:semiHidden="0" w:name="HTML Definition"/>
    <w:lsdException w:unhideWhenUsed="0" w:uiPriority="99" w:semiHidden="0" w:name="HTML Keyboard"/>
    <w:lsdException w:unhideWhenUsed="0" w:uiPriority="99" w:semiHidden="0" w:name="HTML Preformatted"/>
    <w:lsdException w:unhideWhenUsed="0" w:uiPriority="99" w:semiHidden="0" w:name="HTML Sample"/>
    <w:lsdException w:unhideWhenUsed="0" w:uiPriority="99" w:semiHidden="0" w:name="HTML Typewriter"/>
    <w:lsdException w:unhideWhenUsed="0" w:uiPriority="99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60" w:after="60"/>
      <w:jc w:val="both"/>
    </w:pPr>
    <w:rPr>
      <w:rFonts w:ascii="Arial" w:hAnsi="Arial" w:eastAsia="微软雅黑" w:cs="Arial"/>
      <w:color w:val="333333"/>
      <w:kern w:val="2"/>
      <w:sz w:val="2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outlineLvl w:val="0"/>
    </w:pPr>
    <w:rPr>
      <w:b/>
      <w:kern w:val="44"/>
      <w:sz w:val="36"/>
    </w:rPr>
  </w:style>
  <w:style w:type="paragraph" w:styleId="3">
    <w:name w:val="heading 2"/>
    <w:basedOn w:val="1"/>
    <w:next w:val="1"/>
    <w:qFormat/>
    <w:uiPriority w:val="0"/>
    <w:pPr>
      <w:keepNext/>
      <w:keepLines/>
      <w:outlineLvl w:val="1"/>
    </w:pPr>
    <w:rPr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outlineLvl w:val="2"/>
    </w:pPr>
    <w:rPr>
      <w:b/>
      <w:sz w:val="28"/>
    </w:rPr>
  </w:style>
  <w:style w:type="paragraph" w:styleId="5">
    <w:name w:val="heading 4"/>
    <w:basedOn w:val="1"/>
    <w:next w:val="1"/>
    <w:qFormat/>
    <w:uiPriority w:val="0"/>
    <w:pPr>
      <w:keepNext/>
      <w:keepLines/>
      <w:outlineLvl w:val="3"/>
    </w:pPr>
    <w:rPr>
      <w:b/>
      <w:sz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line="480" w:lineRule="auto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line="480" w:lineRule="auto"/>
      <w:outlineLvl w:val="5"/>
    </w:pPr>
    <w:rPr>
      <w:b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line="480" w:lineRule="auto"/>
      <w:outlineLvl w:val="6"/>
    </w:pPr>
    <w:rPr>
      <w:b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line="480" w:lineRule="auto"/>
      <w:outlineLvl w:val="7"/>
    </w:pPr>
    <w:rPr>
      <w:b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line="480" w:lineRule="auto"/>
      <w:outlineLvl w:val="8"/>
    </w:pPr>
    <w:rPr>
      <w:b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8"/>
    <w:basedOn w:val="1"/>
    <w:next w:val="1"/>
    <w:autoRedefine/>
    <w:qFormat/>
    <w:uiPriority w:val="99"/>
    <w:pPr>
      <w:ind w:left="2940" w:leftChars="1400"/>
    </w:p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Subtitle"/>
    <w:basedOn w:val="1"/>
    <w:next w:val="1"/>
    <w:link w:val="21"/>
    <w:qFormat/>
    <w:uiPriority w:val="0"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paragraph" w:styleId="15">
    <w:name w:val="Normal (Web)"/>
    <w:basedOn w:val="1"/>
    <w:uiPriority w:val="0"/>
    <w:rPr>
      <w:sz w:val="24"/>
    </w:rPr>
  </w:style>
  <w:style w:type="paragraph" w:styleId="16">
    <w:name w:val="Title"/>
    <w:basedOn w:val="1"/>
    <w:next w:val="1"/>
    <w:link w:val="22"/>
    <w:qFormat/>
    <w:uiPriority w:val="0"/>
    <w:pPr>
      <w:jc w:val="center"/>
      <w:outlineLvl w:val="0"/>
    </w:pPr>
    <w:rPr>
      <w:rFonts w:cstheme="majorBidi"/>
      <w:b/>
      <w:bCs/>
      <w:sz w:val="48"/>
      <w:szCs w:val="32"/>
    </w:rPr>
  </w:style>
  <w:style w:type="table" w:styleId="18">
    <w:name w:val="Table Grid"/>
    <w:basedOn w:val="17"/>
    <w:qFormat/>
    <w:uiPriority w:val="0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20">
    <w:name w:val="Hyperlink"/>
    <w:basedOn w:val="19"/>
    <w:qFormat/>
    <w:uiPriority w:val="0"/>
    <w:rPr>
      <w:color w:val="1E6FFF"/>
      <w:u w:val="single"/>
    </w:rPr>
  </w:style>
  <w:style w:type="character" w:customStyle="1" w:styleId="21">
    <w:name w:val="副标题 字符"/>
    <w:basedOn w:val="19"/>
    <w:link w:val="14"/>
    <w:qFormat/>
    <w:uiPriority w:val="0"/>
    <w:rPr>
      <w:rFonts w:ascii="Arial" w:hAnsi="Arial" w:eastAsia="微软雅黑" w:cstheme="minorBidi"/>
      <w:b/>
      <w:bCs/>
      <w:kern w:val="28"/>
      <w:sz w:val="44"/>
      <w:szCs w:val="32"/>
    </w:rPr>
  </w:style>
  <w:style w:type="character" w:customStyle="1" w:styleId="22">
    <w:name w:val="标题 字符"/>
    <w:basedOn w:val="19"/>
    <w:link w:val="16"/>
    <w:qFormat/>
    <w:uiPriority w:val="0"/>
    <w:rPr>
      <w:rFonts w:ascii="Arial" w:hAnsi="Arial" w:eastAsia="微软雅黑" w:cstheme="majorBidi"/>
      <w:b/>
      <w:bCs/>
      <w:kern w:val="2"/>
      <w:sz w:val="48"/>
      <w:szCs w:val="32"/>
    </w:rPr>
  </w:style>
  <w:style w:type="paragraph" w:customStyle="1" w:styleId="23">
    <w:name w:val="melo-codeblock-Base-theme-para"/>
    <w:qFormat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  <w:lang w:val="en-US" w:eastAsia="zh-CN" w:bidi="ar-SA"/>
    </w:rPr>
  </w:style>
  <w:style w:type="character" w:customStyle="1" w:styleId="24">
    <w:name w:val="melo-codeblock-Base-theme-char"/>
    <w:qFormat/>
    <w:uiPriority w:val="99"/>
    <w:rPr>
      <w:rFonts w:ascii="Monaco" w:hAnsi="Monaco" w:eastAsia="Monaco" w:cs="Monaco"/>
      <w:color w:val="000000"/>
      <w:sz w:val="21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1</TotalTime>
  <ScaleCrop>false</ScaleCrop>
  <LinksUpToDate>false</LinksUpToDate>
  <Application>WPS Office_12.1.25869.25869_F1E327BC-269C-435d-A152-05C5408002CA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2026-05-13T18:05:00Z</dcterms:created>
  <dc:creator>Data</dc:creator>
  <cp:lastModifiedBy>曲境</cp:lastModifiedBy>
  <dcterms:modified xsi:type="dcterms:W3CDTF">2026-05-17T09:37:05Z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0D36AF45E14AB922C11B096A16B4762F_42</vt:lpwstr>
  </property>
</Properties>
</file>