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60"/>
        <w:jc w:val="left"/>
        <w:pBdr>
          <w:bottom w:val="single" w:sz="12" w:space="1" w:color="1F4E79"/>
        </w:pBdr>
      </w:pPr>
      <w:r>
        <w:rPr>
          <w:rFonts w:ascii="Aptos" w:hAnsi="Aptos" w:eastAsia="Noto Sans CJK SC"/>
          <w:b/>
          <w:color w:val="264653"/>
          <w:sz w:val="48"/>
        </w:rPr>
        <w:t>反诈智能体数据采集与标注规范</w:t>
      </w:r>
    </w:p>
    <w:p>
      <w:pPr>
        <w:spacing w:after="360"/>
        <w:jc w:val="left"/>
      </w:pPr>
      <w:r>
        <w:rPr>
          <w:rFonts w:ascii="Aptos" w:hAnsi="Aptos" w:eastAsia="Noto Sans CJK SC"/>
          <w:color w:val="666666"/>
          <w:sz w:val="23"/>
        </w:rPr>
        <w:t>数据采集、脱敏、标注、来源追溯与质量控制规范（草案）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项目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版本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v1.2（简洁专业版）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日期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2026-05-12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适用对象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数据收集、标注、审核与知识库建设人员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文档属性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项目讨论与数据规范设计草案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重要说明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本文件不构成法律意见、案件定性意见或执法依据；涉及外部单位合作时，应以正式协议、保密要求、数据共享规则和审核意见为准。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Borders>
              <w:top w:val="single" w:sz="5" w:space="0" w:color="E5E7EB"/>
              <w:bottom w:val="single" w:sz="5" w:space="0" w:color="E5E7EB"/>
              <w:left w:val="single" w:sz="5" w:space="0" w:color="E5E7EB"/>
              <w:right w:val="single" w:sz="5" w:space="0" w:color="E5E7E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64653"/>
                <w:sz w:val="19"/>
              </w:rPr>
              <w:t>提示：</w:t>
            </w:r>
            <w:r>
              <w:rPr>
                <w:rFonts w:ascii="Aptos" w:hAnsi="Aptos" w:eastAsia="Noto Sans CJK SC"/>
                <w:color w:val="555555"/>
                <w:sz w:val="19"/>
              </w:rPr>
              <w:t>若项目涉及外部单位数据、真实举报线索或未公开案件信息，应在正式使用前进一步确认来源授权、脱敏边界、权限管理、审核流程与对外发布口径。</w:t>
            </w:r>
          </w:p>
        </w:tc>
      </w:tr>
    </w:tbl>
    <w:p>
      <w:pPr>
        <w:spacing w:after="0"/>
      </w:pPr>
    </w:p>
    <w:p>
      <w:r>
        <w:rPr>
          <w:rFonts w:eastAsia="Noto Sans CJK SC" w:ascii="Aptos" w:hAnsi="Aptos"/>
          <w:sz w:val="21"/>
        </w:rPr>
        <w:br w:type="page"/>
      </w:r>
    </w:p>
    <w:p>
      <w:pPr>
        <w:pBdr>
          <w:bottom w:val="single" w:sz="8" w:space="1" w:color="E5E7EB"/>
        </w:pBdr>
      </w:pPr>
      <w:r>
        <w:rPr>
          <w:rFonts w:ascii="Aptos" w:hAnsi="Aptos" w:eastAsia="Noto Sans CJK SC"/>
          <w:b/>
          <w:color w:val="264653"/>
          <w:sz w:val="36"/>
        </w:rPr>
        <w:t>目录</w:t>
      </w:r>
    </w:p>
    <w:p/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1  </w:t>
      </w:r>
      <w:r>
        <w:rPr>
          <w:rFonts w:ascii="Aptos" w:hAnsi="Aptos" w:eastAsia="Noto Sans CJK SC"/>
          <w:color w:val="222222"/>
          <w:sz w:val="21"/>
        </w:rPr>
        <w:t>文档目的与适用范围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2  </w:t>
      </w:r>
      <w:r>
        <w:rPr>
          <w:rFonts w:ascii="Aptos" w:hAnsi="Aptos" w:eastAsia="Noto Sans CJK SC"/>
          <w:color w:val="222222"/>
          <w:sz w:val="21"/>
        </w:rPr>
        <w:t>四类数据体系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3  </w:t>
      </w:r>
      <w:r>
        <w:rPr>
          <w:rFonts w:ascii="Aptos" w:hAnsi="Aptos" w:eastAsia="Noto Sans CJK SC"/>
          <w:color w:val="222222"/>
          <w:sz w:val="21"/>
        </w:rPr>
        <w:t>正式合作场景下的额外要求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4  </w:t>
      </w:r>
      <w:r>
        <w:rPr>
          <w:rFonts w:ascii="Aptos" w:hAnsi="Aptos" w:eastAsia="Noto Sans CJK SC"/>
          <w:color w:val="222222"/>
          <w:sz w:val="21"/>
        </w:rPr>
        <w:t>基本原则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5  </w:t>
      </w:r>
      <w:r>
        <w:rPr>
          <w:rFonts w:ascii="Aptos" w:hAnsi="Aptos" w:eastAsia="Noto Sans CJK SC"/>
          <w:color w:val="222222"/>
          <w:sz w:val="21"/>
        </w:rPr>
        <w:t>案例库规范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6  </w:t>
      </w:r>
      <w:r>
        <w:rPr>
          <w:rFonts w:ascii="Aptos" w:hAnsi="Aptos" w:eastAsia="Noto Sans CJK SC"/>
          <w:color w:val="222222"/>
          <w:sz w:val="21"/>
        </w:rPr>
        <w:t>字典库规范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7  </w:t>
      </w:r>
      <w:r>
        <w:rPr>
          <w:rFonts w:ascii="Aptos" w:hAnsi="Aptos" w:eastAsia="Noto Sans CJK SC"/>
          <w:color w:val="222222"/>
          <w:sz w:val="21"/>
        </w:rPr>
        <w:t>处置方案库规范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8  </w:t>
      </w:r>
      <w:r>
        <w:rPr>
          <w:rFonts w:ascii="Aptos" w:hAnsi="Aptos" w:eastAsia="Noto Sans CJK SC"/>
          <w:color w:val="222222"/>
          <w:sz w:val="21"/>
        </w:rPr>
        <w:t>相关法规库规范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9  </w:t>
      </w:r>
      <w:r>
        <w:rPr>
          <w:rFonts w:ascii="Aptos" w:hAnsi="Aptos" w:eastAsia="Noto Sans CJK SC"/>
          <w:color w:val="222222"/>
          <w:sz w:val="21"/>
        </w:rPr>
        <w:t>易混淆情况处理规则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10  </w:t>
      </w:r>
      <w:r>
        <w:rPr>
          <w:rFonts w:ascii="Aptos" w:hAnsi="Aptos" w:eastAsia="Noto Sans CJK SC"/>
          <w:color w:val="222222"/>
          <w:sz w:val="21"/>
        </w:rPr>
        <w:t>数据采集流程与质量控制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11  </w:t>
      </w:r>
      <w:r>
        <w:rPr>
          <w:rFonts w:ascii="Aptos" w:hAnsi="Aptos" w:eastAsia="Noto Sans CJK SC"/>
          <w:color w:val="222222"/>
          <w:sz w:val="21"/>
        </w:rPr>
        <w:t>示例记录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12  </w:t>
      </w:r>
      <w:r>
        <w:rPr>
          <w:rFonts w:ascii="Aptos" w:hAnsi="Aptos" w:eastAsia="Noto Sans CJK SC"/>
          <w:color w:val="222222"/>
          <w:sz w:val="21"/>
        </w:rPr>
        <w:t>分类依据与字段映射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13  </w:t>
      </w:r>
      <w:r>
        <w:rPr>
          <w:rFonts w:ascii="Aptos" w:hAnsi="Aptos" w:eastAsia="Noto Sans CJK SC"/>
          <w:color w:val="222222"/>
          <w:sz w:val="21"/>
        </w:rPr>
        <w:t>引用材料与参考文献</w:t>
      </w:r>
    </w:p>
    <w:p>
      <w:pPr>
        <w:spacing w:after="100"/>
        <w:ind w:left="57"/>
      </w:pPr>
      <w:r>
        <w:rPr>
          <w:rFonts w:ascii="Aptos" w:hAnsi="Aptos" w:eastAsia="Noto Sans CJK SC"/>
          <w:b/>
          <w:color w:val="264653"/>
          <w:sz w:val="21"/>
        </w:rPr>
        <w:t xml:space="preserve">附录  </w:t>
      </w:r>
      <w:r>
        <w:rPr>
          <w:rFonts w:ascii="Aptos" w:hAnsi="Aptos" w:eastAsia="Noto Sans CJK SC"/>
          <w:color w:val="222222"/>
          <w:sz w:val="21"/>
        </w:rPr>
        <w:t>填写格式约定</w:t>
      </w:r>
    </w:p>
    <w:p>
      <w:r>
        <w:rPr>
          <w:rFonts w:eastAsia="Noto Sans CJK SC" w:ascii="Aptos" w:hAnsi="Aptos"/>
          <w:sz w:val="21"/>
        </w:rPr>
        <w:br w:type="page"/>
      </w: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1 文档目的与适用范围</w:t>
      </w:r>
    </w:p>
    <w:p>
      <w:r>
        <w:rPr>
          <w:rFonts w:eastAsia="Noto Sans CJK SC" w:ascii="Aptos" w:hAnsi="Aptos"/>
          <w:sz w:val="21"/>
        </w:rPr>
        <w:t>本规范用于指导反诈智能体项目中的数据收集、整理、脱敏、标注、审核和引用。目标是形成一套可用于知识库构建、RAG 检索、风险识别、人工复核和后续项目合作论证的数据基础。</w:t>
      </w:r>
    </w:p>
    <w:p>
      <w:r>
        <w:rPr>
          <w:rFonts w:eastAsia="Noto Sans CJK SC" w:ascii="Aptos" w:hAnsi="Aptos"/>
          <w:sz w:val="21"/>
        </w:rPr>
        <w:t>本规范不追求一开始建立复杂数据库，而是先构建四类基础数据：案例库、字典库、处置方案库、相关法规库。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数据类型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核心问题</w:t>
            </w:r>
          </w:p>
        </w:tc>
        <w:tc>
          <w:tcPr>
            <w:tcW w:type="dxa" w:w="49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主要用途</w:t>
            </w:r>
          </w:p>
        </w:tc>
      </w:tr>
      <w:tr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案例库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发生了什么？</w:t>
            </w:r>
          </w:p>
        </w:tc>
        <w:tc>
          <w:tcPr>
            <w:tcW w:type="dxa" w:w="49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记录具体诈骗、疑似诈骗、诈骗前兆、易混淆场景。</w:t>
            </w:r>
          </w:p>
        </w:tc>
      </w:tr>
      <w:tr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字典库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用什么标准词描述？</w:t>
            </w:r>
          </w:p>
        </w:tc>
        <w:tc>
          <w:tcPr>
            <w:tcW w:type="dxa" w:w="49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统一入口渠道、冒充身份、关键手法、目标资产等枚举值。</w:t>
            </w:r>
          </w:p>
        </w:tc>
      </w:tr>
      <w:tr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处置方案库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用户遇到后怎么办？</w:t>
            </w:r>
          </w:p>
        </w:tc>
        <w:tc>
          <w:tcPr>
            <w:tcW w:type="dxa" w:w="49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按用户已发生行为给出行动建议。</w:t>
            </w:r>
          </w:p>
        </w:tc>
      </w:tr>
      <w:tr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相关法规库</w:t>
            </w:r>
          </w:p>
        </w:tc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依据是什么？</w:t>
            </w:r>
          </w:p>
        </w:tc>
        <w:tc>
          <w:tcPr>
            <w:tcW w:type="dxa" w:w="49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支撑性质判断、隐私保护、脱敏、数据安全和处置建议。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Borders>
              <w:top w:val="single" w:sz="5" w:space="0" w:color="E5E7EB"/>
              <w:bottom w:val="single" w:sz="5" w:space="0" w:color="E5E7EB"/>
              <w:left w:val="single" w:sz="5" w:space="0" w:color="E5E7EB"/>
              <w:right w:val="single" w:sz="5" w:space="0" w:color="E5E7E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64653"/>
                <w:sz w:val="19"/>
              </w:rPr>
              <w:t>边界说明：</w:t>
            </w:r>
            <w:r>
              <w:rPr>
                <w:rFonts w:ascii="Aptos" w:hAnsi="Aptos" w:eastAsia="Noto Sans CJK SC"/>
                <w:color w:val="555555"/>
                <w:sz w:val="19"/>
              </w:rPr>
              <w:t>本规范用于数据采集与智能体知识库设计，不用于替代公安机关、司法机关、金融机构或平台方的案件认定、执法处置和法律判断。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2 四类数据体系</w:t>
      </w:r>
    </w:p>
    <w:p>
      <w:r>
        <w:rPr>
          <w:rFonts w:eastAsia="Noto Sans CJK SC" w:ascii="Aptos" w:hAnsi="Aptos"/>
          <w:sz w:val="21"/>
        </w:rPr>
        <w:t>四类数据之间形成闭环：案例库负责事实，字典库负责标准化，处置方案库负责行动建议，相关法规库负责依据。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关系</w:t>
            </w:r>
          </w:p>
        </w:tc>
        <w:tc>
          <w:tcPr>
            <w:tcW w:type="dxa" w:w="674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说明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案例库 → 字典库</w:t>
            </w:r>
          </w:p>
        </w:tc>
        <w:tc>
          <w:tcPr>
            <w:tcW w:type="dxa" w:w="674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案例库中的入口渠道、冒充身份、关键手法、目标资产、风险等级等字段引用字典库标准词。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案例库 → 处置方案库</w:t>
            </w:r>
          </w:p>
        </w:tc>
        <w:tc>
          <w:tcPr>
            <w:tcW w:type="dxa" w:w="674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案例按用户已发生行为和风险等级关联相应处置方案编号。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案例库 → 相关法规库</w:t>
            </w:r>
          </w:p>
        </w:tc>
        <w:tc>
          <w:tcPr>
            <w:tcW w:type="dxa" w:w="674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案例性质判断、脱敏要求、处置建议可关联法规依据编号。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处置方案库 → 相关法规库</w:t>
            </w:r>
          </w:p>
        </w:tc>
        <w:tc>
          <w:tcPr>
            <w:tcW w:type="dxa" w:w="674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涉及报警、止付、冻结、个人信息保护等建议时，应关联法规或官方依据。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3 正式合作场景下的额外要求</w:t>
      </w:r>
    </w:p>
    <w:p>
      <w:r>
        <w:rPr>
          <w:rFonts w:eastAsia="Noto Sans CJK SC" w:ascii="Aptos" w:hAnsi="Aptos"/>
          <w:sz w:val="21"/>
        </w:rPr>
        <w:t>如项目进入正式合作或外部单位共建场景，数据规范需要从“项目内部可用”提升到“可审查、可复核、可交接”的标准。建议至少增加以下要求。</w:t>
      </w:r>
    </w:p>
    <w:p>
      <w:pPr>
        <w:pStyle w:val="Heading2"/>
      </w:pPr>
      <w:r>
        <w:rPr>
          <w:rFonts w:eastAsia="Noto Sans CJK SC" w:ascii="Aptos" w:hAnsi="Aptos"/>
          <w:sz w:val="21"/>
        </w:rPr>
        <w:t>3.1 数据边界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优先使用公开发布资料、法律法规、官方宣传材料、公开数据集、平台公告和权威媒体报道。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不主动收集真实报案材料、未公开案件材料、真实受害人身份信息、真实涉案账号、真实涉案网址原文。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如合作单位提供内部材料，应由合作单位明确使用范围、脱敏方式、存储方式、访问权限和销毁要求。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个人经历可作为风险场景线索，但不能直接作为正式权威依据。</w:t>
      </w:r>
    </w:p>
    <w:p>
      <w:pPr>
        <w:pStyle w:val="Heading2"/>
      </w:pPr>
      <w:r>
        <w:rPr>
          <w:rFonts w:eastAsia="Noto Sans CJK SC" w:ascii="Aptos" w:hAnsi="Aptos"/>
          <w:sz w:val="21"/>
        </w:rPr>
        <w:t>3.2 数据安全与权限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建立数据访问权限：采集者、标注者、审核者、管理员分级授权。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建立版本记录：每次字段变更、来源补充、脱敏修改、删除请求应有记录。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建立来源留痕：来源名称、链接、发布日期、采集日期、采集人、审核状态应可追溯。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建立发布审查：对外展示或接入智能体前，应进行敏感信息检查、法律依据检查和错误分类检查。</w:t>
      </w:r>
    </w:p>
    <w:p>
      <w:pPr>
        <w:pStyle w:val="Heading2"/>
      </w:pPr>
      <w:r>
        <w:rPr>
          <w:rFonts w:eastAsia="Noto Sans CJK SC" w:ascii="Aptos" w:hAnsi="Aptos"/>
          <w:sz w:val="21"/>
        </w:rPr>
        <w:t>3.3 表述风险提示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Borders>
              <w:top w:val="single" w:sz="5" w:space="0" w:color="E5E7EB"/>
              <w:bottom w:val="single" w:sz="5" w:space="0" w:color="E5E7EB"/>
              <w:left w:val="single" w:sz="5" w:space="0" w:color="E5E7EB"/>
              <w:right w:val="single" w:sz="5" w:space="0" w:color="E5E7E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Noto Sans CJK SC"/>
                <w:color w:val="555555"/>
                <w:sz w:val="19"/>
              </w:rPr>
              <w:t>应避免在项目文档中使用“已确认违法犯罪”“可精准识别嫌疑人”等表述。更稳妥的表达是“风险识别”“疑似场景研判”“公众防范提示”“数据采集与标注参考”。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4 基本原则</w:t>
      </w:r>
    </w:p>
    <w:p>
      <w:pPr>
        <w:pStyle w:val="Heading2"/>
      </w:pPr>
      <w:r>
        <w:rPr>
          <w:rFonts w:eastAsia="Noto Sans CJK SC" w:ascii="Aptos" w:hAnsi="Aptos"/>
          <w:sz w:val="21"/>
        </w:rPr>
        <w:t>4.1 不以 AI 判断作为最终依据</w:t>
      </w:r>
    </w:p>
    <w:p>
      <w:r>
        <w:rPr>
          <w:rFonts w:eastAsia="Noto Sans CJK SC" w:ascii="Aptos" w:hAnsi="Aptos"/>
          <w:sz w:val="21"/>
        </w:rPr>
        <w:t>AI 可以辅助归纳字段、提取风险信号、生成初步标注，但不能替代来源材料、人工审核、法律审查和合作单位确认。</w:t>
      </w:r>
    </w:p>
    <w:p>
      <w:pPr>
        <w:pStyle w:val="Heading2"/>
      </w:pPr>
      <w:r>
        <w:rPr>
          <w:rFonts w:eastAsia="Noto Sans CJK SC" w:ascii="Aptos" w:hAnsi="Aptos"/>
          <w:sz w:val="21"/>
        </w:rPr>
        <w:t>4.2 不直接把官方宣传分类当作严谨主分类</w:t>
      </w:r>
    </w:p>
    <w:p>
      <w:r>
        <w:rPr>
          <w:rFonts w:eastAsia="Noto Sans CJK SC" w:ascii="Aptos" w:hAnsi="Aptos"/>
          <w:sz w:val="21"/>
        </w:rPr>
        <w:t>公安部刑侦局、国家反诈中心《2025版防范电信网络诈骗宣传手册》中的 10 类高发类型适合用于官方宣传参考类别，但不宜作为唯一分类标准。现实诈骗往往跨入口渠道、冒充身份、关键手法和目标资产。</w:t>
      </w:r>
    </w:p>
    <w:p>
      <w:pPr>
        <w:pStyle w:val="Heading2"/>
      </w:pPr>
      <w:r>
        <w:rPr>
          <w:rFonts w:eastAsia="Noto Sans CJK SC" w:ascii="Aptos" w:hAnsi="Aptos"/>
          <w:sz w:val="21"/>
        </w:rPr>
        <w:t>4.3 不设置案例簇</w:t>
      </w:r>
    </w:p>
    <w:p>
      <w:r>
        <w:rPr>
          <w:rFonts w:eastAsia="Noto Sans CJK SC" w:ascii="Aptos" w:hAnsi="Aptos"/>
          <w:sz w:val="21"/>
        </w:rPr>
        <w:t>本项目采用“一案一条记录，重复报道合并，相似事件分开”的方式。不同真实事件分别建记录；同一事件被多个网站报道时合并为一条，并在来源字段中记录多个来源。</w:t>
      </w:r>
    </w:p>
    <w:p>
      <w:pPr>
        <w:pStyle w:val="Heading2"/>
      </w:pPr>
      <w:r>
        <w:rPr>
          <w:rFonts w:eastAsia="Noto Sans CJK SC" w:ascii="Aptos" w:hAnsi="Aptos"/>
          <w:sz w:val="21"/>
        </w:rPr>
        <w:t>4.4 必须脱敏与最小化采集</w:t>
      </w:r>
    </w:p>
    <w:p>
      <w:r>
        <w:rPr>
          <w:rFonts w:eastAsia="Noto Sans CJK SC" w:ascii="Aptos" w:hAnsi="Aptos"/>
          <w:sz w:val="21"/>
        </w:rPr>
        <w:t>不得保存真实姓名、身份证号、银行卡号、手机号、社交账号、详细住址、涉案网址原文、未脱敏聊天记录等敏感信息。只保留用于风险识别、案例归纳和防范建议的必要信息。</w:t>
      </w: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5 案例库规范</w:t>
      </w:r>
    </w:p>
    <w:p>
      <w:r>
        <w:rPr>
          <w:rFonts w:eastAsia="Noto Sans CJK SC" w:ascii="Aptos" w:hAnsi="Aptos"/>
          <w:sz w:val="21"/>
        </w:rPr>
        <w:t>案例库用于记录具体诈骗、疑似诈骗、诈骗前兆、账号安全风险、个人信息泄露风险或易混淆场景。</w:t>
      </w:r>
    </w:p>
    <w:p>
      <w:pPr>
        <w:pStyle w:val="Heading2"/>
      </w:pPr>
      <w:r>
        <w:rPr>
          <w:rFonts w:eastAsia="Noto Sans CJK SC" w:ascii="Aptos" w:hAnsi="Aptos"/>
          <w:sz w:val="21"/>
        </w:rPr>
        <w:t>5.1 核心字段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字段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类型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必填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案例编号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唯一编号，如 FZ-001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案例标题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一句话概括案例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场景简述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100-200 字描述发生了什么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性质判断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单选枚举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确认诈骗、疑似诈骗、诈骗前兆等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判断理由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为什么这样判断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入口渠道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多选枚举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电话、短信、Steam、Telegram、搜索引擎等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冒充身份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多选枚举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冒充客服、官方、银行、公检法等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虚假认知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多选枚举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用户被诱导相信什么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关键手法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多选枚举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钓鱼链接、仿冒官网、索要验证码等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目标资产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多选枚举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钱、账号、验证码、个人信息等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诈骗阶段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多选枚举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接触引流、诱导操作、资产获取等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风险信号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长文本/多标签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本案例触发的危险点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风险等级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单选枚举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低、中、高、极高、无法判断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eastAsia="Noto Sans CJK SC" w:ascii="Aptos" w:hAnsi="Aptos"/>
          <w:sz w:val="21"/>
        </w:rPr>
        <w:t>5.2 来源与管理字段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字段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类型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必填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涉及平台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文本/多选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Steam、Telegram、Bing、微信等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受害群体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文本/枚举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学生、老人、游戏玩家、网购用户等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是否造成损失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单选枚举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是、否、未知、未造成但存在风险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损失类型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多选枚举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金钱损失、账号被盗、个人信息泄露等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官方宣传参考类别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多选枚举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对应 2025 版手册宣传类别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CCL2023 参考类别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单选/多选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可选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对应公开数据集分类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自定义细分类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如“仿冒官网”“免费保险钓鱼”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标签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多标签文本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中文分号分隔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防范建议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没被骗前应该怎么避免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应急方案编号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关联处置方案库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法规依据编号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关联相关法规库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来源名称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资料来源名称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来源类型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单选枚举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官方、论文、数据集、媒体、个人经历等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来源链接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URL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可追溯链接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发布日期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日期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来源发布时间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采集日期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日期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整理数据的日期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是否脱敏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单选枚举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是、否、不涉及、待处理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备注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可选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不确定内容、相似案例说明等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eastAsia="Noto Sans CJK SC" w:ascii="Aptos" w:hAnsi="Aptos"/>
          <w:sz w:val="21"/>
        </w:rPr>
        <w:t>5.3 案例库枚举值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字段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枚举值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性质判断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确认诈骗；疑似诈骗；诈骗前兆/风险信号；消费欺诈；虚假宣传；骚扰营销；普通消费纠纷；账号安全风险；个人信息泄露风险；无法判断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入口渠道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电话；短信；微信；QQ；Telegram；Steam；Discord；搜索引擎；网页广告；邮件；App；小程序；二维码；线下扫码；社交平台私信；游戏平台私信；其他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冒充身份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无明确冒充；冒充平台官方；冒充客服；冒充电商物流客服；冒充公检法；冒充银行/金融机构；冒充保险客服；冒充领导熟人；冒充亲友；冒充招聘人员；冒充投资导师；冒充游戏管理员；冒充官方网站；冒充商家；冒充快递物流；冒充票务/航空客服；其他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虚假认知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误以为对方是官方；误以为账号存在风险；误以为有免费福利；误以为投资稳赚不赔；误以为需要配合调查；误以为必须立即操作；误以为网站是正规官网；误以为交易受到平台保护；误以为对方有权威身份；误以为不操作会造成损失；误以为可以轻松赚钱；误以为需要缴费解冻；误以为需要验证身份；其他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关键手法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钓鱼链接；仿冒官网；诱导下载陌生App；屏幕共享；索要验证码；小额返利；提现失败；保证金/解冻费；安全账户；虚假客服；虚假交易；虚假验证；AI换脸/变声；搜索引擎引流；电话机器人外呼；私信引流；诱导转账；诱导扫码；诱导开启权限；虚假投资平台；虚假订单/任务；冒充官方通知；其他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目标资产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钱款；银行卡信息；身份证信息；手机号；验证码；平台账号；账号密码；游戏饰品；虚拟货币；通讯录；设备权限；支付权限；人脸识别信息；洗钱通道；其他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诈骗阶段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接触引流；建立信任；制造压力/诱惑；诱导操作；资产获取；二次压榨；拉黑失联；已识别未受损；未知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是否造成损失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是；否；未知；未造成但存在风险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损失类型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金钱损失；账号被盗；个人信息泄露；银行卡风险；验证码泄露；设备权限泄露；虚拟财产损失；通讯录泄露；未造成损失；未知；其他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风险等级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低；中；高；极高；无法判断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官方宣传参考类别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刷单返利；虚假网络投资理财；虚假购物服务；冒充电商物流客服；贷款征信；冒充领导熟人；冒充公检法；婚恋交友；网络游戏产品虚假交易；机票退改签；其他/无法对应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CCL2023 参考类别</w:t>
            </w:r>
          </w:p>
        </w:tc>
        <w:tc>
          <w:tcPr>
            <w:tcW w:type="dxa" w:w="72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刷单返利类；冒充电商物流客服类；虚假网络投资理财类；贷款、代办信用卡类；虚假征信类；虚假购物、服务类；冒充公检法及政府机关类；冒充领导、熟人类；网络游戏产品虚假交易类；网络婚恋、交友类；冒充军警购物类；网黑案件；无法对应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eastAsia="Noto Sans CJK SC" w:ascii="Aptos" w:hAnsi="Aptos"/>
          <w:sz w:val="21"/>
        </w:rPr>
        <w:t>5.4 风险等级建议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等级</w:t>
            </w:r>
          </w:p>
        </w:tc>
        <w:tc>
          <w:tcPr>
            <w:tcW w:type="dxa" w:w="7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判断标准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低</w:t>
            </w:r>
          </w:p>
        </w:tc>
        <w:tc>
          <w:tcPr>
            <w:tcW w:type="dxa" w:w="7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只有一般可疑信息，未涉及敏感操作。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中</w:t>
            </w:r>
          </w:p>
        </w:tc>
        <w:tc>
          <w:tcPr>
            <w:tcW w:type="dxa" w:w="7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出现陌生链接、陌生客服、可疑福利、非官方渠道。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高</w:t>
            </w:r>
          </w:p>
        </w:tc>
        <w:tc>
          <w:tcPr>
            <w:tcW w:type="dxa" w:w="7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要求输入账号密码、身份证、银行卡、验证码，或下载陌生 App。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极高</w:t>
            </w:r>
          </w:p>
        </w:tc>
        <w:tc>
          <w:tcPr>
            <w:tcW w:type="dxa" w:w="7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要求转账、屏幕共享、输入验证码、转移资产、缴纳保证金/解冻费。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无法判断</w:t>
            </w:r>
          </w:p>
        </w:tc>
        <w:tc>
          <w:tcPr>
            <w:tcW w:type="dxa" w:w="7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信息不足，无法形成可靠判断。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eastAsia="Noto Sans CJK SC" w:ascii="Aptos" w:hAnsi="Aptos"/>
          <w:sz w:val="21"/>
        </w:rPr>
        <w:t>5.5 相似案例处理规则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情况</w:t>
            </w:r>
          </w:p>
        </w:tc>
        <w:tc>
          <w:tcPr>
            <w:tcW w:type="dxa" w:w="5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处理</w:t>
            </w:r>
          </w:p>
        </w:tc>
      </w:tr>
      <w:tr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不同真实事件，但套路相似</w:t>
            </w:r>
          </w:p>
        </w:tc>
        <w:tc>
          <w:tcPr>
            <w:tcW w:type="dxa" w:w="5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分别建立独立案例记录。</w:t>
            </w:r>
          </w:p>
        </w:tc>
      </w:tr>
      <w:tr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同一事件被多个网站报道</w:t>
            </w:r>
          </w:p>
        </w:tc>
        <w:tc>
          <w:tcPr>
            <w:tcW w:type="dxa" w:w="5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合并为一条案例，来源名称和来源链接可填多个。</w:t>
            </w:r>
          </w:p>
        </w:tc>
      </w:tr>
      <w:tr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同一公安通报被复制转载</w:t>
            </w:r>
          </w:p>
        </w:tc>
        <w:tc>
          <w:tcPr>
            <w:tcW w:type="dxa" w:w="5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不重复建案例，只补充来源或备注。</w:t>
            </w:r>
          </w:p>
        </w:tc>
      </w:tr>
      <w:tr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相似但关键手法、目标资产或处置方案不同</w:t>
            </w:r>
          </w:p>
        </w:tc>
        <w:tc>
          <w:tcPr>
            <w:tcW w:type="dxa" w:w="5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新建案例。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6 字典库规范</w:t>
      </w:r>
    </w:p>
    <w:p>
      <w:r>
        <w:rPr>
          <w:rFonts w:eastAsia="Noto Sans CJK SC" w:ascii="Aptos" w:hAnsi="Aptos"/>
          <w:sz w:val="21"/>
        </w:rPr>
        <w:t>字典库用于统一案例库中的标准词，避免“假官网、钓鱼网站、仿冒网页”等同义词混用导致统计混乱。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字段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类型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必填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字典编号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如 DIC-001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字典类型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单选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入口渠道、关键手法、风险信号等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标准名称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统一使用的标准词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别名/近义词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常见说法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定义说明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该词是什么意思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适用条件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什么情况下使用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不适用情况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什么情况下不要使用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默认风险等级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单选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可选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低/中/高/极高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示例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一个简单例子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是否启用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单选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是/否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备注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可选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其他说明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字典类型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标准名称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别名/近义词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定义说明</w:t>
            </w:r>
          </w:p>
        </w:tc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默认风险等级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关键手法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仿冒官网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假官网；钓鱼网站；仿冒网页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通过伪装成官方网站诱导用户登录、付款或填写信息。</w:t>
            </w:r>
          </w:p>
        </w:tc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风险信号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索要验证码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要验证码；输入验证码；提供验证码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对方要求用户提供短信、登录或支付验证码。</w:t>
            </w:r>
          </w:p>
        </w:tc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极高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入口渠道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搜索引擎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Bing；百度；Google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用户通过搜索结果进入风险页面。</w:t>
            </w:r>
          </w:p>
        </w:tc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中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冒充身份</w:t>
            </w:r>
          </w:p>
        </w:tc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冒充平台官方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冒充管理员；冒充安全中心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伪装成平台官方人员联系用户。</w:t>
            </w:r>
          </w:p>
        </w:tc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7 处置方案库规范</w:t>
      </w:r>
    </w:p>
    <w:p>
      <w:r>
        <w:rPr>
          <w:rFonts w:eastAsia="Noto Sans CJK SC" w:ascii="Aptos" w:hAnsi="Aptos"/>
          <w:sz w:val="21"/>
        </w:rPr>
        <w:t>处置方案库记录用户遇到风险后的行动建议。案例库记录“发生了什么”，处置方案库记录“现在怎么办”。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字段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类型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必填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处置方案编号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如 CZ-001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适用场景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如“已点击陌生链接”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用户已发生行为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单选/多选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已点击、已填写、已转账等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风险等级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单选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低/中/高/极高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立即停止行为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立刻不要继续做什么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第一步处置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最先该做什么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第二步处置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接下来该做什么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证据保存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保存哪些材料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账号/资金处理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改密、冻结、止付等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设备处理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可选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卸载 App、检查权限等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报警/举报建议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是否报警、举报到哪里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官方核验方式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去哪里核实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不建议行为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明确不要做什么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适用案例类型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文本/多选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可关联案例类型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相关法规编号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关联法规库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来源名称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处置建议来源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来源链接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URL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可追溯链接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备注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可选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其他说明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eastAsia="Noto Sans CJK SC" w:ascii="Aptos" w:hAnsi="Aptos"/>
          <w:sz w:val="21"/>
        </w:rPr>
        <w:t>7.1 处置方案类型建议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只是收到短信/私信/电话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已点击陌生链接但未填写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已填写账号密码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已填写身份证/银行卡信息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已提供验证码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已转账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已下载陌生 App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已开启屏幕共享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账号已被盗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设备疑似被控制</w:t>
      </w: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8 相关法规库规范</w:t>
      </w:r>
    </w:p>
    <w:p>
      <w:r>
        <w:rPr>
          <w:rFonts w:eastAsia="Noto Sans CJK SC" w:ascii="Aptos" w:hAnsi="Aptos"/>
          <w:sz w:val="21"/>
        </w:rPr>
        <w:t>相关法规库用于保存项目中的判断依据和合规依据，主要支撑“什么是电信网络诈骗”“为什么不能收集敏感个人信息”“为什么要做脱敏和来源追溯”等问题。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字段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类型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必填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法规编号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如 FG-001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法规名称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如《反电信网络诈骗法》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条款编号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如第二条、第五条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条款主题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电信网络诈骗定义、个人信息保护等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条款内容摘要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用自己的话概括，不大段复制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适用场景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适用于哪些判断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可支持的判断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能支撑哪些字段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来源链接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URL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官方来源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发布日期/施行日期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日期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建议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法规时间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备注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长文本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可选</w:t>
            </w:r>
          </w:p>
        </w:tc>
        <w:tc>
          <w:tcPr>
            <w:tcW w:type="dxa" w:w="5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其他说明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电信网络诈骗定义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个人信息保护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数据脱敏要求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涉案资金止付/冻结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账号、电话卡、银行卡治理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平台责任与风险防控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违法犯罪责任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数据分类分级和安全管理</w:t>
      </w: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9 易混淆情况处理规则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易混淆情况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建议判断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只是反复推销，没有要求填写敏感信息或付款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骚扰营销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出现短信链接、身份证、银行卡、验证码、付款等动作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诈骗前兆/风险信号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商家确实提供商品/服务，但夸大效果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虚假宣传/消费欺诈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从一开始没有真实商品，收款后拉黑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疑似诈骗/确认诈骗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发货慢、售后差、商品不满意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普通消费纠纷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发现假官网、假链接，但未输入信息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诈骗前兆/风险信号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已输入账号密码、银行卡、验证码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疑似诈骗</w:t>
            </w:r>
          </w:p>
        </w:tc>
      </w:tr>
      <w:tr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已造成资金损失或账号被盗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确认诈骗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10 数据采集流程与质量控制</w:t>
      </w:r>
    </w:p>
    <w:p>
      <w:pPr>
        <w:pStyle w:val="Heading2"/>
      </w:pPr>
      <w:r>
        <w:rPr>
          <w:rFonts w:eastAsia="Noto Sans CJK SC" w:ascii="Aptos" w:hAnsi="Aptos"/>
          <w:sz w:val="21"/>
        </w:rPr>
        <w:t>10.1 采集来源优先级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法律法规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公安部、国家反诈中心等官方资料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法院/检察院典型案例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公开数据集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学术论文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平台公告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权威媒体报道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个人经历</w:t>
      </w:r>
    </w:p>
    <w:p>
      <w:pPr>
        <w:pStyle w:val="Heading2"/>
      </w:pPr>
      <w:r>
        <w:rPr>
          <w:rFonts w:eastAsia="Noto Sans CJK SC" w:ascii="Aptos" w:hAnsi="Aptos"/>
          <w:sz w:val="21"/>
        </w:rPr>
        <w:t>10.2 采集步骤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确定来源并记录来源信息。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提取案例标题、场景简述、风险信号和来源。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删除或替换敏感个人信息。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使用字典库标准词标注入口渠道、冒充身份、关键手法、目标资产等。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判断性质和风险等级，并写明判断理由。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关联应急方案编号和法规依据编号。</w:t>
      </w:r>
    </w:p>
    <w:p>
      <w:pPr>
        <w:pStyle w:val="ListNumber"/>
        <w:spacing w:after="60"/>
      </w:pPr>
      <w:r>
        <w:rPr>
          <w:rFonts w:ascii="Aptos" w:hAnsi="Aptos" w:eastAsia="Noto Sans CJK SC"/>
          <w:color w:val="222222"/>
          <w:sz w:val="21"/>
        </w:rPr>
        <w:t>由第二人复核关键字段，尤其是性质判断、风险等级、脱敏和来源。</w:t>
      </w:r>
    </w:p>
    <w:p>
      <w:pPr>
        <w:pStyle w:val="Heading2"/>
      </w:pPr>
      <w:r>
        <w:rPr>
          <w:rFonts w:eastAsia="Noto Sans CJK SC" w:ascii="Aptos" w:hAnsi="Aptos"/>
          <w:sz w:val="21"/>
        </w:rPr>
        <w:t>10.3 质量检查清单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是否有来源？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是否已脱敏？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是否填写判断理由？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是否把骚扰营销误标为诈骗？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是否把消费纠纷误标为诈骗？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是否填写关键手法和目标资产？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是否填写风险等级？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是否能追溯到来源？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是否需要补充处置方案？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是否需要补充法规依据？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是否存在可能对外泄露的敏感链接或账号？</w:t>
      </w:r>
    </w:p>
    <w:p>
      <w:pPr>
        <w:pStyle w:val="Heading2"/>
      </w:pPr>
      <w:r>
        <w:rPr>
          <w:rFonts w:eastAsia="Noto Sans CJK SC" w:ascii="Aptos" w:hAnsi="Aptos"/>
          <w:sz w:val="21"/>
        </w:rPr>
        <w:t>10.4 数据质量等级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等级</w:t>
            </w:r>
          </w:p>
        </w:tc>
        <w:tc>
          <w:tcPr>
            <w:tcW w:type="dxa" w:w="7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8"/>
              </w:rPr>
              <w:t>标准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A</w:t>
            </w:r>
          </w:p>
        </w:tc>
        <w:tc>
          <w:tcPr>
            <w:tcW w:type="dxa" w:w="7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法律法规、官方资料、法院/检察院案例，字段完整，已脱敏。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B</w:t>
            </w:r>
          </w:p>
        </w:tc>
        <w:tc>
          <w:tcPr>
            <w:tcW w:type="dxa" w:w="7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公开数据集、论文、平台公告，字段较完整，来源可信。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C</w:t>
            </w:r>
          </w:p>
        </w:tc>
        <w:tc>
          <w:tcPr>
            <w:tcW w:type="dxa" w:w="7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权威媒体报道，有明确案例细节，已脱敏。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D</w:t>
            </w:r>
          </w:p>
        </w:tc>
        <w:tc>
          <w:tcPr>
            <w:tcW w:type="dxa" w:w="7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个人经历或普通网络资料，待核验。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E</w:t>
            </w:r>
          </w:p>
        </w:tc>
        <w:tc>
          <w:tcPr>
            <w:tcW w:type="dxa" w:w="7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8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来源不明或无法复核，不建议进入正式库。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11 示例记录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字段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示例填写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案例编号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FZ-001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案例标题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免费领取保险录音电话诱导点击短信链接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场景简述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用户多次接到陌生电话，电话中播放自动语音，声称可以免费领取保险。随后用户收到短信链接，点击后进入网页，页面要求填写姓名、手机号、身份证号、银行卡号等信息。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性质判断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诈骗前兆/风险信号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判断理由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对方通过陌生电话和短信链接引导用户进入非官方页面，并要求填写敏感个人信息，存在钓鱼链接和个人信息套取风险。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入口渠道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电话；短信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冒充身份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冒充保险客服；冒充平台客服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虚假认知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误以为有免费福利；误以为对方是官方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关键手法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电话机器人外呼；钓鱼链接；个人信息套取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目标资产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身份证信息；手机号；银行卡信息；验证码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诈骗阶段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接触引流；诱导操作；已识别未受损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风险信号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陌生电话；自动语音；不明短信链接；要求填写身份证和银行卡信息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涉及平台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电话；短信；疑似仿冒保险网页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受害群体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普通手机用户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是否造成损失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未造成但存在风险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损失类型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未造成损失；个人信息泄露风险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风险等级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官方宣传参考类别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虚假购物服务；其他/无法对应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CCL2023 参考类别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虚假购物、服务类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自定义细分类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免费保险钓鱼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标签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免费保险；短信链接；钓鱼页面；个人信息套取；电话机器人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防范建议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不点击陌生短信链接，不在非官方页面填写身份证号、银行卡号和验证码。通过保险公司官方 App、官网或客服电话核实。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应急方案编号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CZ-002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法规依据编号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FG-001；FG-002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来源名称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个人经历/待补充官方相似案例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来源类型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个人经历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采集日期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2026-05-12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是否脱敏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备注</w:t>
            </w:r>
          </w:p>
        </w:tc>
        <w:tc>
          <w:tcPr>
            <w:tcW w:type="dxa" w:w="7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当前作为风险信号收集，后续可补充官方相似案例。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12 分类依据与字段映射</w:t>
      </w:r>
    </w:p>
    <w:p>
      <w:r>
        <w:rPr>
          <w:rFonts w:eastAsia="Noto Sans CJK SC" w:ascii="Aptos" w:hAnsi="Aptos"/>
          <w:sz w:val="21"/>
        </w:rPr>
        <w:t>本项目的数据分类不直接照搬单一诈骗名称，而采用多维标注框架。依据包括官方反诈宣传分类、公开案件分类数据集、钓鱼攻击研究、犯罪脚本分析、日常活动理论、现代诈骗理论以及 AI 知识库可追溯要求。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字段/模块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主要依据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7"/>
              </w:rPr>
              <w:t>说明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性质判断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《反电信网络诈骗法》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判断是否接近电信网络诈骗。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是否脱敏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《个人信息保护法》；CCL2023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防止保存敏感个人信息。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官方宣传参考类别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2025 版反诈手册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保留官方宣传口径，不作为唯一主分类。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CCL2023 参考类别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CCL2023 数据集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参考案件分类和脱敏方式。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入口渠道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Alabdan 2020；Phishing taxonomy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电话、短信、网页、平台私信等入口。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冒充身份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Alkhalil 2021；社会工程研究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记录对方伪装成谁。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虚假认知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社会工程/钓鱼攻击研究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记录用户被诱导相信什么。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关键手法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Phishing taxonomy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钓鱼链接、仿冒官网、屏幕共享等。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目标资产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Harding et al. 2025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不只包括钱，也包括账号、数据、权限。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诈骗阶段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Crime script analysis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拆解接触、诱导、收割、二次压榨等过程。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脆弱情境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Routine Activity Theory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分析为什么这个场景容易被骗。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来源字段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RAG / NIST AI 风险管理资料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7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支撑智能体回答可追溯、可复核。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13 引用材料与参考文献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5"/>
              </w:rPr>
              <w:t>编号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5"/>
              </w:rPr>
              <w:t>材料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5"/>
              </w:rPr>
              <w:t>用途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  <w:shd w:fill="EAF2F8"/>
          </w:tcPr>
          <w:p>
            <w:pPr>
              <w:spacing w:after="0" w:line="269" w:lineRule="auto"/>
            </w:pPr>
            <w:r>
              <w:rPr>
                <w:b/>
                <w:color w:val="264653"/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/>
                <w:color w:val="264653"/>
                <w:sz w:val="15"/>
              </w:rPr>
              <w:t>链接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《中华人民共和国反电信网络诈骗法》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用于界定电信网络诈骗、个人隐私和个人信息保密要求。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https://www.spp.gov.cn/spp/fl/202209/t20220902_575631.shtml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《中华人民共和国个人信息保护法》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用于支撑合法、正当、必要、最小范围收集和脱敏要求。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https://www.cac.gov.cn/2021-08/20/c_1631050028355286.htm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《中华人民共和国数据安全法》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用于支撑数据处理、数据安全、数据分类分级和安全治理要求。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https://flk.npc.gov.cn/detail?fileId=&amp;id=ff80818179f5e0800179f885c7e70392&amp;type=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《中华人民共和国网络安全法》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用于支撑网络运营、个人信息保护和网络安全管理要求。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https://www.cac.gov.cn/2016-11/07/c_1119867116.htm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公安部刑侦局、国家反诈中心：《2025版防范电信网络诈骗宣传手册》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用于提供官方宣传参考类别和高发诈骗场景。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https://brisbane.china-consulate.gov.cn/lsfw11/lsfw3/lstx/202507/t20250707_11666333.htm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6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CCL2023 电信网络诈骗案件分类评测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用于参考案件分类、反诈大数据平台分类口径和脱敏方式。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https://github.com/GJSeason/CCL2023-FCC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7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Alkhalil et al. (2021), Phishing Attacks: A Recent Comprehensive Study and a New Anatomy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支撑从攻击阶段、目标、媒介、技术手法等角度拆解钓鱼攻击。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https://www.frontiersin.org/journals/computer-science/articles/10.3389/fcomp.2021.563060/full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8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Alabdan (2020), Phishing Attacks Survey: Types, Vectors, and Technical Approaches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支撑按媒介、攻击向量和技术方法标注钓鱼类诈骗。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https://www.mdpi.com/1999-5903/12/10/168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9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Leclerc &amp; Morgenthaler (2023), Examining emerging fraud facilitated by the internet through crime scripts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支撑按犯罪脚本/诈骗阶段拆解案例。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https://www.aic.gov.au/publications/tandi/tandi680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10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Routine Activity Theory（日常活动理论）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支撑“脆弱情境”字段，即从犯罪者、目标和守护缺位角度分析诈骗发生条件。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https://www.sciencedirect.com/topics/social-sciences/routine-activity-theory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11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Harding et al. (2025), Reimagining Fraud Theory to Inform Financial Crime Prevention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支撑“目标资产”不只包括钱款，还包括个人信息、数据和犯罪链条工具化等。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https://academic.oup.com/bjc/article/65/3/618/7831281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12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Lewis et al. (2020), Retrieval-Augmented Generation for Knowledge-Intensive NLP Tasks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支撑知识库与来源追溯对智能体回答可信度的意义。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https://proceedings.neurips.cc/paper/2020/hash/6b493230205f780e1bc26945df7481e5-Abstract.html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13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NIST AI 600-1, Artificial Intelligence Risk Management Framework: Generative AI Profile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支撑数据来源、数据质量、数据修改记录和可追溯治理要求。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7DE"/>
              <w:bottom w:val="single" w:sz="5" w:space="0" w:color="D0D7DE"/>
              <w:left w:val="single" w:sz="5" w:space="0" w:color="D0D7DE"/>
              <w:right w:val="single" w:sz="5" w:space="0" w:color="D0D7DE"/>
            </w:tcBorders>
          </w:tcPr>
          <w:p>
            <w:pPr>
              <w:spacing w:after="0" w:line="269" w:lineRule="auto"/>
            </w:pPr>
            <w:r>
              <w:rPr>
                <w:sz w:val="15"/>
                <w:rFonts w:eastAsia="Noto Sans CJK SC" w:ascii="Aptos" w:hAnsi="Aptos"/>
              </w:rPr>
            </w:r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https://nvlpubs.nist.gov/nistpubs/ai/NIST.AI.600-1.pdf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6" w:color="E5E7EB"/>
        </w:pBdr>
      </w:pPr>
      <w:r>
        <w:rPr>
          <w:rFonts w:eastAsia="Noto Sans CJK SC" w:ascii="Aptos" w:hAnsi="Aptos"/>
          <w:sz w:val="21"/>
        </w:rPr>
        <w:t>附录：填写格式约定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多选字段统一使用中文分号“；”分隔，例如：电话；短信。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日期建议使用 YYYY-MM-DD 格式。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来源链接如涉及可疑链接或涉案链接，不保留原文，可写“[链接已脱敏]”。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判断理由必须说明具体触发的风险信号，不写“感觉像诈骗”。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防范建议应具体可执行，不写空泛口号。</w:t>
      </w:r>
    </w:p>
    <w:p>
      <w:pPr>
        <w:pStyle w:val="ListBullet"/>
        <w:spacing w:after="60"/>
      </w:pPr>
      <w:r>
        <w:rPr>
          <w:rFonts w:ascii="Aptos" w:hAnsi="Aptos" w:eastAsia="Noto Sans CJK SC"/>
          <w:color w:val="222222"/>
          <w:sz w:val="21"/>
        </w:rPr>
        <w:t>如进入正式合作场景，可根据合作单位要求另行添加审核人、审核日期、审核意见等管理字段。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SC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ptos" w:hAnsi="Aptos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888888"/>
        <w:sz w:val="18"/>
      </w:rPr>
      <w:t>反诈数据采集与标注规范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ptos" w:hAnsi="Aptos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6465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2646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SC"/>
      <w:b/>
      <w:color w:val="2646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