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DAEF3" w14:textId="77777777" w:rsidR="005B0F26" w:rsidRPr="00C8635E" w:rsidRDefault="005B0F26" w:rsidP="00E40A60">
      <w:pPr>
        <w:jc w:val="center"/>
      </w:pPr>
      <w:bookmarkStart w:id="0" w:name="_GoBack"/>
      <w:bookmarkEnd w:id="0"/>
      <w:r w:rsidRPr="00C8635E">
        <w:t>Integreret p</w:t>
      </w:r>
      <w:r w:rsidR="00E40A60" w:rsidRPr="00C8635E">
        <w:t>orteføljeopgave i Velfærd, ulighed og mobilitet</w:t>
      </w:r>
      <w:r w:rsidRPr="00C8635E">
        <w:t xml:space="preserve"> </w:t>
      </w:r>
    </w:p>
    <w:p w14:paraId="6A9D8760" w14:textId="69E5A46E" w:rsidR="00E40A60" w:rsidRPr="00A03F6F" w:rsidRDefault="005B0F26" w:rsidP="00E40A60">
      <w:pPr>
        <w:jc w:val="center"/>
        <w:rPr>
          <w:b/>
        </w:rPr>
      </w:pPr>
      <w:r w:rsidRPr="00C8635E">
        <w:t xml:space="preserve">og </w:t>
      </w:r>
      <w:r w:rsidR="00EB2875">
        <w:t xml:space="preserve">Videregående </w:t>
      </w:r>
      <w:r w:rsidR="004C145B">
        <w:t>kvantitative metoder</w:t>
      </w:r>
    </w:p>
    <w:p w14:paraId="385F6BAE" w14:textId="77777777" w:rsidR="00A03F6F" w:rsidRDefault="00A03F6F" w:rsidP="00A03F6F">
      <w:pPr>
        <w:jc w:val="center"/>
        <w:rPr>
          <w:b/>
        </w:rPr>
      </w:pPr>
    </w:p>
    <w:p w14:paraId="3FB2CB14" w14:textId="77777777" w:rsidR="00346FBF" w:rsidRDefault="00346FBF" w:rsidP="00A03F6F">
      <w:pPr>
        <w:jc w:val="center"/>
        <w:rPr>
          <w:b/>
        </w:rPr>
      </w:pPr>
    </w:p>
    <w:p w14:paraId="49258213" w14:textId="6E4FE56D" w:rsidR="00E40A60" w:rsidRDefault="00EB2875" w:rsidP="00E40A60">
      <w:pPr>
        <w:jc w:val="center"/>
      </w:pPr>
      <w:r>
        <w:t xml:space="preserve">Efterår </w:t>
      </w:r>
      <w:r w:rsidR="00290DD0">
        <w:t>202</w:t>
      </w:r>
      <w:r>
        <w:t>2</w:t>
      </w:r>
    </w:p>
    <w:p w14:paraId="3EFBFB81" w14:textId="77777777" w:rsidR="00E40A60" w:rsidRDefault="00E40A60"/>
    <w:p w14:paraId="7B5B3083" w14:textId="66405007" w:rsidR="007731D7" w:rsidRPr="00346FBF" w:rsidRDefault="00EB2875" w:rsidP="00E40A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Hvem er de kulturelle altædere?</w:t>
      </w:r>
    </w:p>
    <w:p w14:paraId="74610341" w14:textId="77777777" w:rsidR="00213728" w:rsidRDefault="00213728" w:rsidP="00E40A60">
      <w:pPr>
        <w:jc w:val="center"/>
      </w:pPr>
    </w:p>
    <w:p w14:paraId="48C6C395" w14:textId="076C2535" w:rsidR="00D84A2A" w:rsidRDefault="00EB2875" w:rsidP="00E40A60">
      <w:pPr>
        <w:jc w:val="center"/>
      </w:pPr>
      <w:r>
        <w:rPr>
          <w:noProof/>
          <w:lang w:val="en-US"/>
        </w:rPr>
        <w:drawing>
          <wp:inline distT="0" distB="0" distL="0" distR="0" wp14:anchorId="75EDFFA7" wp14:editId="559CDE1A">
            <wp:extent cx="3018658" cy="4065137"/>
            <wp:effectExtent l="0" t="0" r="0" b="0"/>
            <wp:docPr id="2" name="Picture 2" descr="Omnivore Cartoons and Comics - funny pictures from Cartoo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nivore Cartoons and Comics - funny pictures from CartoonSto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52" cy="40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056C" w14:textId="77777777" w:rsidR="00D84A2A" w:rsidRDefault="00D84A2A" w:rsidP="00E40A60">
      <w:pPr>
        <w:jc w:val="center"/>
      </w:pPr>
    </w:p>
    <w:p w14:paraId="0EBEAEFE" w14:textId="77777777" w:rsidR="00E40A60" w:rsidRDefault="00E40A60"/>
    <w:p w14:paraId="444C06F0" w14:textId="77777777" w:rsidR="00A03F6F" w:rsidRDefault="00A03F6F" w:rsidP="00213728">
      <w:pPr>
        <w:jc w:val="center"/>
      </w:pPr>
      <w:r>
        <w:br w:type="page"/>
      </w:r>
    </w:p>
    <w:p w14:paraId="33B2F5A9" w14:textId="77777777" w:rsidR="00A03F6F" w:rsidRPr="00A03F6F" w:rsidRDefault="00A03F6F" w:rsidP="00DD2772">
      <w:pPr>
        <w:rPr>
          <w:b/>
        </w:rPr>
      </w:pPr>
      <w:r>
        <w:rPr>
          <w:b/>
        </w:rPr>
        <w:lastRenderedPageBreak/>
        <w:t xml:space="preserve">1. </w:t>
      </w:r>
      <w:r w:rsidRPr="00A03F6F">
        <w:rPr>
          <w:b/>
        </w:rPr>
        <w:t>Baggrund</w:t>
      </w:r>
    </w:p>
    <w:p w14:paraId="73873161" w14:textId="6AD7FCD6" w:rsidR="00F95E7B" w:rsidRDefault="00290DD0" w:rsidP="00DD2772">
      <w:r>
        <w:t xml:space="preserve">Bourdieus berømte kort over livsstile og smag </w:t>
      </w:r>
      <w:r w:rsidR="00001109">
        <w:t xml:space="preserve">i Frankrig </w:t>
      </w:r>
      <w:r>
        <w:t xml:space="preserve">i </w:t>
      </w:r>
      <w:r w:rsidRPr="00290DD0">
        <w:rPr>
          <w:i/>
        </w:rPr>
        <w:t>Distinktionen</w:t>
      </w:r>
      <w:r>
        <w:t xml:space="preserve"> er en sociologisk klassiker</w:t>
      </w:r>
      <w:r w:rsidR="00001109">
        <w:t>!</w:t>
      </w:r>
      <w:r>
        <w:t xml:space="preserve"> I </w:t>
      </w:r>
      <w:r w:rsidR="007A0C5F">
        <w:t xml:space="preserve">denne </w:t>
      </w:r>
      <w:r>
        <w:t xml:space="preserve">bog dokumenterer Bourdieu en sammenhæng mellem individers </w:t>
      </w:r>
      <w:r w:rsidR="00001109">
        <w:t xml:space="preserve">sociale </w:t>
      </w:r>
      <w:r>
        <w:t>position og kulturel</w:t>
      </w:r>
      <w:r w:rsidR="006A505E">
        <w:t>le</w:t>
      </w:r>
      <w:r>
        <w:t xml:space="preserve"> </w:t>
      </w:r>
      <w:r w:rsidR="006A505E">
        <w:t>deltagelsesmønstre. En (forenklet) version af Bourdieus kort ser sådan her ud:</w:t>
      </w:r>
    </w:p>
    <w:p w14:paraId="247E400A" w14:textId="77777777" w:rsidR="006A505E" w:rsidRDefault="006A505E" w:rsidP="00DD2772"/>
    <w:p w14:paraId="1A6B8565" w14:textId="77777777" w:rsidR="006A505E" w:rsidRDefault="006A505E" w:rsidP="006A505E">
      <w:pPr>
        <w:jc w:val="center"/>
      </w:pPr>
      <w:r>
        <w:rPr>
          <w:noProof/>
          <w:lang w:val="en-US"/>
        </w:rPr>
        <w:drawing>
          <wp:inline distT="0" distB="0" distL="0" distR="0" wp14:anchorId="382F7547" wp14:editId="0FB30574">
            <wp:extent cx="3509071" cy="4781109"/>
            <wp:effectExtent l="0" t="0" r="0" b="63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GFTnBWAAAcXk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30" cy="47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FE8C" w14:textId="0C1A76E5" w:rsidR="00263E4A" w:rsidRDefault="00EB2875" w:rsidP="001A3708">
      <w:pPr>
        <w:ind w:firstLine="851"/>
      </w:pPr>
      <w:r>
        <w:t xml:space="preserve">Bourdieus teori om kulturelle deltagelsesmønstre fokuserer primært på forskellen mellem </w:t>
      </w:r>
      <w:r w:rsidRPr="00EB2875">
        <w:rPr>
          <w:i/>
        </w:rPr>
        <w:t>finkultur</w:t>
      </w:r>
      <w:r>
        <w:t xml:space="preserve"> og </w:t>
      </w:r>
      <w:r w:rsidRPr="00EB2875">
        <w:rPr>
          <w:i/>
        </w:rPr>
        <w:t>lavkultur</w:t>
      </w:r>
      <w:r>
        <w:t xml:space="preserve">. Den centrale hypotese er, at individer </w:t>
      </w:r>
      <w:r w:rsidR="0064104E">
        <w:t xml:space="preserve">højt </w:t>
      </w:r>
      <w:r>
        <w:t>placeret i det sociale hierarki foretrækker finkultur, mens individer placeret lavt foretrækker lavkultur</w:t>
      </w:r>
      <w:r w:rsidR="004C145B">
        <w:t xml:space="preserve"> </w:t>
      </w:r>
      <w:r w:rsidR="004C145B">
        <w:fldChar w:fldCharType="begin"/>
      </w:r>
      <w:r w:rsidR="00921E88">
        <w:instrText xml:space="preserve"> ADDIN EN.CITE &lt;EndNote&gt;&lt;Cite&gt;&lt;Author&gt;Bourdieu&lt;/Author&gt;&lt;Year&gt;1984&lt;/Year&gt;&lt;RecNum&gt;87&lt;/RecNum&gt;&lt;DisplayText&gt;(Bourdieu, 1984)&lt;/DisplayText&gt;&lt;record&gt;&lt;rec-number&gt;87&lt;/rec-number&gt;&lt;foreign-keys&gt;&lt;key app="EN" db-id="x0swxs9tltv2pleseawv2a5twd2axfd05tsr" timestamp="0"&gt;87&lt;/key&gt;&lt;/foreign-keys&gt;&lt;ref-type name="Book"&gt;6&lt;/ref-type&gt;&lt;contributors&gt;&lt;authors&gt;&lt;author&gt;Bourdieu, Pierre&lt;/author&gt;&lt;/authors&gt;&lt;/contributors&gt;&lt;titles&gt;&lt;title&gt;Distinction. A Social Critique of the Judgement of Taste&lt;/title&gt;&lt;/titles&gt;&lt;keywords&gt;&lt;keyword&gt;cultural capital&lt;/keyword&gt;&lt;keyword&gt;cultural stratification&lt;/keyword&gt;&lt;keyword&gt;sociology&lt;/keyword&gt;&lt;keyword&gt;theoretical issues&lt;/keyword&gt;&lt;/keywords&gt;&lt;dates&gt;&lt;year&gt;1984&lt;/year&gt;&lt;/dates&gt;&lt;pub-location&gt;Cambridge, Mass.&lt;/pub-location&gt;&lt;publisher&gt;Harvard University Press&lt;/publisher&gt;&lt;accession-num&gt;1171&lt;/accession-num&gt;&lt;urls&gt;&lt;/urls&gt;&lt;/record&gt;&lt;/Cite&gt;&lt;/EndNote&gt;</w:instrText>
      </w:r>
      <w:r w:rsidR="004C145B">
        <w:fldChar w:fldCharType="separate"/>
      </w:r>
      <w:r w:rsidR="00921E88">
        <w:rPr>
          <w:noProof/>
        </w:rPr>
        <w:t>(Bourdieu, 1984)</w:t>
      </w:r>
      <w:r w:rsidR="004C145B">
        <w:fldChar w:fldCharType="end"/>
      </w:r>
      <w:r>
        <w:t>.</w:t>
      </w:r>
    </w:p>
    <w:p w14:paraId="7B353DC9" w14:textId="10496567" w:rsidR="00EB2875" w:rsidRDefault="00EB2875" w:rsidP="001A3708">
      <w:pPr>
        <w:ind w:firstLine="851"/>
      </w:pPr>
      <w:r>
        <w:t xml:space="preserve">En nyere forskningstradition </w:t>
      </w:r>
      <w:r w:rsidR="0064104E">
        <w:t xml:space="preserve">argumenterer for, at </w:t>
      </w:r>
      <w:r w:rsidR="00263E4A">
        <w:t xml:space="preserve">den traditionelle </w:t>
      </w:r>
      <w:r w:rsidR="0064104E">
        <w:t xml:space="preserve">skelnen mellem fin- og lavkultur er </w:t>
      </w:r>
      <w:r w:rsidR="009F79C4">
        <w:t>gammeldags</w:t>
      </w:r>
      <w:r w:rsidR="0064104E">
        <w:t xml:space="preserve">, og at den centrale skillelinje i dag går mellem </w:t>
      </w:r>
      <w:r>
        <w:t xml:space="preserve">kulturelle </w:t>
      </w:r>
      <w:r w:rsidRPr="00EB2875">
        <w:rPr>
          <w:i/>
        </w:rPr>
        <w:t>altædere</w:t>
      </w:r>
      <w:r>
        <w:t xml:space="preserve"> (”omnivores”) og</w:t>
      </w:r>
      <w:r w:rsidR="0064104E">
        <w:t xml:space="preserve"> </w:t>
      </w:r>
      <w:r w:rsidR="0064104E" w:rsidRPr="0064104E">
        <w:rPr>
          <w:i/>
        </w:rPr>
        <w:t>smalspisere</w:t>
      </w:r>
      <w:r w:rsidR="0064104E">
        <w:t xml:space="preserve"> (”univores”) </w:t>
      </w:r>
      <w:r w:rsidR="0064104E">
        <w:fldChar w:fldCharType="begin"/>
      </w:r>
      <w:r w:rsidR="00921E88">
        <w:instrText xml:space="preserve"> ADDIN EN.CITE &lt;EndNote&gt;&lt;Cite&gt;&lt;Author&gt;Peterson&lt;/Author&gt;&lt;Year&gt;1996&lt;/Year&gt;&lt;RecNum&gt;1385&lt;/RecNum&gt;&lt;DisplayText&gt;(Peterson &amp;amp; Kern, 1996)&lt;/DisplayText&gt;&lt;record&gt;&lt;rec-number&gt;1385&lt;/rec-number&gt;&lt;foreign-keys&gt;&lt;key app="EN" db-id="x0swxs9tltv2pleseawv2a5twd2axfd05tsr" timestamp="1467363957"&gt;1385&lt;/key&gt;&lt;/foreign-keys&gt;&lt;ref-type name="Journal Article"&gt;17&lt;/ref-type&gt;&lt;contributors&gt;&lt;authors&gt;&lt;author&gt;Peterson, Richard A.&lt;/author&gt;&lt;author&gt;Kern, Roger&lt;/author&gt;&lt;/authors&gt;&lt;/contributors&gt;&lt;titles&gt;&lt;title&gt;Changing Highbrow Taste: From Snob to Omnivore&lt;/title&gt;&lt;secondary-title&gt;American Sociological Review&lt;/secondary-title&gt;&lt;/titles&gt;&lt;periodical&gt;&lt;full-title&gt;American Sociological Review&lt;/full-title&gt;&lt;/periodical&gt;&lt;pages&gt;900-907&lt;/pages&gt;&lt;volume&gt;61&lt;/volume&gt;&lt;number&gt;5&lt;/number&gt;&lt;section&gt;900&lt;/section&gt;&lt;keywords&gt;&lt;keyword&gt;Cultural consumption&lt;/keyword&gt;&lt;/keywords&gt;&lt;dates&gt;&lt;year&gt;1996&lt;/year&gt;&lt;/dates&gt;&lt;urls&gt;&lt;/urls&gt;&lt;/record&gt;&lt;/Cite&gt;&lt;/EndNote&gt;</w:instrText>
      </w:r>
      <w:r w:rsidR="0064104E">
        <w:fldChar w:fldCharType="separate"/>
      </w:r>
      <w:r w:rsidR="00921E88">
        <w:rPr>
          <w:noProof/>
        </w:rPr>
        <w:t>(Peterson &amp; Kern, 1996)</w:t>
      </w:r>
      <w:r w:rsidR="0064104E">
        <w:fldChar w:fldCharType="end"/>
      </w:r>
      <w:r w:rsidR="0064104E">
        <w:t xml:space="preserve">. </w:t>
      </w:r>
      <w:r w:rsidR="00263E4A">
        <w:t>E</w:t>
      </w:r>
      <w:r w:rsidR="0064104E">
        <w:t xml:space="preserve">n kulturel altæder </w:t>
      </w:r>
      <w:r w:rsidR="00263E4A">
        <w:t xml:space="preserve">er </w:t>
      </w:r>
      <w:r w:rsidR="0064104E">
        <w:t>en person, som kombinerer fin- og lavkultur (fx opera den ene dag og hiphop den anden dag)</w:t>
      </w:r>
      <w:r w:rsidR="009F79C4">
        <w:t xml:space="preserve"> og som </w:t>
      </w:r>
      <w:r w:rsidR="00263E4A">
        <w:t xml:space="preserve">generelt </w:t>
      </w:r>
      <w:r w:rsidR="009F79C4">
        <w:t>er meget kulturelt aktiv</w:t>
      </w:r>
      <w:r w:rsidR="0064104E">
        <w:t xml:space="preserve">. </w:t>
      </w:r>
      <w:r w:rsidR="00263E4A">
        <w:t>E</w:t>
      </w:r>
      <w:r w:rsidR="0064104E">
        <w:t xml:space="preserve">n kulturel smalspiser </w:t>
      </w:r>
      <w:r w:rsidR="00263E4A">
        <w:t xml:space="preserve">er </w:t>
      </w:r>
      <w:r w:rsidR="0064104E">
        <w:t>en person, som primært fokuserer på én type kulturelle aktiviteter (fx fin- eller lavkultur)</w:t>
      </w:r>
      <w:r w:rsidR="009F79C4">
        <w:t xml:space="preserve"> og som </w:t>
      </w:r>
      <w:r w:rsidR="00263E4A">
        <w:t xml:space="preserve">generelt </w:t>
      </w:r>
      <w:r w:rsidR="009F79C4">
        <w:t>er mindre kulturelt aktiv</w:t>
      </w:r>
      <w:r w:rsidR="0064104E">
        <w:t xml:space="preserve">. </w:t>
      </w:r>
      <w:r w:rsidR="004C145B">
        <w:lastRenderedPageBreak/>
        <w:t xml:space="preserve">Empirisk forskning viser, at kulturelle altædere findes i Danmark, og at der er kommet flere siden 1960’erne </w:t>
      </w:r>
      <w:r w:rsidR="004C145B">
        <w:fldChar w:fldCharType="begin"/>
      </w:r>
      <w:r w:rsidR="00921E88">
        <w:instrText xml:space="preserve"> ADDIN EN.CITE &lt;EndNote&gt;&lt;Cite&gt;&lt;Author&gt;Jæger&lt;/Author&gt;&lt;Year&gt;2010&lt;/Year&gt;&lt;RecNum&gt;1949&lt;/RecNum&gt;&lt;DisplayText&gt;(Jæger &amp;amp; Katz-Gerro, 2010; Katz-Gerro &amp;amp; Jæger, 2013)&lt;/DisplayText&gt;&lt;record&gt;&lt;rec-number&gt;1949&lt;/rec-number&gt;&lt;foreign-keys&gt;&lt;key app="EN" db-id="x0swxs9tltv2pleseawv2a5twd2axfd05tsr" timestamp="1568191038"&gt;1949&lt;/key&gt;&lt;/foreign-keys&gt;&lt;ref-type name="Journal Article"&gt;17&lt;/ref-type&gt;&lt;contributors&gt;&lt;authors&gt;&lt;author&gt;Jæger, Mads Meier&lt;/author&gt;&lt;author&gt;Katz-Gerro, Tally&lt;/author&gt;&lt;/authors&gt;&lt;/contributors&gt;&lt;titles&gt;&lt;title&gt;The rise of the eclectic cultural consumer in Denmark, 1964-2004&lt;/title&gt;&lt;secondary-title&gt;Sociological Quarterly&lt;/secondary-title&gt;&lt;/titles&gt;&lt;periodical&gt;&lt;full-title&gt;Sociological Quarterly&lt;/full-title&gt;&lt;/periodical&gt;&lt;pages&gt;460-483&lt;/pages&gt;&lt;volume&gt;51&lt;/volume&gt;&lt;dates&gt;&lt;year&gt;2010&lt;/year&gt;&lt;/dates&gt;&lt;urls&gt;&lt;/urls&gt;&lt;electronic-resource-num&gt;10.1111/j.1533-8525.2010.01175.x&lt;/electronic-resource-num&gt;&lt;/record&gt;&lt;/Cite&gt;&lt;Cite&gt;&lt;Author&gt;Katz-Gerro&lt;/Author&gt;&lt;Year&gt;2013&lt;/Year&gt;&lt;RecNum&gt;1599&lt;/RecNum&gt;&lt;record&gt;&lt;rec-number&gt;1599&lt;/rec-number&gt;&lt;foreign-keys&gt;&lt;key app="EN" db-id="x0swxs9tltv2pleseawv2a5twd2axfd05tsr" timestamp="1568191029"&gt;1599&lt;/key&gt;&lt;/foreign-keys&gt;&lt;ref-type name="Journal Article"&gt;17&lt;/ref-type&gt;&lt;contributors&gt;&lt;authors&gt;&lt;author&gt;Katz-Gerro, Tally&lt;/author&gt;&lt;author&gt;Jæger, Mads Meier&lt;/author&gt;&lt;/authors&gt;&lt;/contributors&gt;&lt;titles&gt;&lt;title&gt;Top of the pops, ascend of the omnivores, defeat of the couch potatoes: Cultural consumption profiles in Denmark 1975-2004&lt;/title&gt;&lt;secondary-title&gt;European Sociological Review&lt;/secondary-title&gt;&lt;/titles&gt;&lt;periodical&gt;&lt;full-title&gt;European Sociological Review&lt;/full-title&gt;&lt;/periodical&gt;&lt;pages&gt;243-260&lt;/pages&gt;&lt;volume&gt;29&lt;/volume&gt;&lt;dates&gt;&lt;year&gt;2013&lt;/year&gt;&lt;/dates&gt;&lt;urls&gt;&lt;/urls&gt;&lt;electronic-resource-num&gt;10.1093/esr/jcr058&lt;/electronic-resource-num&gt;&lt;/record&gt;&lt;/Cite&gt;&lt;/EndNote&gt;</w:instrText>
      </w:r>
      <w:r w:rsidR="004C145B">
        <w:fldChar w:fldCharType="separate"/>
      </w:r>
      <w:r w:rsidR="00921E88">
        <w:rPr>
          <w:noProof/>
        </w:rPr>
        <w:t>(Jæger &amp; Katz-Gerro, 2010; Katz-Gerro &amp; Jæger, 2013)</w:t>
      </w:r>
      <w:r w:rsidR="004C145B">
        <w:fldChar w:fldCharType="end"/>
      </w:r>
      <w:r w:rsidR="004C145B">
        <w:t>.</w:t>
      </w:r>
    </w:p>
    <w:p w14:paraId="0424F5E4" w14:textId="1CDE5158" w:rsidR="00263E4A" w:rsidRDefault="003F13DD" w:rsidP="00001109">
      <w:pPr>
        <w:ind w:firstLine="851"/>
      </w:pPr>
      <w:r>
        <w:t xml:space="preserve">Der er en </w:t>
      </w:r>
      <w:r w:rsidR="00F31ADE">
        <w:t xml:space="preserve">livlig </w:t>
      </w:r>
      <w:r>
        <w:t xml:space="preserve">diskussion i </w:t>
      </w:r>
      <w:r w:rsidR="009F79C4">
        <w:t xml:space="preserve">forskningen </w:t>
      </w:r>
      <w:r>
        <w:t xml:space="preserve">om hvorvidt den kulturelle altæder repræsenterer en ny form for </w:t>
      </w:r>
      <w:r w:rsidR="00263E4A">
        <w:rPr>
          <w:i/>
        </w:rPr>
        <w:t xml:space="preserve">social </w:t>
      </w:r>
      <w:r w:rsidRPr="003F13DD">
        <w:rPr>
          <w:i/>
        </w:rPr>
        <w:t>distinktion</w:t>
      </w:r>
      <w:r>
        <w:t xml:space="preserve">. </w:t>
      </w:r>
      <w:r w:rsidR="00F31ADE">
        <w:t xml:space="preserve">Hypotesen </w:t>
      </w:r>
      <w:r>
        <w:t xml:space="preserve">er enkel: I de gode gamle dage var personer i toppen af det sociale hierarki finkulturelle snobber </w:t>
      </w:r>
      <w:r w:rsidR="006F377D">
        <w:t xml:space="preserve">– </w:t>
      </w:r>
      <w:r>
        <w:t>i dag er de</w:t>
      </w:r>
      <w:r w:rsidR="00F31ADE">
        <w:t xml:space="preserve"> </w:t>
      </w:r>
      <w:r>
        <w:t xml:space="preserve">kulturelle altædere </w:t>
      </w:r>
      <w:r>
        <w:fldChar w:fldCharType="begin"/>
      </w:r>
      <w:r w:rsidR="00921E88">
        <w:instrText xml:space="preserve"> ADDIN EN.CITE &lt;EndNote&gt;&lt;Cite&gt;&lt;Author&gt;Friedman&lt;/Author&gt;&lt;Year&gt;2020&lt;/Year&gt;&lt;RecNum&gt;2019&lt;/RecNum&gt;&lt;DisplayText&gt;(Friedman &amp;amp; Reeves, 2020; Prieur &amp;amp; Savage, 2011)&lt;/DisplayText&gt;&lt;record&gt;&lt;rec-number&gt;2019&lt;/rec-number&gt;&lt;foreign-keys&gt;&lt;key app="EN" db-id="x0swxs9tltv2pleseawv2a5twd2axfd05tsr" timestamp="1590398100"&gt;2019&lt;/key&gt;&lt;/foreign-keys&gt;&lt;ref-type name="Journal Article"&gt;17&lt;/ref-type&gt;&lt;contributors&gt;&lt;authors&gt;&lt;author&gt;Friedman, Sam&lt;/author&gt;&lt;author&gt;Reeves, Aaron&lt;/author&gt;&lt;/authors&gt;&lt;/contributors&gt;&lt;titles&gt;&lt;title&gt;From Aristocratic to Ordinary: Shifting Modes of Elite Distinction&lt;/title&gt;&lt;secondary-title&gt;American Sociological Review&lt;/secondary-title&gt;&lt;/titles&gt;&lt;periodical&gt;&lt;full-title&gt;American Sociological Review&lt;/full-title&gt;&lt;/periodical&gt;&lt;pages&gt;323-350&lt;/pages&gt;&lt;volume&gt;85&lt;/volume&gt;&lt;number&gt;2&lt;/number&gt;&lt;section&gt;323&lt;/section&gt;&lt;keywords&gt;&lt;keyword&gt;lifestyle&lt;/keyword&gt;&lt;keyword&gt;Cultural capital&lt;/keyword&gt;&lt;/keywords&gt;&lt;dates&gt;&lt;year&gt;2020&lt;/year&gt;&lt;/dates&gt;&lt;urls&gt;&lt;/urls&gt;&lt;/record&gt;&lt;/Cite&gt;&lt;Cite&gt;&lt;Author&gt;Prieur&lt;/Author&gt;&lt;Year&gt;2011&lt;/Year&gt;&lt;RecNum&gt;1559&lt;/RecNum&gt;&lt;record&gt;&lt;rec-number&gt;1559&lt;/rec-number&gt;&lt;foreign-keys&gt;&lt;key app="EN" db-id="x0swxs9tltv2pleseawv2a5twd2axfd05tsr" timestamp="1555069893"&gt;1559&lt;/key&gt;&lt;/foreign-keys&gt;&lt;ref-type name="Journal Article"&gt;17&lt;/ref-type&gt;&lt;contributors&gt;&lt;authors&gt;&lt;author&gt;Prieur, Annick&lt;/author&gt;&lt;author&gt;Savage, Mike&lt;/author&gt;&lt;/authors&gt;&lt;/contributors&gt;&lt;titles&gt;&lt;title&gt;Updating culturtal capital theory: A discussion based on studies in Denmark and in Britain&lt;/title&gt;&lt;secondary-title&gt;Poetics&lt;/secondary-title&gt;&lt;/titles&gt;&lt;periodical&gt;&lt;full-title&gt;Poetics&lt;/full-title&gt;&lt;/periodical&gt;&lt;pages&gt;566-580&lt;/pages&gt;&lt;volume&gt;39&lt;/volume&gt;&lt;number&gt;6&lt;/number&gt;&lt;section&gt;566&lt;/section&gt;&lt;dates&gt;&lt;year&gt;2011&lt;/year&gt;&lt;/dates&gt;&lt;urls&gt;&lt;/urls&gt;&lt;/record&gt;&lt;/Cite&gt;&lt;/EndNote&gt;</w:instrText>
      </w:r>
      <w:r>
        <w:fldChar w:fldCharType="separate"/>
      </w:r>
      <w:r w:rsidR="00921E88">
        <w:rPr>
          <w:noProof/>
        </w:rPr>
        <w:t>(Friedman &amp; Reeves, 2020; Prieur &amp; Savage, 2011)</w:t>
      </w:r>
      <w:r>
        <w:fldChar w:fldCharType="end"/>
      </w:r>
      <w:r>
        <w:t xml:space="preserve">. </w:t>
      </w:r>
      <w:r w:rsidR="00F31ADE">
        <w:t>Med andre ord, d</w:t>
      </w:r>
      <w:r>
        <w:t xml:space="preserve">et at have bred kulturel smag er en ny markør for </w:t>
      </w:r>
      <w:r w:rsidR="00263E4A">
        <w:t>høj social status</w:t>
      </w:r>
      <w:r>
        <w:t xml:space="preserve"> </w:t>
      </w:r>
      <w:r>
        <w:fldChar w:fldCharType="begin"/>
      </w:r>
      <w:r w:rsidR="00921E88">
        <w:instrText xml:space="preserve"> ADDIN EN.CITE &lt;EndNote&gt;&lt;Cite&gt;&lt;Author&gt;Johnston&lt;/Author&gt;&lt;Year&gt;2019&lt;/Year&gt;&lt;RecNum&gt;2587&lt;/RecNum&gt;&lt;DisplayText&gt;(Johnston, Baumann, &amp;amp; Oleschuk, 2019)&lt;/DisplayText&gt;&lt;record&gt;&lt;rec-number&gt;2587&lt;/rec-number&gt;&lt;foreign-keys&gt;&lt;key app="EN" db-id="x0swxs9tltv2pleseawv2a5twd2axfd05tsr" timestamp="1617958547"&gt;2587&lt;/key&gt;&lt;/foreign-keys&gt;&lt;ref-type name="Book Section"&gt;5&lt;/ref-type&gt;&lt;contributors&gt;&lt;authors&gt;&lt;author&gt;Johnston, Josée&lt;/author&gt;&lt;author&gt;Baumann, Shyon&lt;/author&gt;&lt;author&gt;Oleschuk, Merin&lt;/author&gt;&lt;/authors&gt;&lt;secondary-authors&gt;&lt;author&gt;Wherry, Frederick F.&lt;/author&gt;&lt;author&gt;Woodward, Ian&lt;/author&gt;&lt;/secondary-authors&gt;&lt;/contributors&gt;&lt;titles&gt;&lt;title&gt;Omnivorousness, Distinction, or Both?&lt;/title&gt;&lt;secondary-title&gt;The Oxford Handbook of Consumption&lt;/secondary-title&gt;&lt;/titles&gt;&lt;pages&gt;1-22&lt;/pages&gt;&lt;dates&gt;&lt;year&gt;2019&lt;/year&gt;&lt;/dates&gt;&lt;pub-location&gt;Oxford&lt;/pub-location&gt;&lt;publisher&gt;Oxford University Press&lt;/publisher&gt;&lt;urls&gt;&lt;/urls&gt;&lt;electronic-resource-num&gt;10.1093/oxfordhb/9780190695583.013.19&lt;/electronic-resource-num&gt;&lt;/record&gt;&lt;/Cite&gt;&lt;/EndNote&gt;</w:instrText>
      </w:r>
      <w:r>
        <w:fldChar w:fldCharType="separate"/>
      </w:r>
      <w:r w:rsidR="00921E88">
        <w:rPr>
          <w:noProof/>
        </w:rPr>
        <w:t>(Johnston, Baumann, &amp; Oleschuk, 2019)</w:t>
      </w:r>
      <w:r>
        <w:fldChar w:fldCharType="end"/>
      </w:r>
      <w:r>
        <w:t>.</w:t>
      </w:r>
    </w:p>
    <w:p w14:paraId="6036BAAC" w14:textId="7F8DF60B" w:rsidR="009F79C4" w:rsidRDefault="00F31ADE" w:rsidP="00001109">
      <w:pPr>
        <w:ind w:firstLine="851"/>
      </w:pPr>
      <w:r>
        <w:t xml:space="preserve">Et centralt spørgsmål er, i hvor høj grad personer i højere sociale positioner, fx personer med </w:t>
      </w:r>
      <w:r w:rsidR="009F79C4">
        <w:t xml:space="preserve">mere </w:t>
      </w:r>
      <w:r>
        <w:t xml:space="preserve">uddannelse og højere indkomst, samt personer, hvis forældre er i højere sociale positioner, er mere tilbøjelige til at blive kulturelle altædere end personer i lavere sociale positioner. Kan man </w:t>
      </w:r>
      <w:r w:rsidR="00B60392">
        <w:t xml:space="preserve">fx </w:t>
      </w:r>
      <w:r>
        <w:t>forestille sig, at en længerevarende uddannelse, eller en opvækst i et ”hjem med klaver”, skaber en bred kulturel smag</w:t>
      </w:r>
      <w:r w:rsidR="009F79C4">
        <w:t xml:space="preserve">, som lægger grobund for en fremtidig </w:t>
      </w:r>
      <w:r>
        <w:t>kulturel altæder?</w:t>
      </w:r>
    </w:p>
    <w:p w14:paraId="13AD740C" w14:textId="2397809B" w:rsidR="009F79C4" w:rsidRDefault="00001109" w:rsidP="00001109">
      <w:pPr>
        <w:ind w:firstLine="851"/>
      </w:pPr>
      <w:r>
        <w:t xml:space="preserve">I </w:t>
      </w:r>
      <w:r w:rsidR="006F377D">
        <w:t xml:space="preserve">den </w:t>
      </w:r>
      <w:r w:rsidR="00EB51E7">
        <w:t>integrerede porteføljeopgave (PO) i Velfærd, ulighed og mobilitet (VUM) og Videregående kvantitative metoder (VKM)</w:t>
      </w:r>
      <w:r w:rsidR="009F79C4">
        <w:t xml:space="preserve"> </w:t>
      </w:r>
      <w:r>
        <w:t xml:space="preserve">skal I analysere </w:t>
      </w:r>
      <w:r w:rsidR="00263E4A">
        <w:t xml:space="preserve">betydningen af </w:t>
      </w:r>
      <w:r w:rsidR="009F79C4">
        <w:t xml:space="preserve">familiebaggrund (målt ved forældres </w:t>
      </w:r>
      <w:r w:rsidR="001623C3">
        <w:t xml:space="preserve">indkomst </w:t>
      </w:r>
      <w:r w:rsidR="009F79C4">
        <w:t>og kulturelle interesser)</w:t>
      </w:r>
      <w:r w:rsidR="006F377D" w:rsidRPr="006F377D">
        <w:t xml:space="preserve"> </w:t>
      </w:r>
      <w:r w:rsidR="00263E4A">
        <w:t xml:space="preserve">og </w:t>
      </w:r>
      <w:r w:rsidR="006F377D">
        <w:t>sociale position (målt ved uddannelse)</w:t>
      </w:r>
      <w:r w:rsidR="009F79C4">
        <w:t xml:space="preserve"> </w:t>
      </w:r>
      <w:r w:rsidR="00263E4A">
        <w:t xml:space="preserve">på </w:t>
      </w:r>
      <w:r w:rsidR="00EB51E7">
        <w:t xml:space="preserve">kulturelt altæderi </w:t>
      </w:r>
      <w:r w:rsidR="009F79C4">
        <w:t>(målt ved antal</w:t>
      </w:r>
      <w:r w:rsidR="006F377D">
        <w:t>let af</w:t>
      </w:r>
      <w:r w:rsidR="009F79C4">
        <w:t xml:space="preserve"> kulturelle aktiviteter man deltager i). </w:t>
      </w:r>
      <w:r w:rsidR="00AF7890">
        <w:t xml:space="preserve">Formålet med opgaven er at </w:t>
      </w:r>
      <w:r w:rsidR="009F79C4">
        <w:t xml:space="preserve">blive klogere på, i hvor høj grad </w:t>
      </w:r>
      <w:r w:rsidR="006F377D">
        <w:t xml:space="preserve">familiebaggrund og </w:t>
      </w:r>
      <w:r w:rsidR="009F79C4">
        <w:t xml:space="preserve">uddannelse påvirker </w:t>
      </w:r>
      <w:r w:rsidR="00B60392">
        <w:t xml:space="preserve">graden af </w:t>
      </w:r>
      <w:r w:rsidR="009F79C4">
        <w:t>kulturel</w:t>
      </w:r>
      <w:r w:rsidR="00EB51E7">
        <w:t>t</w:t>
      </w:r>
      <w:r w:rsidR="009F79C4">
        <w:t xml:space="preserve"> altæderi. </w:t>
      </w:r>
      <w:r w:rsidR="00B60392">
        <w:t xml:space="preserve">En hypotese kunne være, </w:t>
      </w:r>
      <w:r w:rsidR="006F377D">
        <w:t xml:space="preserve">at en opvækst i et mere ressourcestærkt og kulturelt bredtfavnende familiemiljø skaber en bred kulturel smag. En anden hypotese kunne være, at </w:t>
      </w:r>
      <w:r w:rsidR="00B60392">
        <w:t xml:space="preserve">personer, som tilbringer </w:t>
      </w:r>
      <w:r w:rsidR="006F377D">
        <w:t xml:space="preserve">meget </w:t>
      </w:r>
      <w:r w:rsidR="00B60392">
        <w:t>tid i uddannelsessystemet, eksponeres for andre personer med bred kulturel smag</w:t>
      </w:r>
      <w:r w:rsidR="00263E4A">
        <w:t>,</w:t>
      </w:r>
      <w:r w:rsidR="00B60392">
        <w:t xml:space="preserve"> og derfor selv udvikler en bred </w:t>
      </w:r>
      <w:r w:rsidR="00263E4A">
        <w:t xml:space="preserve">– og altædende – </w:t>
      </w:r>
      <w:r w:rsidR="00B60392">
        <w:t xml:space="preserve">kulturel smag. </w:t>
      </w:r>
    </w:p>
    <w:p w14:paraId="230C1716" w14:textId="77777777" w:rsidR="00EB51E7" w:rsidRDefault="00EB51E7" w:rsidP="00DD2772">
      <w:pPr>
        <w:rPr>
          <w:b/>
        </w:rPr>
      </w:pPr>
    </w:p>
    <w:p w14:paraId="502AD297" w14:textId="0DFC4C69" w:rsidR="00CE71C8" w:rsidRPr="00CE71C8" w:rsidRDefault="00CE71C8" w:rsidP="00DD2772">
      <w:pPr>
        <w:rPr>
          <w:b/>
        </w:rPr>
      </w:pPr>
      <w:r w:rsidRPr="00CE71C8">
        <w:rPr>
          <w:b/>
        </w:rPr>
        <w:t>2. Porteføljeopgaven</w:t>
      </w:r>
    </w:p>
    <w:p w14:paraId="15DDDB1A" w14:textId="77777777" w:rsidR="00CE71C8" w:rsidRPr="00CE71C8" w:rsidRDefault="00CE71C8" w:rsidP="00DD2772">
      <w:pPr>
        <w:rPr>
          <w:i/>
        </w:rPr>
      </w:pPr>
      <w:r w:rsidRPr="00CE71C8">
        <w:rPr>
          <w:i/>
        </w:rPr>
        <w:t xml:space="preserve">2.1. </w:t>
      </w:r>
      <w:r>
        <w:rPr>
          <w:i/>
        </w:rPr>
        <w:t>Struktur</w:t>
      </w:r>
    </w:p>
    <w:p w14:paraId="7B2B2BAA" w14:textId="533F732D" w:rsidR="00B57641" w:rsidRDefault="00EB51E7" w:rsidP="00DD2772">
      <w:r>
        <w:t xml:space="preserve">PO </w:t>
      </w:r>
      <w:r w:rsidR="00B57641">
        <w:t xml:space="preserve">er struktureret omkring en case, </w:t>
      </w:r>
      <w:r w:rsidR="001467EC">
        <w:t xml:space="preserve">som i </w:t>
      </w:r>
      <w:r w:rsidR="00B57641">
        <w:t xml:space="preserve">dette tilfælde </w:t>
      </w:r>
      <w:r w:rsidR="001467EC">
        <w:t xml:space="preserve">er </w:t>
      </w:r>
      <w:r>
        <w:t>sammenhængen mellen familiebaggrund</w:t>
      </w:r>
      <w:r w:rsidR="006F377D">
        <w:t>, uddannelse</w:t>
      </w:r>
      <w:r>
        <w:t xml:space="preserve"> og omfang af kulturelt altæderi</w:t>
      </w:r>
      <w:r w:rsidR="00B57641">
        <w:t xml:space="preserve">. Ideen er, at I skal </w:t>
      </w:r>
      <w:r w:rsidR="001467EC">
        <w:t xml:space="preserve">bruge </w:t>
      </w:r>
      <w:r w:rsidR="00B57641">
        <w:t xml:space="preserve">de begreber, værktøjer og den empiriske viden, som I har tilegnet jer i VUM, til at analysere </w:t>
      </w:r>
      <w:r w:rsidR="001467EC">
        <w:t xml:space="preserve">denne </w:t>
      </w:r>
      <w:r w:rsidR="00B57641">
        <w:t>case</w:t>
      </w:r>
      <w:r w:rsidR="00473683">
        <w:t>.</w:t>
      </w:r>
    </w:p>
    <w:p w14:paraId="423713F1" w14:textId="10B1E419" w:rsidR="00AB652E" w:rsidRDefault="00C8635E" w:rsidP="00843045">
      <w:pPr>
        <w:ind w:firstLine="720"/>
      </w:pPr>
      <w:r>
        <w:t xml:space="preserve">Opgaven har </w:t>
      </w:r>
      <w:r w:rsidRPr="007A0C5F">
        <w:rPr>
          <w:i/>
        </w:rPr>
        <w:t>tre delelementer</w:t>
      </w:r>
      <w:r>
        <w:t xml:space="preserve">. </w:t>
      </w:r>
      <w:r w:rsidR="009B73CA">
        <w:t xml:space="preserve">I skal (a) opstille et </w:t>
      </w:r>
      <w:r>
        <w:t xml:space="preserve">teoretisk </w:t>
      </w:r>
      <w:r w:rsidR="009B73CA">
        <w:t xml:space="preserve">begrebsapparat til at </w:t>
      </w:r>
      <w:r>
        <w:t xml:space="preserve">analysere </w:t>
      </w:r>
      <w:r w:rsidR="00B60392">
        <w:t xml:space="preserve">sammenhængen mellem </w:t>
      </w:r>
      <w:r w:rsidR="006F377D">
        <w:t xml:space="preserve">familiebaggrund, </w:t>
      </w:r>
      <w:r w:rsidR="00B60392">
        <w:t>uddannelse</w:t>
      </w:r>
      <w:r w:rsidR="00A4264E">
        <w:t xml:space="preserve"> </w:t>
      </w:r>
      <w:r w:rsidR="00B60392">
        <w:t xml:space="preserve">og </w:t>
      </w:r>
      <w:r w:rsidR="00290233">
        <w:t>kulturel</w:t>
      </w:r>
      <w:r w:rsidR="00EB51E7">
        <w:t>t</w:t>
      </w:r>
      <w:r w:rsidR="00290233">
        <w:t xml:space="preserve"> </w:t>
      </w:r>
      <w:r w:rsidR="00EB51E7">
        <w:t>altæderi</w:t>
      </w:r>
      <w:r w:rsidR="009B73CA">
        <w:t xml:space="preserve">, (b) </w:t>
      </w:r>
      <w:r w:rsidR="007A0C5F">
        <w:t xml:space="preserve">præsentere </w:t>
      </w:r>
      <w:r w:rsidR="009B73CA">
        <w:t>et metod</w:t>
      </w:r>
      <w:r w:rsidR="00280819">
        <w:t>ologisk</w:t>
      </w:r>
      <w:r w:rsidR="009B73CA">
        <w:t xml:space="preserve"> design til at analysere dette fænomen </w:t>
      </w:r>
      <w:r>
        <w:t xml:space="preserve">empirisk </w:t>
      </w:r>
      <w:r w:rsidR="009B73CA">
        <w:t xml:space="preserve">og (c) </w:t>
      </w:r>
      <w:r w:rsidR="00CE71C8">
        <w:t xml:space="preserve">analysere </w:t>
      </w:r>
      <w:r w:rsidR="00765364">
        <w:t xml:space="preserve">empiriske </w:t>
      </w:r>
      <w:r w:rsidR="00B60392">
        <w:t>sammenhænge mellem</w:t>
      </w:r>
      <w:r w:rsidR="00A4264E">
        <w:t xml:space="preserve"> </w:t>
      </w:r>
      <w:r w:rsidR="00B60392">
        <w:t>familiebaggrund</w:t>
      </w:r>
      <w:r w:rsidR="006F377D">
        <w:t>, uddannelse</w:t>
      </w:r>
      <w:r w:rsidR="00B60392">
        <w:t xml:space="preserve"> og kulturel</w:t>
      </w:r>
      <w:r w:rsidR="00EB51E7">
        <w:t>t altæderi</w:t>
      </w:r>
      <w:r w:rsidR="00B60392">
        <w:t xml:space="preserve"> </w:t>
      </w:r>
      <w:r w:rsidR="00C53BCA">
        <w:t xml:space="preserve">med udgangspunkt </w:t>
      </w:r>
      <w:r w:rsidR="009B73CA">
        <w:t>i kvantitative data</w:t>
      </w:r>
      <w:r w:rsidR="002B0B48">
        <w:t xml:space="preserve"> og statistiske metoder</w:t>
      </w:r>
      <w:r w:rsidR="009B73CA">
        <w:t>.</w:t>
      </w:r>
      <w:r w:rsidR="001467EC">
        <w:rPr>
          <w:rStyle w:val="FootnoteReference"/>
        </w:rPr>
        <w:footnoteReference w:id="1"/>
      </w:r>
      <w:r w:rsidR="009B73CA">
        <w:t xml:space="preserve"> </w:t>
      </w:r>
      <w:r w:rsidR="00E466DE">
        <w:t>Porteføljeopgaven består af tre dele</w:t>
      </w:r>
      <w:r w:rsidR="009B73CA">
        <w:t>:</w:t>
      </w:r>
    </w:p>
    <w:p w14:paraId="5604CFB4" w14:textId="7D74C62A" w:rsidR="00CC34B8" w:rsidRDefault="00473683" w:rsidP="00CC34B8">
      <w:pPr>
        <w:pStyle w:val="ListNumber"/>
        <w:numPr>
          <w:ilvl w:val="2"/>
          <w:numId w:val="4"/>
        </w:numPr>
        <w:spacing w:after="0"/>
      </w:pPr>
      <w:r>
        <w:t xml:space="preserve">I </w:t>
      </w:r>
      <w:r w:rsidRPr="00FD5CF5">
        <w:t>første del</w:t>
      </w:r>
      <w:r>
        <w:t xml:space="preserve"> skal </w:t>
      </w:r>
      <w:r w:rsidR="00FD5CF5">
        <w:t xml:space="preserve">I </w:t>
      </w:r>
      <w:r w:rsidR="009B73CA">
        <w:t xml:space="preserve">opstille et </w:t>
      </w:r>
      <w:r w:rsidR="00CE71C8" w:rsidRPr="00CE71C8">
        <w:rPr>
          <w:i/>
        </w:rPr>
        <w:t xml:space="preserve">teoretisk </w:t>
      </w:r>
      <w:r w:rsidR="009B73CA" w:rsidRPr="00CE71C8">
        <w:rPr>
          <w:i/>
        </w:rPr>
        <w:t>begrebsapparat</w:t>
      </w:r>
      <w:r w:rsidR="00A4264E">
        <w:t xml:space="preserve">, som kan bruges til at motivere en </w:t>
      </w:r>
      <w:r w:rsidR="00EB51E7">
        <w:t>sammenhæng mellem</w:t>
      </w:r>
      <w:r w:rsidR="00A4264E">
        <w:t xml:space="preserve"> </w:t>
      </w:r>
      <w:r w:rsidR="00EB51E7">
        <w:t>familiebaggrund</w:t>
      </w:r>
      <w:r w:rsidR="006F377D">
        <w:t>, uddannelse</w:t>
      </w:r>
      <w:r w:rsidR="00EB51E7">
        <w:t xml:space="preserve"> og kulturelt altæderi</w:t>
      </w:r>
      <w:r>
        <w:t xml:space="preserve">. I </w:t>
      </w:r>
      <w:r w:rsidR="005B0F26">
        <w:t xml:space="preserve">skal </w:t>
      </w:r>
      <w:r w:rsidR="00C8635E">
        <w:t xml:space="preserve">her </w:t>
      </w:r>
      <w:r>
        <w:t xml:space="preserve">trække på de teorier </w:t>
      </w:r>
      <w:r w:rsidR="005B0F26">
        <w:t xml:space="preserve">og </w:t>
      </w:r>
      <w:r>
        <w:t xml:space="preserve">begreber, som vi </w:t>
      </w:r>
      <w:r w:rsidR="00FD5CF5">
        <w:t xml:space="preserve">har </w:t>
      </w:r>
      <w:r>
        <w:t>diskutere</w:t>
      </w:r>
      <w:r w:rsidR="00FD5CF5">
        <w:t>t</w:t>
      </w:r>
      <w:r>
        <w:t xml:space="preserve"> i VUM (fx </w:t>
      </w:r>
      <w:r w:rsidR="00765364">
        <w:t xml:space="preserve">livsstile, </w:t>
      </w:r>
      <w:r w:rsidR="00085477">
        <w:t xml:space="preserve">økonomisk ulighed, </w:t>
      </w:r>
      <w:r>
        <w:lastRenderedPageBreak/>
        <w:t>sociale klasser</w:t>
      </w:r>
      <w:r w:rsidR="006F377D">
        <w:t xml:space="preserve"> </w:t>
      </w:r>
      <w:r w:rsidR="00765364">
        <w:t xml:space="preserve">og </w:t>
      </w:r>
      <w:r w:rsidR="006F377D">
        <w:t>social mobilitet</w:t>
      </w:r>
      <w:r>
        <w:t>)</w:t>
      </w:r>
      <w:r w:rsidR="005B0F26">
        <w:t xml:space="preserve">. I må </w:t>
      </w:r>
      <w:r w:rsidR="005B0F26" w:rsidRPr="00843045">
        <w:rPr>
          <w:u w:val="single"/>
        </w:rPr>
        <w:t>gerne</w:t>
      </w:r>
      <w:r w:rsidR="005B0F26">
        <w:t xml:space="preserve"> supplere med </w:t>
      </w:r>
      <w:r w:rsidR="00C8635E">
        <w:t>teori</w:t>
      </w:r>
      <w:r w:rsidR="00A4264E">
        <w:t>er/</w:t>
      </w:r>
      <w:r w:rsidR="00EB51E7">
        <w:t xml:space="preserve">ideer fra tidligere kurser </w:t>
      </w:r>
      <w:r w:rsidR="001467EC">
        <w:t xml:space="preserve">i det omfang </w:t>
      </w:r>
      <w:r w:rsidR="002B0B48">
        <w:t>I finder det</w:t>
      </w:r>
      <w:r w:rsidR="00C8635E">
        <w:t>te</w:t>
      </w:r>
      <w:r w:rsidR="002B0B48">
        <w:t xml:space="preserve"> relevant</w:t>
      </w:r>
      <w:r w:rsidR="005B0F26">
        <w:t>.</w:t>
      </w:r>
      <w:r w:rsidR="009B73CA">
        <w:t xml:space="preserve"> Første del af porteføljeopgaven udarbejde</w:t>
      </w:r>
      <w:r w:rsidR="00C8635E">
        <w:t>s</w:t>
      </w:r>
      <w:r w:rsidR="009B73CA">
        <w:t xml:space="preserve"> som led i VUM.</w:t>
      </w:r>
    </w:p>
    <w:p w14:paraId="11A10D5A" w14:textId="77777777" w:rsidR="00CC34B8" w:rsidRDefault="00CC34B8" w:rsidP="00CC34B8">
      <w:pPr>
        <w:pStyle w:val="ListNumber"/>
        <w:numPr>
          <w:ilvl w:val="0"/>
          <w:numId w:val="0"/>
        </w:numPr>
        <w:spacing w:after="0"/>
        <w:ind w:left="720"/>
      </w:pPr>
    </w:p>
    <w:p w14:paraId="6A89EAD1" w14:textId="1317E53E" w:rsidR="00CC34B8" w:rsidRDefault="009B73CA" w:rsidP="00CC34B8">
      <w:pPr>
        <w:pStyle w:val="ListNumber"/>
        <w:numPr>
          <w:ilvl w:val="2"/>
          <w:numId w:val="4"/>
        </w:numPr>
        <w:spacing w:after="0"/>
      </w:pPr>
      <w:r>
        <w:t xml:space="preserve">I anden del skal I </w:t>
      </w:r>
      <w:r w:rsidR="007A0C5F">
        <w:t xml:space="preserve">præsentere </w:t>
      </w:r>
      <w:r>
        <w:t xml:space="preserve">et </w:t>
      </w:r>
      <w:r w:rsidR="00765364" w:rsidRPr="00765364">
        <w:rPr>
          <w:i/>
        </w:rPr>
        <w:t>det</w:t>
      </w:r>
      <w:r w:rsidR="00765364">
        <w:t xml:space="preserve"> </w:t>
      </w:r>
      <w:r w:rsidRPr="00CC34B8">
        <w:rPr>
          <w:i/>
        </w:rPr>
        <w:t>metod</w:t>
      </w:r>
      <w:r w:rsidR="001274D8">
        <w:rPr>
          <w:i/>
        </w:rPr>
        <w:t>ologisk</w:t>
      </w:r>
      <w:r w:rsidR="00765364">
        <w:rPr>
          <w:i/>
        </w:rPr>
        <w:t>e</w:t>
      </w:r>
      <w:r w:rsidRPr="00CC34B8">
        <w:rPr>
          <w:i/>
        </w:rPr>
        <w:t xml:space="preserve"> design</w:t>
      </w:r>
      <w:r>
        <w:t xml:space="preserve">, som </w:t>
      </w:r>
      <w:r w:rsidR="00765364">
        <w:t xml:space="preserve">I vil </w:t>
      </w:r>
      <w:r>
        <w:t xml:space="preserve">bruge til at analysere </w:t>
      </w:r>
      <w:r w:rsidR="00A4264E">
        <w:t>sammenhængen mellen familiebaggrund</w:t>
      </w:r>
      <w:r w:rsidR="006F377D">
        <w:t>, uddannelse</w:t>
      </w:r>
      <w:r w:rsidR="00A4264E">
        <w:t xml:space="preserve"> og kulturelt altæderi</w:t>
      </w:r>
      <w:r>
        <w:t xml:space="preserve">. I skal her </w:t>
      </w:r>
      <w:r w:rsidR="007A0C5F">
        <w:t xml:space="preserve">arbejde med </w:t>
      </w:r>
      <w:r w:rsidR="00CE71C8">
        <w:t xml:space="preserve">de </w:t>
      </w:r>
      <w:r>
        <w:t xml:space="preserve">statistiske </w:t>
      </w:r>
      <w:r w:rsidR="00A4264E">
        <w:t>værktøjer</w:t>
      </w:r>
      <w:r w:rsidR="00AB652E">
        <w:t>,</w:t>
      </w:r>
      <w:r>
        <w:t xml:space="preserve"> </w:t>
      </w:r>
      <w:r w:rsidR="00843045">
        <w:t xml:space="preserve">som I har lært i </w:t>
      </w:r>
      <w:r w:rsidR="00A4264E">
        <w:t>VKM</w:t>
      </w:r>
      <w:r>
        <w:t xml:space="preserve">. </w:t>
      </w:r>
      <w:r w:rsidRPr="0082551B">
        <w:rPr>
          <w:i/>
        </w:rPr>
        <w:t>Anden del af porteføljeopgaven udarbejde</w:t>
      </w:r>
      <w:r w:rsidR="00CE71C8" w:rsidRPr="0082551B">
        <w:rPr>
          <w:i/>
        </w:rPr>
        <w:t>s</w:t>
      </w:r>
      <w:r w:rsidRPr="0082551B">
        <w:rPr>
          <w:i/>
        </w:rPr>
        <w:t xml:space="preserve"> som led i </w:t>
      </w:r>
      <w:r w:rsidR="00A4264E">
        <w:rPr>
          <w:i/>
        </w:rPr>
        <w:t>VKM</w:t>
      </w:r>
      <w:r w:rsidRPr="0082551B">
        <w:rPr>
          <w:i/>
        </w:rPr>
        <w:t>.</w:t>
      </w:r>
    </w:p>
    <w:p w14:paraId="48024BD0" w14:textId="77777777" w:rsidR="00CC34B8" w:rsidRDefault="00CC34B8" w:rsidP="00CC34B8">
      <w:pPr>
        <w:pStyle w:val="ListParagraph"/>
        <w:spacing w:after="0"/>
      </w:pPr>
    </w:p>
    <w:p w14:paraId="1B233605" w14:textId="1D0811AC" w:rsidR="009B73CA" w:rsidRDefault="002B0B48" w:rsidP="00CC34B8">
      <w:pPr>
        <w:pStyle w:val="ListNumber"/>
        <w:numPr>
          <w:ilvl w:val="2"/>
          <w:numId w:val="4"/>
        </w:numPr>
        <w:spacing w:after="0"/>
      </w:pPr>
      <w:r w:rsidRPr="002B0B48">
        <w:t>I tredje</w:t>
      </w:r>
      <w:r w:rsidRPr="00CC34B8">
        <w:rPr>
          <w:b/>
        </w:rPr>
        <w:t xml:space="preserve"> </w:t>
      </w:r>
      <w:r>
        <w:t xml:space="preserve">del skal I </w:t>
      </w:r>
      <w:r w:rsidRPr="00CC34B8">
        <w:rPr>
          <w:i/>
        </w:rPr>
        <w:t xml:space="preserve">analysere </w:t>
      </w:r>
      <w:r w:rsidR="00A4264E">
        <w:rPr>
          <w:i/>
        </w:rPr>
        <w:t>sammenhængen mellem familiebaggrund</w:t>
      </w:r>
      <w:r w:rsidR="006F377D">
        <w:rPr>
          <w:i/>
        </w:rPr>
        <w:t>, uddannelse</w:t>
      </w:r>
      <w:r w:rsidR="00A4264E">
        <w:rPr>
          <w:i/>
        </w:rPr>
        <w:t xml:space="preserve"> og kulturelt altæderi </w:t>
      </w:r>
      <w:r>
        <w:t>med udgangspunkt i data</w:t>
      </w:r>
      <w:r w:rsidR="00CE71C8">
        <w:t xml:space="preserve"> fra </w:t>
      </w:r>
      <w:r w:rsidR="00A4264E">
        <w:t>Generations</w:t>
      </w:r>
      <w:r w:rsidR="00085477">
        <w:t>undersøgelsen</w:t>
      </w:r>
      <w:r w:rsidR="007A0C5F">
        <w:t xml:space="preserve"> (beskrevet nedenfor)</w:t>
      </w:r>
      <w:r w:rsidR="00C8635E">
        <w:t xml:space="preserve">. I skal </w:t>
      </w:r>
      <w:r w:rsidR="00843045">
        <w:t xml:space="preserve">her </w:t>
      </w:r>
      <w:r w:rsidR="00C8635E">
        <w:t xml:space="preserve">trække på jeres teoretiske begrebsapparat </w:t>
      </w:r>
      <w:r>
        <w:t xml:space="preserve">og </w:t>
      </w:r>
      <w:r w:rsidR="00C8635E">
        <w:t>meto</w:t>
      </w:r>
      <w:r w:rsidR="00AB652E">
        <w:t>dologiske</w:t>
      </w:r>
      <w:r w:rsidR="00C8635E">
        <w:t xml:space="preserve"> design til at </w:t>
      </w:r>
      <w:r w:rsidR="00A4264E">
        <w:t xml:space="preserve">fortolke sammenhænge mellem </w:t>
      </w:r>
      <w:r w:rsidR="006F377D">
        <w:t xml:space="preserve">familiebaggrund, </w:t>
      </w:r>
      <w:r w:rsidR="00A4264E">
        <w:t xml:space="preserve">uddannelse og </w:t>
      </w:r>
      <w:r w:rsidR="005163E3">
        <w:t>kulturel</w:t>
      </w:r>
      <w:r w:rsidR="00A4264E">
        <w:t>t altæderi</w:t>
      </w:r>
      <w:r w:rsidR="00CE71C8">
        <w:t xml:space="preserve">, herunder </w:t>
      </w:r>
      <w:r w:rsidR="00A4264E">
        <w:t xml:space="preserve">overveje </w:t>
      </w:r>
      <w:r w:rsidR="006F377D">
        <w:t xml:space="preserve">i hvilket omfang </w:t>
      </w:r>
      <w:r w:rsidR="00765364">
        <w:t xml:space="preserve">disse sammenhænge kan fortolkes som </w:t>
      </w:r>
      <w:r w:rsidR="00A4264E">
        <w:t>årsagssammenhænge</w:t>
      </w:r>
      <w:r w:rsidR="00C8635E">
        <w:t>.</w:t>
      </w:r>
    </w:p>
    <w:p w14:paraId="30DC0DEC" w14:textId="77777777" w:rsidR="00B57641" w:rsidRDefault="00B57641" w:rsidP="00DD2772">
      <w:pPr>
        <w:pStyle w:val="ListNumber"/>
        <w:numPr>
          <w:ilvl w:val="0"/>
          <w:numId w:val="0"/>
        </w:numPr>
      </w:pPr>
    </w:p>
    <w:p w14:paraId="050EE1BE" w14:textId="788B2127" w:rsidR="00B57641" w:rsidRDefault="00B57641" w:rsidP="00DD2772">
      <w:pPr>
        <w:pStyle w:val="ListNumber"/>
        <w:numPr>
          <w:ilvl w:val="0"/>
          <w:numId w:val="0"/>
        </w:numPr>
      </w:pPr>
      <w:r>
        <w:t xml:space="preserve">Husk på, at selv om I laver </w:t>
      </w:r>
      <w:r w:rsidR="00A4264E">
        <w:t xml:space="preserve">PO </w:t>
      </w:r>
      <w:r w:rsidR="007A0C5F">
        <w:t xml:space="preserve">i ”bidder” </w:t>
      </w:r>
      <w:r>
        <w:t xml:space="preserve">bliver den bedømt </w:t>
      </w:r>
      <w:r w:rsidRPr="002B0B48">
        <w:rPr>
          <w:i/>
        </w:rPr>
        <w:t>samlet</w:t>
      </w:r>
      <w:r w:rsidR="00765364">
        <w:t>, dvs. som én hel opgave</w:t>
      </w:r>
      <w:r>
        <w:t xml:space="preserve">. Det er jeres ansvar, at de tre dele af opgaven hænger sammen </w:t>
      </w:r>
      <w:r w:rsidR="00F87B28">
        <w:t>i den samle</w:t>
      </w:r>
      <w:r w:rsidR="006F377D">
        <w:t>de</w:t>
      </w:r>
      <w:r w:rsidR="00F87B28">
        <w:t xml:space="preserve"> besvarelse </w:t>
      </w:r>
      <w:r>
        <w:t>og at I får besvaret den overordnede problemstilling</w:t>
      </w:r>
      <w:r w:rsidR="00765364">
        <w:t>.</w:t>
      </w:r>
    </w:p>
    <w:p w14:paraId="26F6E2AF" w14:textId="77777777" w:rsidR="00222DEA" w:rsidRDefault="00222DEA" w:rsidP="00DD2772">
      <w:pPr>
        <w:pStyle w:val="ListNumber"/>
        <w:numPr>
          <w:ilvl w:val="0"/>
          <w:numId w:val="0"/>
        </w:numPr>
      </w:pPr>
    </w:p>
    <w:p w14:paraId="686310F0" w14:textId="068286A1" w:rsidR="00B57641" w:rsidRDefault="00A4264E" w:rsidP="00DD2772">
      <w:pPr>
        <w:pStyle w:val="ListNumber"/>
        <w:numPr>
          <w:ilvl w:val="0"/>
          <w:numId w:val="0"/>
        </w:numPr>
      </w:pPr>
      <w:r>
        <w:rPr>
          <w:b/>
        </w:rPr>
        <w:t xml:space="preserve">POs </w:t>
      </w:r>
      <w:r w:rsidR="00B57641" w:rsidRPr="0021621C">
        <w:rPr>
          <w:b/>
        </w:rPr>
        <w:t>samlede omfang er 15 sider af 2400 tegn</w:t>
      </w:r>
      <w:r>
        <w:rPr>
          <w:b/>
        </w:rPr>
        <w:t xml:space="preserve"> hvis opgaven laves af én studerende</w:t>
      </w:r>
      <w:r w:rsidR="00B57641">
        <w:t xml:space="preserve">. </w:t>
      </w:r>
      <w:r>
        <w:t xml:space="preserve">Der tillægges 5 sider per studerende hvis opgaven laves i grupper (max 4). </w:t>
      </w:r>
      <w:r w:rsidR="00765364">
        <w:t xml:space="preserve">PO </w:t>
      </w:r>
      <w:r w:rsidR="00B57641">
        <w:t xml:space="preserve">bør være disponeret </w:t>
      </w:r>
      <w:r w:rsidR="00765364">
        <w:t xml:space="preserve">ca. </w:t>
      </w:r>
      <w:r w:rsidR="00DD2772">
        <w:t xml:space="preserve">som beskrevet i tabel </w:t>
      </w:r>
      <w:r>
        <w:t>1</w:t>
      </w:r>
      <w:r w:rsidR="006F377D">
        <w:t xml:space="preserve"> (med udgangspunkt i en besvarelse </w:t>
      </w:r>
      <w:r w:rsidR="00765364">
        <w:t xml:space="preserve">lavet </w:t>
      </w:r>
      <w:r w:rsidR="006F377D">
        <w:t>af én studerende)</w:t>
      </w:r>
      <w:r w:rsidR="00DD2772">
        <w:t>.</w:t>
      </w:r>
    </w:p>
    <w:p w14:paraId="3B8DBE53" w14:textId="77777777" w:rsidR="00004893" w:rsidRDefault="00004893" w:rsidP="00DD2772">
      <w:pPr>
        <w:pStyle w:val="ListNumber"/>
        <w:numPr>
          <w:ilvl w:val="0"/>
          <w:numId w:val="0"/>
        </w:numPr>
      </w:pPr>
    </w:p>
    <w:p w14:paraId="47CB48A6" w14:textId="242D001D" w:rsidR="00B57641" w:rsidRDefault="00B57641" w:rsidP="00DD2772">
      <w:pPr>
        <w:pStyle w:val="ListNumber"/>
        <w:numPr>
          <w:ilvl w:val="0"/>
          <w:numId w:val="0"/>
        </w:numPr>
      </w:pPr>
      <w:r>
        <w:t xml:space="preserve">Tabel </w:t>
      </w:r>
      <w:r w:rsidR="00A4264E">
        <w:t>1</w:t>
      </w:r>
      <w:r w:rsidR="00DD2772">
        <w:t>. Porteføljeopgavens struktur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667"/>
        <w:gridCol w:w="1560"/>
        <w:gridCol w:w="1275"/>
        <w:gridCol w:w="3686"/>
      </w:tblGrid>
      <w:tr w:rsidR="00FF7AC6" w14:paraId="38B0A8EA" w14:textId="77777777" w:rsidTr="002401A0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CAEE19E" w14:textId="77777777" w:rsidR="00FF7AC6" w:rsidRDefault="00FF7AC6" w:rsidP="0058556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Del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C125805" w14:textId="75507FCB" w:rsidR="00FF7AC6" w:rsidRDefault="00765364" w:rsidP="00585561">
            <w:pPr>
              <w:pStyle w:val="ListNumber"/>
              <w:numPr>
                <w:ilvl w:val="0"/>
                <w:numId w:val="0"/>
              </w:numPr>
            </w:pPr>
            <w:r>
              <w:t>F</w:t>
            </w:r>
            <w:r w:rsidR="00FF7AC6">
              <w:t>eedback hvor?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26C787B1" w14:textId="77777777" w:rsidR="00FF7AC6" w:rsidRDefault="00FF7AC6" w:rsidP="0058556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Indhold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FAD5CE7" w14:textId="77777777" w:rsidR="00FF7AC6" w:rsidRDefault="00585561" w:rsidP="0058556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Ca. a</w:t>
            </w:r>
            <w:r w:rsidR="00FF7AC6">
              <w:t>ntal sider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8D1EE52" w14:textId="14967C48" w:rsidR="00FF7AC6" w:rsidRDefault="00FF7AC6" w:rsidP="003F653D">
            <w:pPr>
              <w:pStyle w:val="ListNumber"/>
              <w:numPr>
                <w:ilvl w:val="0"/>
                <w:numId w:val="0"/>
              </w:numPr>
            </w:pPr>
            <w:r>
              <w:t>Tidsplan</w:t>
            </w:r>
            <w:r w:rsidR="007A204B">
              <w:t xml:space="preserve"> </w:t>
            </w:r>
          </w:p>
        </w:tc>
      </w:tr>
      <w:tr w:rsidR="001420A7" w14:paraId="665F48AE" w14:textId="77777777" w:rsidTr="002401A0">
        <w:tc>
          <w:tcPr>
            <w:tcW w:w="1843" w:type="dxa"/>
            <w:tcBorders>
              <w:top w:val="single" w:sz="4" w:space="0" w:color="auto"/>
            </w:tcBorders>
          </w:tcPr>
          <w:p w14:paraId="6C4CECC6" w14:textId="77777777" w:rsidR="001420A7" w:rsidRDefault="001420A7" w:rsidP="001420A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 (VUM)</w:t>
            </w:r>
          </w:p>
        </w:tc>
        <w:tc>
          <w:tcPr>
            <w:tcW w:w="1667" w:type="dxa"/>
            <w:tcBorders>
              <w:top w:val="single" w:sz="4" w:space="0" w:color="auto"/>
            </w:tcBorders>
          </w:tcPr>
          <w:p w14:paraId="5E246AFA" w14:textId="77777777" w:rsidR="001420A7" w:rsidRDefault="001420A7" w:rsidP="001420A7">
            <w:pPr>
              <w:pStyle w:val="ListNumber"/>
              <w:numPr>
                <w:ilvl w:val="0"/>
                <w:numId w:val="0"/>
              </w:numPr>
            </w:pPr>
            <w:r>
              <w:t>VUM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3628ED2F" w14:textId="77777777" w:rsidR="001420A7" w:rsidRDefault="001420A7" w:rsidP="001420A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Indledning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B200149" w14:textId="77777777" w:rsidR="001420A7" w:rsidRDefault="001420A7" w:rsidP="001420A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75DE25DB" w14:textId="64F1F8E0" w:rsidR="001420A7" w:rsidRPr="001420A7" w:rsidRDefault="003F653D" w:rsidP="00AC00CC">
            <w:pPr>
              <w:pStyle w:val="ListNumber"/>
              <w:numPr>
                <w:ilvl w:val="0"/>
                <w:numId w:val="0"/>
              </w:numPr>
            </w:pPr>
            <w:r>
              <w:t>Se Absalon</w:t>
            </w:r>
          </w:p>
        </w:tc>
      </w:tr>
      <w:tr w:rsidR="001420A7" w14:paraId="377A6FB6" w14:textId="77777777" w:rsidTr="002401A0">
        <w:tc>
          <w:tcPr>
            <w:tcW w:w="1843" w:type="dxa"/>
          </w:tcPr>
          <w:p w14:paraId="70741A71" w14:textId="77777777" w:rsidR="001420A7" w:rsidRDefault="001420A7" w:rsidP="001420A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 (VUM)</w:t>
            </w:r>
          </w:p>
        </w:tc>
        <w:tc>
          <w:tcPr>
            <w:tcW w:w="1667" w:type="dxa"/>
          </w:tcPr>
          <w:p w14:paraId="31275C16" w14:textId="77777777" w:rsidR="001420A7" w:rsidRDefault="001420A7" w:rsidP="001420A7">
            <w:pPr>
              <w:pStyle w:val="ListNumber"/>
              <w:numPr>
                <w:ilvl w:val="0"/>
                <w:numId w:val="0"/>
              </w:numPr>
            </w:pPr>
            <w:r>
              <w:t>VUM</w:t>
            </w:r>
          </w:p>
        </w:tc>
        <w:tc>
          <w:tcPr>
            <w:tcW w:w="1560" w:type="dxa"/>
          </w:tcPr>
          <w:p w14:paraId="4E04755C" w14:textId="77777777" w:rsidR="001420A7" w:rsidRDefault="001420A7" w:rsidP="001420A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Teori</w:t>
            </w:r>
          </w:p>
        </w:tc>
        <w:tc>
          <w:tcPr>
            <w:tcW w:w="1275" w:type="dxa"/>
          </w:tcPr>
          <w:p w14:paraId="1C171B32" w14:textId="77777777" w:rsidR="001420A7" w:rsidRDefault="001420A7" w:rsidP="001420A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5</w:t>
            </w:r>
          </w:p>
        </w:tc>
        <w:tc>
          <w:tcPr>
            <w:tcW w:w="3686" w:type="dxa"/>
          </w:tcPr>
          <w:p w14:paraId="3D7B1FA9" w14:textId="0B1DF6B7" w:rsidR="001420A7" w:rsidRPr="001420A7" w:rsidRDefault="001420A7" w:rsidP="00004893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D741BC" w14:paraId="5A2C1D6E" w14:textId="77777777" w:rsidTr="002401A0">
        <w:tc>
          <w:tcPr>
            <w:tcW w:w="1843" w:type="dxa"/>
          </w:tcPr>
          <w:p w14:paraId="6F1C605F" w14:textId="5E7DB88B" w:rsidR="00D741BC" w:rsidRDefault="00D741BC" w:rsidP="002401A0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2 (</w:t>
            </w:r>
            <w:r w:rsidR="002401A0">
              <w:t>VKM</w:t>
            </w:r>
            <w:r>
              <w:t>)</w:t>
            </w:r>
          </w:p>
        </w:tc>
        <w:tc>
          <w:tcPr>
            <w:tcW w:w="1667" w:type="dxa"/>
          </w:tcPr>
          <w:p w14:paraId="2EAA12C0" w14:textId="4C7CBD9D" w:rsidR="00D741BC" w:rsidRDefault="002401A0" w:rsidP="00585561">
            <w:pPr>
              <w:pStyle w:val="ListNumber"/>
              <w:numPr>
                <w:ilvl w:val="0"/>
                <w:numId w:val="0"/>
              </w:numPr>
            </w:pPr>
            <w:r>
              <w:t>VKM</w:t>
            </w:r>
          </w:p>
        </w:tc>
        <w:tc>
          <w:tcPr>
            <w:tcW w:w="1560" w:type="dxa"/>
          </w:tcPr>
          <w:p w14:paraId="4D9E1B81" w14:textId="77777777" w:rsidR="00D741BC" w:rsidRDefault="00D741BC" w:rsidP="0058556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Design</w:t>
            </w:r>
          </w:p>
        </w:tc>
        <w:tc>
          <w:tcPr>
            <w:tcW w:w="1275" w:type="dxa"/>
          </w:tcPr>
          <w:p w14:paraId="4591EFD7" w14:textId="77777777" w:rsidR="00D741BC" w:rsidRDefault="00D741BC" w:rsidP="0058556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3</w:t>
            </w:r>
          </w:p>
        </w:tc>
        <w:tc>
          <w:tcPr>
            <w:tcW w:w="3686" w:type="dxa"/>
            <w:shd w:val="clear" w:color="auto" w:fill="auto"/>
          </w:tcPr>
          <w:p w14:paraId="0AAAEBFE" w14:textId="71B117D3" w:rsidR="00D741BC" w:rsidRPr="007146EE" w:rsidRDefault="003F653D" w:rsidP="003F653D">
            <w:pPr>
              <w:pStyle w:val="ListNumber"/>
              <w:numPr>
                <w:ilvl w:val="0"/>
                <w:numId w:val="0"/>
              </w:numPr>
            </w:pPr>
            <w:r>
              <w:t>Se Absalon</w:t>
            </w:r>
            <w:r w:rsidR="00D741BC" w:rsidRPr="007146EE">
              <w:t xml:space="preserve"> </w:t>
            </w:r>
          </w:p>
        </w:tc>
      </w:tr>
      <w:tr w:rsidR="00D741BC" w14:paraId="415D2208" w14:textId="77777777" w:rsidTr="002401A0">
        <w:tc>
          <w:tcPr>
            <w:tcW w:w="1843" w:type="dxa"/>
          </w:tcPr>
          <w:p w14:paraId="6971DA9A" w14:textId="5DAEF28C" w:rsidR="00D741BC" w:rsidRDefault="00D741BC" w:rsidP="002401A0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 xml:space="preserve">3 (VUM, </w:t>
            </w:r>
            <w:r w:rsidR="002401A0">
              <w:t>VKM</w:t>
            </w:r>
            <w:r>
              <w:t>)</w:t>
            </w:r>
          </w:p>
        </w:tc>
        <w:tc>
          <w:tcPr>
            <w:tcW w:w="1667" w:type="dxa"/>
          </w:tcPr>
          <w:p w14:paraId="4FDC3763" w14:textId="49312733" w:rsidR="00D741BC" w:rsidRDefault="002401A0" w:rsidP="00585561">
            <w:pPr>
              <w:pStyle w:val="ListNumber"/>
              <w:numPr>
                <w:ilvl w:val="0"/>
                <w:numId w:val="0"/>
              </w:numPr>
            </w:pPr>
            <w:r>
              <w:t>VKM</w:t>
            </w:r>
          </w:p>
        </w:tc>
        <w:tc>
          <w:tcPr>
            <w:tcW w:w="1560" w:type="dxa"/>
          </w:tcPr>
          <w:p w14:paraId="4E45AAF4" w14:textId="77777777" w:rsidR="00D741BC" w:rsidRDefault="00D741BC" w:rsidP="0058556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Analyse</w:t>
            </w:r>
          </w:p>
        </w:tc>
        <w:tc>
          <w:tcPr>
            <w:tcW w:w="1275" w:type="dxa"/>
          </w:tcPr>
          <w:p w14:paraId="61BC323F" w14:textId="77777777" w:rsidR="00D741BC" w:rsidRDefault="00D741BC" w:rsidP="0058556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5</w:t>
            </w:r>
          </w:p>
        </w:tc>
        <w:tc>
          <w:tcPr>
            <w:tcW w:w="3686" w:type="dxa"/>
            <w:shd w:val="clear" w:color="auto" w:fill="auto"/>
          </w:tcPr>
          <w:p w14:paraId="0BE09267" w14:textId="5A32E43F" w:rsidR="00D741BC" w:rsidRPr="007146EE" w:rsidRDefault="003F653D" w:rsidP="00585561">
            <w:pPr>
              <w:pStyle w:val="ListNumber"/>
              <w:numPr>
                <w:ilvl w:val="0"/>
                <w:numId w:val="0"/>
              </w:numPr>
            </w:pPr>
            <w:r>
              <w:t>Se Absalon</w:t>
            </w:r>
          </w:p>
        </w:tc>
      </w:tr>
      <w:tr w:rsidR="00D741BC" w14:paraId="48E50E1A" w14:textId="77777777" w:rsidTr="002401A0">
        <w:tc>
          <w:tcPr>
            <w:tcW w:w="1843" w:type="dxa"/>
            <w:tcBorders>
              <w:bottom w:val="single" w:sz="4" w:space="0" w:color="auto"/>
            </w:tcBorders>
          </w:tcPr>
          <w:p w14:paraId="2CEF519E" w14:textId="29BEC923" w:rsidR="00D741BC" w:rsidRDefault="00D741BC" w:rsidP="002401A0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 xml:space="preserve">3 (VUM, </w:t>
            </w:r>
            <w:r w:rsidR="002401A0">
              <w:t>VKM</w:t>
            </w:r>
            <w:r>
              <w:t>)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14:paraId="741AE387" w14:textId="77777777" w:rsidR="00D741BC" w:rsidRDefault="00D741BC" w:rsidP="00585561">
            <w:pPr>
              <w:pStyle w:val="ListNumber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69796AC" w14:textId="77777777" w:rsidR="00D741BC" w:rsidRDefault="00D741BC" w:rsidP="0058556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Konklusion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7C1C3A" w14:textId="77777777" w:rsidR="00D741BC" w:rsidRDefault="00D741BC" w:rsidP="0058556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7453AB71" w14:textId="77777777" w:rsidR="00D741BC" w:rsidRDefault="00D741BC" w:rsidP="00585561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14:paraId="3827C700" w14:textId="77777777" w:rsidR="00FF7AC6" w:rsidRDefault="00FF7AC6" w:rsidP="00DD2772">
      <w:pPr>
        <w:pStyle w:val="ListBullet"/>
        <w:numPr>
          <w:ilvl w:val="0"/>
          <w:numId w:val="0"/>
        </w:numPr>
      </w:pPr>
    </w:p>
    <w:p w14:paraId="690A145A" w14:textId="77777777" w:rsidR="0021621C" w:rsidRDefault="0021621C" w:rsidP="00DD2772">
      <w:pPr>
        <w:pStyle w:val="ListBullet"/>
        <w:numPr>
          <w:ilvl w:val="0"/>
          <w:numId w:val="0"/>
        </w:numPr>
      </w:pPr>
      <w:r>
        <w:t xml:space="preserve">Den samlede porteføljeopgave afleveres/uploades </w:t>
      </w:r>
      <w:r w:rsidR="00D567FE">
        <w:t xml:space="preserve">gennem </w:t>
      </w:r>
      <w:r>
        <w:t xml:space="preserve">Digital Eksamen senest </w:t>
      </w:r>
      <w:r w:rsidR="00004893" w:rsidRPr="006F377D">
        <w:rPr>
          <w:b/>
          <w:highlight w:val="yellow"/>
          <w:u w:val="single"/>
        </w:rPr>
        <w:t>d. 4</w:t>
      </w:r>
      <w:r w:rsidRPr="006F377D">
        <w:rPr>
          <w:b/>
          <w:highlight w:val="yellow"/>
          <w:u w:val="single"/>
        </w:rPr>
        <w:t>/6 kl. 12</w:t>
      </w:r>
      <w:r w:rsidRPr="006F377D">
        <w:rPr>
          <w:highlight w:val="yellow"/>
        </w:rPr>
        <w:t>.</w:t>
      </w:r>
    </w:p>
    <w:p w14:paraId="42BBBA3B" w14:textId="77777777" w:rsidR="0021621C" w:rsidRDefault="0021621C" w:rsidP="00DD2772">
      <w:pPr>
        <w:pStyle w:val="ListBullet"/>
        <w:numPr>
          <w:ilvl w:val="0"/>
          <w:numId w:val="0"/>
        </w:numPr>
      </w:pPr>
    </w:p>
    <w:p w14:paraId="36E434BD" w14:textId="77777777" w:rsidR="005B0F26" w:rsidRPr="00CE71C8" w:rsidRDefault="00CE71C8" w:rsidP="002B0B48">
      <w:pPr>
        <w:pStyle w:val="ListBullet"/>
        <w:numPr>
          <w:ilvl w:val="0"/>
          <w:numId w:val="0"/>
        </w:numPr>
        <w:rPr>
          <w:i/>
        </w:rPr>
      </w:pPr>
      <w:r w:rsidRPr="00CE71C8">
        <w:rPr>
          <w:i/>
        </w:rPr>
        <w:t>2.2. Problemformulering</w:t>
      </w:r>
    </w:p>
    <w:p w14:paraId="6BC7FF30" w14:textId="77777777" w:rsidR="00CE71C8" w:rsidRDefault="00CE71C8" w:rsidP="002B0B48">
      <w:pPr>
        <w:pStyle w:val="ListBullet"/>
        <w:numPr>
          <w:ilvl w:val="0"/>
          <w:numId w:val="0"/>
        </w:numPr>
      </w:pPr>
      <w:r>
        <w:t xml:space="preserve">Den </w:t>
      </w:r>
      <w:r w:rsidRPr="00CE71C8">
        <w:rPr>
          <w:u w:val="single"/>
        </w:rPr>
        <w:t>overordnede problemformulering</w:t>
      </w:r>
      <w:r>
        <w:t>, som I skal besvare, er følgende:</w:t>
      </w:r>
    </w:p>
    <w:p w14:paraId="7295CE0B" w14:textId="77777777" w:rsidR="00CE71C8" w:rsidRDefault="00CE71C8" w:rsidP="002B0B48">
      <w:pPr>
        <w:pStyle w:val="ListBullet"/>
        <w:numPr>
          <w:ilvl w:val="0"/>
          <w:numId w:val="0"/>
        </w:numPr>
      </w:pPr>
    </w:p>
    <w:p w14:paraId="780E74B4" w14:textId="076FE43C" w:rsidR="00CE71C8" w:rsidRPr="00CE71C8" w:rsidRDefault="006F377D" w:rsidP="00CC34B8">
      <w:pPr>
        <w:pStyle w:val="ListBullet"/>
        <w:numPr>
          <w:ilvl w:val="2"/>
          <w:numId w:val="3"/>
        </w:numPr>
        <w:rPr>
          <w:i/>
        </w:rPr>
      </w:pPr>
      <w:r>
        <w:rPr>
          <w:i/>
        </w:rPr>
        <w:t>Påvirker familiebaggrund og uddannelse omfanget af kulturelt altæderi?</w:t>
      </w:r>
    </w:p>
    <w:p w14:paraId="5DA00F35" w14:textId="77777777" w:rsidR="00CE71C8" w:rsidRDefault="00CE71C8" w:rsidP="00CE71C8">
      <w:pPr>
        <w:pStyle w:val="ListBullet"/>
        <w:numPr>
          <w:ilvl w:val="0"/>
          <w:numId w:val="0"/>
        </w:numPr>
        <w:ind w:left="360" w:hanging="360"/>
      </w:pPr>
    </w:p>
    <w:p w14:paraId="60743ACB" w14:textId="23F370F9" w:rsidR="00CE71C8" w:rsidRDefault="00CE71C8" w:rsidP="00240B91">
      <w:pPr>
        <w:pStyle w:val="ListBullet"/>
        <w:numPr>
          <w:ilvl w:val="0"/>
          <w:numId w:val="0"/>
        </w:numPr>
      </w:pPr>
      <w:r>
        <w:t xml:space="preserve">I skal </w:t>
      </w:r>
      <w:r w:rsidR="00240B91">
        <w:t xml:space="preserve">– for at </w:t>
      </w:r>
      <w:r w:rsidR="00B57641">
        <w:t>bes</w:t>
      </w:r>
      <w:r w:rsidR="00240B91">
        <w:t xml:space="preserve">vare den overordnede problemstilling – </w:t>
      </w:r>
      <w:r>
        <w:t xml:space="preserve">forholde jer til </w:t>
      </w:r>
      <w:r w:rsidR="00E0183D">
        <w:t xml:space="preserve">to </w:t>
      </w:r>
      <w:r w:rsidRPr="00CE71C8">
        <w:rPr>
          <w:u w:val="single"/>
        </w:rPr>
        <w:t>underordnede problemstillinger</w:t>
      </w:r>
      <w:r>
        <w:t>:</w:t>
      </w:r>
    </w:p>
    <w:p w14:paraId="66007614" w14:textId="77777777" w:rsidR="00CE71C8" w:rsidRDefault="00CE71C8" w:rsidP="00CE71C8">
      <w:pPr>
        <w:pStyle w:val="ListBullet"/>
        <w:numPr>
          <w:ilvl w:val="0"/>
          <w:numId w:val="0"/>
        </w:numPr>
        <w:ind w:left="360" w:hanging="360"/>
      </w:pPr>
    </w:p>
    <w:p w14:paraId="3ABED287" w14:textId="4892B9E9" w:rsidR="00CC34B8" w:rsidRPr="006F377D" w:rsidRDefault="006C3A03" w:rsidP="00CC34B8">
      <w:pPr>
        <w:pStyle w:val="ListBullet"/>
        <w:numPr>
          <w:ilvl w:val="2"/>
          <w:numId w:val="3"/>
        </w:numPr>
        <w:rPr>
          <w:i/>
        </w:rPr>
      </w:pPr>
      <w:r w:rsidRPr="006C3A03">
        <w:rPr>
          <w:i/>
          <w:u w:val="single"/>
        </w:rPr>
        <w:lastRenderedPageBreak/>
        <w:t>Teori</w:t>
      </w:r>
      <w:r>
        <w:rPr>
          <w:i/>
        </w:rPr>
        <w:t xml:space="preserve">: </w:t>
      </w:r>
      <w:r w:rsidR="00765364">
        <w:rPr>
          <w:i/>
        </w:rPr>
        <w:t xml:space="preserve">Hvordan kan </w:t>
      </w:r>
      <w:r w:rsidR="006F377D" w:rsidRPr="006F377D">
        <w:rPr>
          <w:i/>
        </w:rPr>
        <w:t xml:space="preserve">familiebaggrund og uddannelse tænkes at påvirke </w:t>
      </w:r>
      <w:r w:rsidR="00765364">
        <w:rPr>
          <w:i/>
        </w:rPr>
        <w:t>omfanget af kulturelt altæderi?</w:t>
      </w:r>
    </w:p>
    <w:p w14:paraId="459F6926" w14:textId="77777777" w:rsidR="00CC34B8" w:rsidRPr="00CC34B8" w:rsidRDefault="00CC34B8" w:rsidP="00CC34B8">
      <w:pPr>
        <w:pStyle w:val="ListBullet"/>
        <w:numPr>
          <w:ilvl w:val="0"/>
          <w:numId w:val="0"/>
        </w:numPr>
        <w:ind w:left="1080"/>
      </w:pPr>
    </w:p>
    <w:p w14:paraId="0F91A40F" w14:textId="51BD4ACB" w:rsidR="00CC34B8" w:rsidRPr="006C3A03" w:rsidRDefault="006C3A03" w:rsidP="00CC34B8">
      <w:pPr>
        <w:pStyle w:val="ListBullet"/>
        <w:numPr>
          <w:ilvl w:val="2"/>
          <w:numId w:val="3"/>
        </w:numPr>
        <w:rPr>
          <w:i/>
        </w:rPr>
      </w:pPr>
      <w:r w:rsidRPr="006C3A03">
        <w:rPr>
          <w:i/>
          <w:u w:val="single"/>
        </w:rPr>
        <w:t>Empiri</w:t>
      </w:r>
      <w:r w:rsidRPr="006C3A03">
        <w:rPr>
          <w:i/>
        </w:rPr>
        <w:t>: K</w:t>
      </w:r>
      <w:r w:rsidR="006F377D" w:rsidRPr="006C3A03">
        <w:rPr>
          <w:i/>
        </w:rPr>
        <w:t xml:space="preserve">an man fortolke </w:t>
      </w:r>
      <w:r w:rsidRPr="006C3A03">
        <w:rPr>
          <w:i/>
        </w:rPr>
        <w:t xml:space="preserve">empiriske </w:t>
      </w:r>
      <w:r w:rsidR="00765364">
        <w:rPr>
          <w:i/>
        </w:rPr>
        <w:t xml:space="preserve">sammenhænge </w:t>
      </w:r>
      <w:r w:rsidR="006F377D" w:rsidRPr="006C3A03">
        <w:rPr>
          <w:i/>
        </w:rPr>
        <w:t>mellem familiebaggrund</w:t>
      </w:r>
      <w:r w:rsidRPr="006C3A03">
        <w:rPr>
          <w:i/>
        </w:rPr>
        <w:t>/</w:t>
      </w:r>
      <w:r w:rsidR="006F377D" w:rsidRPr="006C3A03">
        <w:rPr>
          <w:i/>
        </w:rPr>
        <w:t xml:space="preserve">uddannelse og kulturelt altæderi </w:t>
      </w:r>
      <w:r w:rsidRPr="006C3A03">
        <w:rPr>
          <w:i/>
        </w:rPr>
        <w:t xml:space="preserve">som årsagssammenhænge? Hvilke forhold kunne tænkes at udfordre en fortolkning af </w:t>
      </w:r>
      <w:r w:rsidR="001623C3">
        <w:rPr>
          <w:i/>
        </w:rPr>
        <w:t xml:space="preserve">disse </w:t>
      </w:r>
      <w:r w:rsidR="00765364">
        <w:rPr>
          <w:i/>
        </w:rPr>
        <w:t xml:space="preserve">sammenhænge </w:t>
      </w:r>
      <w:r w:rsidRPr="006C3A03">
        <w:rPr>
          <w:i/>
        </w:rPr>
        <w:t>som årsagssammenhæng</w:t>
      </w:r>
      <w:r w:rsidR="00E0183D">
        <w:rPr>
          <w:i/>
        </w:rPr>
        <w:t>e</w:t>
      </w:r>
      <w:r w:rsidRPr="006C3A03">
        <w:rPr>
          <w:i/>
        </w:rPr>
        <w:t>?</w:t>
      </w:r>
    </w:p>
    <w:p w14:paraId="614F9157" w14:textId="77777777" w:rsidR="00CC34B8" w:rsidRDefault="00CC34B8" w:rsidP="00CC34B8">
      <w:pPr>
        <w:pStyle w:val="ListBullet"/>
        <w:numPr>
          <w:ilvl w:val="0"/>
          <w:numId w:val="0"/>
        </w:numPr>
        <w:ind w:left="1080"/>
      </w:pPr>
    </w:p>
    <w:p w14:paraId="448791CB" w14:textId="77777777" w:rsidR="00222DEA" w:rsidRDefault="00222DEA" w:rsidP="00222DEA">
      <w:pPr>
        <w:pStyle w:val="ListNumber"/>
        <w:numPr>
          <w:ilvl w:val="0"/>
          <w:numId w:val="0"/>
        </w:numPr>
      </w:pPr>
      <w:r>
        <w:t>Bemærkninger til de forskellige delelementer i opgaven</w:t>
      </w:r>
      <w:r w:rsidR="00D65251">
        <w:t xml:space="preserve"> (se tabel 1 ovf.)</w:t>
      </w:r>
      <w:r>
        <w:t>:</w:t>
      </w:r>
    </w:p>
    <w:p w14:paraId="1FF0F4C3" w14:textId="7DD5B2B8" w:rsidR="00222DEA" w:rsidRDefault="00222DEA" w:rsidP="00222DEA">
      <w:pPr>
        <w:pStyle w:val="ListBullet"/>
      </w:pPr>
      <w:r>
        <w:t xml:space="preserve">I første del </w:t>
      </w:r>
      <w:r w:rsidR="00D65251">
        <w:t xml:space="preserve">af opgaven (indledning + teori, VUM) </w:t>
      </w:r>
      <w:r>
        <w:t xml:space="preserve">skal I arbejde med </w:t>
      </w:r>
      <w:r w:rsidRPr="00222DEA">
        <w:rPr>
          <w:i/>
        </w:rPr>
        <w:t xml:space="preserve">teoretiske </w:t>
      </w:r>
      <w:r w:rsidR="00E52CDC">
        <w:rPr>
          <w:i/>
        </w:rPr>
        <w:t>og analytiske værktøjer</w:t>
      </w:r>
      <w:r>
        <w:t xml:space="preserve">. </w:t>
      </w:r>
      <w:r w:rsidR="00F87B28">
        <w:t xml:space="preserve">Fx: </w:t>
      </w:r>
      <w:r>
        <w:t xml:space="preserve">Hvilke </w:t>
      </w:r>
      <w:r w:rsidR="00E0183D">
        <w:t>aspekter ved familiebaggrund er rel</w:t>
      </w:r>
      <w:r w:rsidR="00765364">
        <w:t>e</w:t>
      </w:r>
      <w:r w:rsidR="00E0183D">
        <w:t>vante, og hvordan kan uddannelse tænkes at påvirke kulturel sma</w:t>
      </w:r>
      <w:r w:rsidR="001623C3">
        <w:t>g</w:t>
      </w:r>
      <w:r w:rsidR="00E0183D">
        <w:t>?</w:t>
      </w:r>
      <w:r>
        <w:t xml:space="preserve"> </w:t>
      </w:r>
      <w:r w:rsidRPr="00BB2983">
        <w:rPr>
          <w:i/>
        </w:rPr>
        <w:t xml:space="preserve">I skal </w:t>
      </w:r>
      <w:r w:rsidRPr="00BB2983">
        <w:rPr>
          <w:i/>
          <w:u w:val="single"/>
        </w:rPr>
        <w:t>ikke</w:t>
      </w:r>
      <w:r w:rsidRPr="00BB2983">
        <w:rPr>
          <w:i/>
        </w:rPr>
        <w:t xml:space="preserve"> diskutere empirisk operationalisering og </w:t>
      </w:r>
      <w:r w:rsidR="00E52CDC" w:rsidRPr="00BB2983">
        <w:rPr>
          <w:i/>
        </w:rPr>
        <w:t xml:space="preserve">konkrete </w:t>
      </w:r>
      <w:r w:rsidRPr="00BB2983">
        <w:rPr>
          <w:i/>
        </w:rPr>
        <w:t xml:space="preserve">variable </w:t>
      </w:r>
      <w:r w:rsidR="00E52CDC" w:rsidRPr="00BB2983">
        <w:rPr>
          <w:i/>
        </w:rPr>
        <w:t>i første del – gem dette til anden del</w:t>
      </w:r>
      <w:r w:rsidR="006D7868">
        <w:rPr>
          <w:i/>
        </w:rPr>
        <w:t>!</w:t>
      </w:r>
    </w:p>
    <w:p w14:paraId="79EA9269" w14:textId="77777777" w:rsidR="00E52CDC" w:rsidRPr="00E52CDC" w:rsidRDefault="00E52CDC" w:rsidP="00E52CDC">
      <w:pPr>
        <w:pStyle w:val="ListBullet"/>
        <w:numPr>
          <w:ilvl w:val="0"/>
          <w:numId w:val="0"/>
        </w:numPr>
        <w:ind w:left="360"/>
      </w:pPr>
    </w:p>
    <w:p w14:paraId="36FFC17A" w14:textId="73C576DE" w:rsidR="0082551B" w:rsidRDefault="00D65251" w:rsidP="0027513F">
      <w:pPr>
        <w:pStyle w:val="ListBullet"/>
      </w:pPr>
      <w:r w:rsidRPr="00D65251">
        <w:t xml:space="preserve">I anden del </w:t>
      </w:r>
      <w:r>
        <w:t xml:space="preserve">af opgaven (design, </w:t>
      </w:r>
      <w:r w:rsidR="00E0183D">
        <w:t>VKM</w:t>
      </w:r>
      <w:r>
        <w:t xml:space="preserve">) skal I beskrive de statistiske/metodiske værktøjer, som I </w:t>
      </w:r>
      <w:r w:rsidR="007A0C5F">
        <w:t>vil bruge i den empiriske analyse</w:t>
      </w:r>
      <w:r>
        <w:t>.</w:t>
      </w:r>
    </w:p>
    <w:p w14:paraId="0CAE3E90" w14:textId="77777777" w:rsidR="00D65251" w:rsidRDefault="00D65251" w:rsidP="00D65251">
      <w:pPr>
        <w:pStyle w:val="ListBullet"/>
        <w:numPr>
          <w:ilvl w:val="0"/>
          <w:numId w:val="0"/>
        </w:numPr>
        <w:ind w:left="360"/>
      </w:pPr>
    </w:p>
    <w:p w14:paraId="13A2DA9B" w14:textId="25F62A05" w:rsidR="00D65251" w:rsidRPr="00D65251" w:rsidRDefault="00D65251" w:rsidP="0027513F">
      <w:pPr>
        <w:pStyle w:val="ListBullet"/>
      </w:pPr>
      <w:r>
        <w:t xml:space="preserve">I tredje del af opgaven (analyse, VUM + </w:t>
      </w:r>
      <w:r w:rsidR="00E0183D">
        <w:t>VKM</w:t>
      </w:r>
      <w:r>
        <w:t>) skal I arbejde med den konkrete empiriske analyse. Her skal I trække på jeres teoretiske/analytiske ramme (første del) og de metodiske/statistiske værktøjer (anden del).</w:t>
      </w:r>
    </w:p>
    <w:p w14:paraId="69A919F0" w14:textId="77777777" w:rsidR="00222DEA" w:rsidRDefault="00222DEA" w:rsidP="00240B91">
      <w:pPr>
        <w:pStyle w:val="ListBullet"/>
        <w:numPr>
          <w:ilvl w:val="0"/>
          <w:numId w:val="0"/>
        </w:numPr>
        <w:ind w:left="360" w:hanging="360"/>
      </w:pPr>
    </w:p>
    <w:p w14:paraId="1754FDC8" w14:textId="77777777" w:rsidR="000D592A" w:rsidRPr="0021621C" w:rsidRDefault="0021621C">
      <w:pPr>
        <w:rPr>
          <w:i/>
        </w:rPr>
      </w:pPr>
      <w:r w:rsidRPr="0021621C">
        <w:rPr>
          <w:i/>
        </w:rPr>
        <w:t>2.3. Datagrundlag</w:t>
      </w:r>
    </w:p>
    <w:p w14:paraId="3298A338" w14:textId="4790A64D" w:rsidR="00D65251" w:rsidRDefault="0021621C" w:rsidP="00EB18B3">
      <w:r>
        <w:t xml:space="preserve">I skal </w:t>
      </w:r>
      <w:r w:rsidR="00765364">
        <w:t xml:space="preserve">analysere </w:t>
      </w:r>
      <w:r>
        <w:t xml:space="preserve">data fra </w:t>
      </w:r>
      <w:r w:rsidR="00DD03EB">
        <w:t xml:space="preserve">Generationsundersøgelsen </w:t>
      </w:r>
      <w:r w:rsidR="00D65251">
        <w:t>(</w:t>
      </w:r>
      <w:r w:rsidR="00DD03EB">
        <w:t>GU</w:t>
      </w:r>
      <w:r w:rsidR="00D65251">
        <w:t>)</w:t>
      </w:r>
      <w:r>
        <w:t>.</w:t>
      </w:r>
      <w:r w:rsidR="00D65251">
        <w:t xml:space="preserve"> </w:t>
      </w:r>
      <w:r w:rsidR="00DD03EB">
        <w:t xml:space="preserve">Deltagerne i GU er børn af deltagere i en eksisterende </w:t>
      </w:r>
      <w:r w:rsidR="00CC6D41">
        <w:t>forløbsundersøgelse med ca. 3</w:t>
      </w:r>
      <w:r w:rsidR="003C416E">
        <w:t>.</w:t>
      </w:r>
      <w:r w:rsidR="00CC6D41">
        <w:t xml:space="preserve">100 danskere, som </w:t>
      </w:r>
      <w:r w:rsidR="00DD03EB">
        <w:t xml:space="preserve">er </w:t>
      </w:r>
      <w:r w:rsidR="00CC6D41">
        <w:t>fulgt siden 1968</w:t>
      </w:r>
      <w:r w:rsidR="00DD03EB">
        <w:t>. GU indeholder detaljeret information om deltagernes sociale og økonomiske karakteristika da de var ca. 25 år gamle</w:t>
      </w:r>
      <w:r w:rsidR="00765364">
        <w:t xml:space="preserve"> (i 2010)</w:t>
      </w:r>
      <w:r w:rsidR="00DD03EB">
        <w:t xml:space="preserve">, herunder deres uddannelse og kulturelle deltagelse. Herudover kan der kobles rig information om deltagernes forældre, fx om deres </w:t>
      </w:r>
      <w:r w:rsidR="001623C3">
        <w:t xml:space="preserve">indkomst og </w:t>
      </w:r>
      <w:r w:rsidR="00DD03EB">
        <w:t>kulturelle smag.</w:t>
      </w:r>
      <w:r w:rsidR="008E593C">
        <w:t xml:space="preserve"> Det udtræk fra </w:t>
      </w:r>
      <w:r w:rsidR="00DD03EB">
        <w:t>GU</w:t>
      </w:r>
      <w:r w:rsidR="008E593C">
        <w:t xml:space="preserve">, som I skal arbejde med, indeholder information </w:t>
      </w:r>
      <w:r w:rsidR="008E593C" w:rsidRPr="00765364">
        <w:t>om 2</w:t>
      </w:r>
      <w:r w:rsidR="005666AC" w:rsidRPr="00765364">
        <w:t>9</w:t>
      </w:r>
      <w:r w:rsidR="001623C3">
        <w:t>87</w:t>
      </w:r>
      <w:r w:rsidR="008E593C">
        <w:t xml:space="preserve"> </w:t>
      </w:r>
      <w:r w:rsidR="009B616C">
        <w:t>deltagere</w:t>
      </w:r>
      <w:r w:rsidR="008E593C">
        <w:t>.</w:t>
      </w:r>
    </w:p>
    <w:p w14:paraId="12DC44EC" w14:textId="77777777" w:rsidR="00DD03EB" w:rsidRDefault="00DD03EB" w:rsidP="00DD03EB">
      <w:pPr>
        <w:rPr>
          <w:i/>
        </w:rPr>
      </w:pPr>
    </w:p>
    <w:p w14:paraId="1F4C29F6" w14:textId="3D6A4E75" w:rsidR="00DD03EB" w:rsidRDefault="00DD03EB" w:rsidP="00DD03EB">
      <w:pPr>
        <w:rPr>
          <w:i/>
        </w:rPr>
      </w:pPr>
      <w:r w:rsidRPr="00443191">
        <w:rPr>
          <w:i/>
        </w:rPr>
        <w:t>2.</w:t>
      </w:r>
      <w:r>
        <w:rPr>
          <w:i/>
        </w:rPr>
        <w:t>3</w:t>
      </w:r>
      <w:r w:rsidRPr="00443191">
        <w:rPr>
          <w:i/>
        </w:rPr>
        <w:t>.</w:t>
      </w:r>
      <w:r>
        <w:rPr>
          <w:i/>
        </w:rPr>
        <w:t>1</w:t>
      </w:r>
      <w:r w:rsidRPr="00443191">
        <w:rPr>
          <w:i/>
        </w:rPr>
        <w:t xml:space="preserve">. </w:t>
      </w:r>
      <w:r w:rsidR="00FE7A01">
        <w:rPr>
          <w:i/>
        </w:rPr>
        <w:t>Indikator for k</w:t>
      </w:r>
      <w:r>
        <w:rPr>
          <w:i/>
        </w:rPr>
        <w:t>ulturel</w:t>
      </w:r>
      <w:r w:rsidR="00FE7A01">
        <w:rPr>
          <w:i/>
        </w:rPr>
        <w:t>t</w:t>
      </w:r>
      <w:r>
        <w:rPr>
          <w:i/>
        </w:rPr>
        <w:t xml:space="preserve"> altæderi</w:t>
      </w:r>
    </w:p>
    <w:p w14:paraId="4B707DBC" w14:textId="49B9C054" w:rsidR="00DD03EB" w:rsidRDefault="00DD03EB" w:rsidP="00DD03EB">
      <w:r>
        <w:t xml:space="preserve">Den afhængige variabel </w:t>
      </w:r>
      <w:r w:rsidR="00DA2A3F">
        <w:t>(</w:t>
      </w:r>
      <w:r w:rsidR="00765364">
        <w:t xml:space="preserve">kaldet </w:t>
      </w:r>
      <w:r w:rsidR="00DA2A3F" w:rsidRPr="00DA2A3F">
        <w:rPr>
          <w:b/>
        </w:rPr>
        <w:t>altaeder</w:t>
      </w:r>
      <w:r w:rsidR="00C65090">
        <w:t xml:space="preserve"> i jeres datasæt</w:t>
      </w:r>
      <w:r w:rsidR="00DA2A3F">
        <w:t xml:space="preserve">) måler </w:t>
      </w:r>
      <w:r w:rsidR="00765364">
        <w:t>GU-</w:t>
      </w:r>
      <w:r w:rsidR="00FE7A01">
        <w:t xml:space="preserve">deltagernes </w:t>
      </w:r>
      <w:r>
        <w:t>kulturel</w:t>
      </w:r>
      <w:r w:rsidR="00FE7A01">
        <w:t>le</w:t>
      </w:r>
      <w:r>
        <w:t xml:space="preserve"> altæderi. Deltagerne blev i 2010 spurgt</w:t>
      </w:r>
      <w:r w:rsidR="00DA2A3F">
        <w:t>,</w:t>
      </w:r>
      <w:r>
        <w:t xml:space="preserve"> om de havde deltaget i </w:t>
      </w:r>
      <w:r w:rsidR="00DA2A3F">
        <w:t xml:space="preserve">14 forskellige </w:t>
      </w:r>
      <w:r>
        <w:t>kulturelle aktiviteter inden for de seneste 12 måneder</w:t>
      </w:r>
      <w:r w:rsidR="00DA2A3F">
        <w:t xml:space="preserve"> (</w:t>
      </w:r>
      <w:r w:rsidR="005936A1">
        <w:t xml:space="preserve">hver aktivitet er </w:t>
      </w:r>
      <w:r w:rsidR="00DA2A3F">
        <w:t>kode</w:t>
      </w:r>
      <w:r w:rsidR="00FE7A01">
        <w:t>t</w:t>
      </w:r>
      <w:r w:rsidR="00DA2A3F">
        <w:t>: ja = 1; nej = 0)</w:t>
      </w:r>
      <w:r>
        <w:t xml:space="preserve">. De </w:t>
      </w:r>
      <w:r w:rsidR="005936A1">
        <w:t xml:space="preserve">14 </w:t>
      </w:r>
      <w:r>
        <w:t xml:space="preserve">kulturelle aktiviteter var: </w:t>
      </w:r>
      <w:r w:rsidR="00DA2A3F">
        <w:t xml:space="preserve">biograf, filmklub, opera, musical, ballet, revy, teater, klassisk koncert, jazzkoncert, pop/rockkoncert, technokoncert, rap/hiphopkoncert, museum og forlystelsespark. Den afhængige variabel er en </w:t>
      </w:r>
      <w:r w:rsidR="00FE7A01">
        <w:t>sum</w:t>
      </w:r>
      <w:r w:rsidR="00DA2A3F">
        <w:t xml:space="preserve">skala, som tæller </w:t>
      </w:r>
      <w:r w:rsidR="00FE7A01">
        <w:t xml:space="preserve">det samlede </w:t>
      </w:r>
      <w:r w:rsidR="00DA2A3F">
        <w:t xml:space="preserve">antal kulturelle aktiviteter (0-14). Fortolkningen af skalaen er, at flere aktiviteter er et udtryk for et større omfang af kulturelt altæderi </w:t>
      </w:r>
      <w:r w:rsidR="00DA2A3F">
        <w:fldChar w:fldCharType="begin"/>
      </w:r>
      <w:r w:rsidR="00921E88">
        <w:instrText xml:space="preserve"> ADDIN EN.CITE &lt;EndNote&gt;&lt;Cite&gt;&lt;Author&gt;Lizardo&lt;/Author&gt;&lt;Year&gt;2016&lt;/Year&gt;&lt;RecNum&gt;2613&lt;/RecNum&gt;&lt;DisplayText&gt;(Lizardo &amp;amp; Skiles, 2016)&lt;/DisplayText&gt;&lt;record&gt;&lt;rec-number&gt;2613&lt;/rec-number&gt;&lt;foreign-keys&gt;&lt;key app="EN" db-id="x0swxs9tltv2pleseawv2a5twd2axfd05tsr" timestamp="1624432502"&gt;2613&lt;/key&gt;&lt;/foreign-keys&gt;&lt;ref-type name="Journal Article"&gt;17&lt;/ref-type&gt;&lt;contributors&gt;&lt;authors&gt;&lt;author&gt;Lizardo, Omar&lt;/author&gt;&lt;author&gt;Skiles, Sara&lt;/author&gt;&lt;/authors&gt;&lt;/contributors&gt;&lt;titles&gt;&lt;title&gt;The End of Symbolic Exclusion? The Rise of “Categorical Tolerance” in the Musical Tastes of Americans: 1993–2012&lt;/title&gt;&lt;secondary-title&gt;Sociological Science&lt;/secondary-title&gt;&lt;/titles&gt;&lt;periodical&gt;&lt;full-title&gt;Sociological Science&lt;/full-title&gt;&lt;/periodical&gt;&lt;pages&gt;85-108&lt;/pages&gt;&lt;volume&gt;3&lt;/volume&gt;&lt;section&gt;85&lt;/section&gt;&lt;dates&gt;&lt;year&gt;2016&lt;/year&gt;&lt;/dates&gt;&lt;urls&gt;&lt;/urls&gt;&lt;/record&gt;&lt;/Cite&gt;&lt;/EndNote&gt;</w:instrText>
      </w:r>
      <w:r w:rsidR="00DA2A3F">
        <w:fldChar w:fldCharType="separate"/>
      </w:r>
      <w:r w:rsidR="00921E88">
        <w:rPr>
          <w:noProof/>
        </w:rPr>
        <w:t xml:space="preserve">(Lizardo &amp; </w:t>
      </w:r>
      <w:r w:rsidR="00921E88">
        <w:rPr>
          <w:noProof/>
        </w:rPr>
        <w:lastRenderedPageBreak/>
        <w:t>Skiles, 2016)</w:t>
      </w:r>
      <w:r w:rsidR="00DA2A3F">
        <w:fldChar w:fldCharType="end"/>
      </w:r>
      <w:r w:rsidR="00DA2A3F">
        <w:t>.</w:t>
      </w:r>
      <w:r w:rsidR="00FE7A01">
        <w:t xml:space="preserve"> Fordelingen af kulturel altæderi er vist nedenfor (hvor man kan se, at der er betydelig variation i deltagernes kulturelle </w:t>
      </w:r>
      <w:r w:rsidR="005936A1">
        <w:t>altæderi</w:t>
      </w:r>
      <w:r w:rsidR="00FE7A01">
        <w:t>).</w:t>
      </w:r>
    </w:p>
    <w:p w14:paraId="66B5C4B5" w14:textId="77777777" w:rsidR="00FE7A01" w:rsidRDefault="00FE7A01" w:rsidP="00DD03EB"/>
    <w:p w14:paraId="6F2F0AFC" w14:textId="02612102" w:rsidR="00FE7A01" w:rsidRDefault="00FE7A01" w:rsidP="00FE7A01">
      <w:pPr>
        <w:jc w:val="center"/>
      </w:pPr>
      <w:r>
        <w:rPr>
          <w:noProof/>
          <w:lang w:val="en-US"/>
        </w:rPr>
        <w:drawing>
          <wp:inline distT="0" distB="0" distL="0" distR="0" wp14:anchorId="633C006C" wp14:editId="7AD2A062">
            <wp:extent cx="3549365" cy="2580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lturelAltæder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56" cy="25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72B6" w14:textId="35881AC8" w:rsidR="00CC6D41" w:rsidRDefault="00CC6D41" w:rsidP="00DD03EB">
      <w:pPr>
        <w:rPr>
          <w:i/>
        </w:rPr>
      </w:pPr>
    </w:p>
    <w:p w14:paraId="1FCF8204" w14:textId="5624D25F" w:rsidR="00CC4E9E" w:rsidRPr="00CC4E9E" w:rsidRDefault="00CC4E9E">
      <w:pPr>
        <w:rPr>
          <w:i/>
        </w:rPr>
      </w:pPr>
      <w:r>
        <w:rPr>
          <w:i/>
        </w:rPr>
        <w:t>2.3.</w:t>
      </w:r>
      <w:r w:rsidR="00FE7A01">
        <w:rPr>
          <w:i/>
        </w:rPr>
        <w:t>2</w:t>
      </w:r>
      <w:r>
        <w:rPr>
          <w:i/>
        </w:rPr>
        <w:t xml:space="preserve">. </w:t>
      </w:r>
      <w:r w:rsidR="008E593C">
        <w:rPr>
          <w:i/>
        </w:rPr>
        <w:t xml:space="preserve">Indikatorer for </w:t>
      </w:r>
      <w:r w:rsidR="00FE7A01">
        <w:rPr>
          <w:i/>
        </w:rPr>
        <w:t>familiebaggrund</w:t>
      </w:r>
    </w:p>
    <w:p w14:paraId="47600CC1" w14:textId="137F447D" w:rsidR="00FE7A01" w:rsidRPr="00FE7A01" w:rsidRDefault="00FE7A01">
      <w:r>
        <w:t>I har to indikatorer for familiebaggrund:</w:t>
      </w:r>
    </w:p>
    <w:p w14:paraId="07B92ACF" w14:textId="10162541" w:rsidR="00F87B28" w:rsidRDefault="00FE7A01" w:rsidP="00FE7A01">
      <w:pPr>
        <w:pStyle w:val="ListNumber"/>
      </w:pPr>
      <w:r>
        <w:t xml:space="preserve">Forældres </w:t>
      </w:r>
      <w:r w:rsidR="001623C3">
        <w:t>indkomst</w:t>
      </w:r>
      <w:r>
        <w:t xml:space="preserve"> (</w:t>
      </w:r>
      <w:r w:rsidRPr="00FE7A01">
        <w:rPr>
          <w:b/>
        </w:rPr>
        <w:t>for</w:t>
      </w:r>
      <w:r w:rsidR="001623C3">
        <w:rPr>
          <w:b/>
        </w:rPr>
        <w:t>ink</w:t>
      </w:r>
      <w:r>
        <w:t xml:space="preserve">): Denne </w:t>
      </w:r>
      <w:r w:rsidR="001623C3">
        <w:t>variabel måler forældres månedlige bruttoindkomst i kroner</w:t>
      </w:r>
      <w:r>
        <w:t>.</w:t>
      </w:r>
    </w:p>
    <w:p w14:paraId="2C39DD3D" w14:textId="764B9EA7" w:rsidR="009B616C" w:rsidRDefault="00FE7A01" w:rsidP="00695E06">
      <w:pPr>
        <w:pStyle w:val="ListNumber"/>
      </w:pPr>
      <w:r>
        <w:t>Forældres kulturelle interesse (</w:t>
      </w:r>
      <w:r w:rsidRPr="00FE7A01">
        <w:rPr>
          <w:b/>
        </w:rPr>
        <w:t>forkult</w:t>
      </w:r>
      <w:r>
        <w:t>): Denne variabel er en sumskala baseret på fem binære indikatorer (alle kodet 1 = ja; 0 = nej). De fem indikatorer fanger om forældrene</w:t>
      </w:r>
      <w:r w:rsidR="00695E06">
        <w:t xml:space="preserve"> [da </w:t>
      </w:r>
      <w:r w:rsidR="005936A1">
        <w:t>GU-</w:t>
      </w:r>
      <w:r w:rsidR="00695E06">
        <w:t xml:space="preserve">deltageren var barn] </w:t>
      </w:r>
      <w:r>
        <w:t>(1) abonnere</w:t>
      </w:r>
      <w:r w:rsidR="00695E06">
        <w:t>de</w:t>
      </w:r>
      <w:r>
        <w:t xml:space="preserve"> på en avis, (2) </w:t>
      </w:r>
      <w:r w:rsidR="00695E06">
        <w:t xml:space="preserve">var </w:t>
      </w:r>
      <w:r>
        <w:t xml:space="preserve">interesseret i billedkunst, (3) </w:t>
      </w:r>
      <w:r w:rsidR="00695E06">
        <w:t xml:space="preserve">kunne </w:t>
      </w:r>
      <w:r>
        <w:t xml:space="preserve">tale mindst ét fremmedsprog, (4) </w:t>
      </w:r>
      <w:r w:rsidR="00695E06">
        <w:t xml:space="preserve">læste </w:t>
      </w:r>
      <w:r>
        <w:t xml:space="preserve">bøger </w:t>
      </w:r>
      <w:r w:rsidR="00695E06">
        <w:t xml:space="preserve">(fx romaner og poesi) </w:t>
      </w:r>
      <w:r>
        <w:t xml:space="preserve">og (5) </w:t>
      </w:r>
      <w:r w:rsidR="00695E06">
        <w:t xml:space="preserve">gik </w:t>
      </w:r>
      <w:r>
        <w:t xml:space="preserve">til kurser i deres fritid. </w:t>
      </w:r>
    </w:p>
    <w:p w14:paraId="16CF53C7" w14:textId="77777777" w:rsidR="00C65090" w:rsidRDefault="00C65090" w:rsidP="00C65090">
      <w:pPr>
        <w:pStyle w:val="ListNumber"/>
        <w:numPr>
          <w:ilvl w:val="0"/>
          <w:numId w:val="0"/>
        </w:numPr>
      </w:pPr>
    </w:p>
    <w:p w14:paraId="6E4E5FE5" w14:textId="2D860640" w:rsidR="00C65090" w:rsidRPr="00C65090" w:rsidRDefault="00C65090" w:rsidP="00C65090">
      <w:pPr>
        <w:pStyle w:val="ListNumber"/>
        <w:numPr>
          <w:ilvl w:val="0"/>
          <w:numId w:val="0"/>
        </w:numPr>
        <w:rPr>
          <w:i/>
        </w:rPr>
      </w:pPr>
      <w:r w:rsidRPr="00C65090">
        <w:rPr>
          <w:i/>
        </w:rPr>
        <w:t>2.3.3. Indikatorer for uddannelse</w:t>
      </w:r>
    </w:p>
    <w:p w14:paraId="42E93BAF" w14:textId="3A0A1B5A" w:rsidR="00A80D48" w:rsidRPr="00C65090" w:rsidRDefault="00C65090">
      <w:r>
        <w:t xml:space="preserve">I har </w:t>
      </w:r>
      <w:r w:rsidR="005936A1">
        <w:t>é</w:t>
      </w:r>
      <w:r>
        <w:t xml:space="preserve">n indikator for, om deltagerne i GU har gennemført en gymnasial uddannelse (fx STX, HTX, HHX eller HF). Denne variabel, som hedder </w:t>
      </w:r>
      <w:r w:rsidRPr="00C65090">
        <w:rPr>
          <w:b/>
        </w:rPr>
        <w:t>gym</w:t>
      </w:r>
      <w:r w:rsidR="005936A1">
        <w:t xml:space="preserve"> og</w:t>
      </w:r>
      <w:r>
        <w:t xml:space="preserve"> er kodet 1 hvis deltageren har gennemført en gymnasial uddannelse og 0 ellers.</w:t>
      </w:r>
      <w:r w:rsidR="00423013">
        <w:rPr>
          <w:rStyle w:val="FootnoteReference"/>
        </w:rPr>
        <w:footnoteReference w:id="2"/>
      </w:r>
    </w:p>
    <w:p w14:paraId="028863E5" w14:textId="2172A750" w:rsidR="00572F51" w:rsidRDefault="00572F51"/>
    <w:p w14:paraId="7E565F71" w14:textId="346AEC8E" w:rsidR="005F243C" w:rsidRPr="005F243C" w:rsidRDefault="005F243C" w:rsidP="005F243C">
      <w:pPr>
        <w:rPr>
          <w:i/>
        </w:rPr>
      </w:pPr>
      <w:r w:rsidRPr="005F243C">
        <w:rPr>
          <w:i/>
        </w:rPr>
        <w:t>2.3.</w:t>
      </w:r>
      <w:r w:rsidR="00C65090">
        <w:rPr>
          <w:i/>
        </w:rPr>
        <w:t>4</w:t>
      </w:r>
      <w:r w:rsidRPr="005F243C">
        <w:rPr>
          <w:i/>
        </w:rPr>
        <w:t>. Kontrolvariable</w:t>
      </w:r>
    </w:p>
    <w:p w14:paraId="5298740D" w14:textId="4A5F3023" w:rsidR="005F243C" w:rsidRDefault="005F243C" w:rsidP="005F243C">
      <w:r>
        <w:lastRenderedPageBreak/>
        <w:t>Datasættet indeholder også information om deltagerens køn</w:t>
      </w:r>
      <w:r w:rsidR="00CB0188">
        <w:t xml:space="preserve"> (</w:t>
      </w:r>
      <w:r w:rsidR="00CB0188" w:rsidRPr="00CB0188">
        <w:rPr>
          <w:b/>
        </w:rPr>
        <w:t>kon</w:t>
      </w:r>
      <w:r w:rsidR="00695E06">
        <w:t>; 1 = kvinde; 0 = mand</w:t>
      </w:r>
      <w:r w:rsidR="00CB0188">
        <w:t>)</w:t>
      </w:r>
      <w:r w:rsidR="00695E06">
        <w:t xml:space="preserve"> og alder i år (</w:t>
      </w:r>
      <w:r w:rsidR="00695E06" w:rsidRPr="00695E06">
        <w:rPr>
          <w:b/>
        </w:rPr>
        <w:t>alder</w:t>
      </w:r>
      <w:r w:rsidR="00695E06">
        <w:t>)</w:t>
      </w:r>
      <w:r>
        <w:t>.</w:t>
      </w:r>
      <w:r w:rsidR="005936A1">
        <w:t xml:space="preserve"> Herudover er der information om deltagernes result på et test for kognitive færdigheder i 2010 (</w:t>
      </w:r>
      <w:r w:rsidR="005936A1" w:rsidRPr="005936A1">
        <w:rPr>
          <w:b/>
        </w:rPr>
        <w:t>kogn</w:t>
      </w:r>
      <w:r w:rsidR="005936A1">
        <w:t xml:space="preserve">; 0-20 rigtige svar) og information om </w:t>
      </w:r>
      <w:r w:rsidR="001623C3">
        <w:t>hvorvidt de kan tale mindst ét fremmedsprog (</w:t>
      </w:r>
      <w:r w:rsidR="00E54A33" w:rsidRPr="00E54A33">
        <w:rPr>
          <w:b/>
        </w:rPr>
        <w:t>fremsprog</w:t>
      </w:r>
      <w:r w:rsidR="00E54A33">
        <w:t xml:space="preserve">; </w:t>
      </w:r>
      <w:r w:rsidR="001623C3">
        <w:t>1 = ja; 0 = nej)</w:t>
      </w:r>
      <w:r w:rsidR="005936A1">
        <w:t>.</w:t>
      </w:r>
    </w:p>
    <w:p w14:paraId="3DA8F642" w14:textId="77777777" w:rsidR="005F243C" w:rsidRDefault="005F243C"/>
    <w:p w14:paraId="15FC0C29" w14:textId="77777777" w:rsidR="006F0B60" w:rsidRPr="006F0B60" w:rsidRDefault="006F0B60">
      <w:pPr>
        <w:rPr>
          <w:i/>
        </w:rPr>
      </w:pPr>
      <w:r w:rsidRPr="006F0B60">
        <w:rPr>
          <w:i/>
        </w:rPr>
        <w:t>2.4. Meritstuderende</w:t>
      </w:r>
    </w:p>
    <w:p w14:paraId="016B2DA2" w14:textId="2149EF17" w:rsidR="00D84A2A" w:rsidRDefault="005936A1" w:rsidP="005936A1">
      <w:pPr>
        <w:pStyle w:val="ListBullet"/>
      </w:pPr>
      <w:r w:rsidRPr="005936A1">
        <w:rPr>
          <w:b/>
        </w:rPr>
        <w:t>Kun VUM</w:t>
      </w:r>
      <w:r>
        <w:t xml:space="preserve">: </w:t>
      </w:r>
      <w:r w:rsidR="006F0B60">
        <w:t>Meritstuderende, som tager eksamen i VUM</w:t>
      </w:r>
      <w:r w:rsidR="00F929D0">
        <w:t>,</w:t>
      </w:r>
      <w:r w:rsidR="006F0B60">
        <w:t xml:space="preserve"> men </w:t>
      </w:r>
      <w:r w:rsidR="006F0B60" w:rsidRPr="00A47E3B">
        <w:rPr>
          <w:u w:val="single"/>
        </w:rPr>
        <w:t>ikke</w:t>
      </w:r>
      <w:r w:rsidR="006F0B60">
        <w:t xml:space="preserve"> </w:t>
      </w:r>
      <w:r w:rsidR="00F929D0">
        <w:t xml:space="preserve">i </w:t>
      </w:r>
      <w:r w:rsidR="00443142">
        <w:t>VKM</w:t>
      </w:r>
      <w:r w:rsidR="006F0B60">
        <w:t xml:space="preserve">, skal ikke udføre </w:t>
      </w:r>
      <w:r w:rsidR="00CC34B8">
        <w:t>d</w:t>
      </w:r>
      <w:r w:rsidR="006F0B60">
        <w:t>en selvstændig</w:t>
      </w:r>
      <w:r w:rsidR="00CC34B8">
        <w:t>e</w:t>
      </w:r>
      <w:r w:rsidR="006F0B60">
        <w:t xml:space="preserve"> empirisk</w:t>
      </w:r>
      <w:r w:rsidR="00CC34B8">
        <w:t>e</w:t>
      </w:r>
      <w:r w:rsidR="006F0B60">
        <w:t xml:space="preserve"> analyse på </w:t>
      </w:r>
      <w:r w:rsidR="00443142">
        <w:t>GU</w:t>
      </w:r>
      <w:r w:rsidR="006F0B60">
        <w:t>-datasættet.</w:t>
      </w:r>
      <w:r w:rsidR="00913E92">
        <w:t xml:space="preserve"> I </w:t>
      </w:r>
      <w:r w:rsidR="006F0B60">
        <w:t xml:space="preserve">skal besvare den overordnede problemformulering </w:t>
      </w:r>
      <w:r w:rsidR="00CC34B8">
        <w:t xml:space="preserve">beskrevet </w:t>
      </w:r>
      <w:r w:rsidR="006F0B60">
        <w:t xml:space="preserve">i </w:t>
      </w:r>
      <w:r w:rsidR="00CC34B8">
        <w:t>2.2.</w:t>
      </w:r>
      <w:r w:rsidR="00AB652E">
        <w:t>1</w:t>
      </w:r>
      <w:r w:rsidR="006F0B60">
        <w:t xml:space="preserve"> </w:t>
      </w:r>
      <w:r w:rsidR="00D84A2A">
        <w:t xml:space="preserve">og </w:t>
      </w:r>
      <w:r w:rsidR="00C42D20">
        <w:t>skal forhold</w:t>
      </w:r>
      <w:r w:rsidR="00F87B28">
        <w:t>e</w:t>
      </w:r>
      <w:r w:rsidR="00C42D20">
        <w:t xml:space="preserve"> </w:t>
      </w:r>
      <w:r w:rsidR="00913E92">
        <w:t>jer</w:t>
      </w:r>
      <w:r w:rsidR="00C42D20">
        <w:t xml:space="preserve"> til </w:t>
      </w:r>
      <w:r w:rsidR="00D84A2A">
        <w:t>de</w:t>
      </w:r>
      <w:r>
        <w:t>n</w:t>
      </w:r>
      <w:r w:rsidR="00D84A2A">
        <w:t xml:space="preserve"> underordnede problemstilling</w:t>
      </w:r>
      <w:r>
        <w:t xml:space="preserve"> i 2.2.2 (i skal </w:t>
      </w:r>
      <w:r w:rsidRPr="005936A1">
        <w:rPr>
          <w:u w:val="single"/>
        </w:rPr>
        <w:t>ikke</w:t>
      </w:r>
      <w:r>
        <w:t xml:space="preserve"> forholde jer til 2.2.3). I stedet for den </w:t>
      </w:r>
      <w:r w:rsidR="00CC34B8">
        <w:t xml:space="preserve">selvstændige </w:t>
      </w:r>
      <w:r w:rsidR="006F0B60">
        <w:t xml:space="preserve">empiriske analyse </w:t>
      </w:r>
      <w:r>
        <w:t xml:space="preserve">skal I trække på </w:t>
      </w:r>
      <w:r w:rsidR="00CC34B8">
        <w:t xml:space="preserve">anden </w:t>
      </w:r>
      <w:r w:rsidR="001B30EF">
        <w:t xml:space="preserve">teoretisk og/eller </w:t>
      </w:r>
      <w:r w:rsidR="00CC34B8">
        <w:t>empirisk litteratur efter eget valg</w:t>
      </w:r>
      <w:r w:rsidR="001B30EF">
        <w:t xml:space="preserve"> </w:t>
      </w:r>
      <w:r>
        <w:t xml:space="preserve">til at besvare den overordnede problemformulering beskrevet i 2.2.1 </w:t>
      </w:r>
      <w:r w:rsidR="001B30EF">
        <w:t xml:space="preserve">(se evt. referencer neden for </w:t>
      </w:r>
      <w:r w:rsidR="00F87B28">
        <w:t>inspiration</w:t>
      </w:r>
      <w:r w:rsidR="001B30EF">
        <w:t>)</w:t>
      </w:r>
      <w:r w:rsidR="00CC34B8">
        <w:t xml:space="preserve">. </w:t>
      </w:r>
      <w:r w:rsidR="00F87B28">
        <w:t xml:space="preserve">Opgaven </w:t>
      </w:r>
      <w:r w:rsidR="00921E88">
        <w:t xml:space="preserve">bør </w:t>
      </w:r>
      <w:r w:rsidR="00F87B28">
        <w:t xml:space="preserve">disponeres som vist i tabel </w:t>
      </w:r>
      <w:r>
        <w:t>2</w:t>
      </w:r>
      <w:r w:rsidR="00F87B28">
        <w:t>.</w:t>
      </w:r>
    </w:p>
    <w:p w14:paraId="07C23DD4" w14:textId="77777777" w:rsidR="00D84A2A" w:rsidRDefault="00D84A2A">
      <w:r>
        <w:t xml:space="preserve">Det samlede omfang af porteføljeopgaven for meritstuderende er </w:t>
      </w:r>
      <w:r w:rsidRPr="00D84A2A">
        <w:rPr>
          <w:b/>
          <w:u w:val="single"/>
        </w:rPr>
        <w:t>10 sider af 2400 tegn</w:t>
      </w:r>
      <w:r>
        <w:t>.</w:t>
      </w:r>
    </w:p>
    <w:p w14:paraId="41CA944E" w14:textId="301C19D2" w:rsidR="006F0B60" w:rsidRDefault="006F0B60" w:rsidP="006F0B60">
      <w:pPr>
        <w:pStyle w:val="ListNumber"/>
        <w:numPr>
          <w:ilvl w:val="0"/>
          <w:numId w:val="0"/>
        </w:numPr>
      </w:pPr>
      <w:r>
        <w:t xml:space="preserve">Tabel </w:t>
      </w:r>
      <w:r w:rsidR="005936A1">
        <w:t>2</w:t>
      </w:r>
      <w:r>
        <w:t>. Porteføljeopgavens struktur for meritstuderende</w:t>
      </w:r>
      <w:r w:rsidR="00913E92">
        <w:t xml:space="preserve"> i VUM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1275"/>
        <w:gridCol w:w="3686"/>
      </w:tblGrid>
      <w:tr w:rsidR="006F0B60" w14:paraId="5205C4D2" w14:textId="77777777" w:rsidTr="00451997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13A852B6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Del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3B79CE29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</w:pPr>
            <w:r>
              <w:t>Gruppebaseret feedback hvor?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AE6BDA8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Indhold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1106A9CE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Ca. antal sider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7ACFA29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</w:pPr>
            <w:r>
              <w:t>Tidsplan</w:t>
            </w:r>
          </w:p>
        </w:tc>
      </w:tr>
      <w:tr w:rsidR="00ED50F9" w14:paraId="260C3BF0" w14:textId="77777777" w:rsidTr="00451997">
        <w:tc>
          <w:tcPr>
            <w:tcW w:w="1668" w:type="dxa"/>
            <w:tcBorders>
              <w:top w:val="single" w:sz="4" w:space="0" w:color="auto"/>
            </w:tcBorders>
          </w:tcPr>
          <w:p w14:paraId="425C8288" w14:textId="77777777" w:rsidR="00ED50F9" w:rsidRDefault="00ED50F9" w:rsidP="00ED50F9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 (VUM)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20877DD" w14:textId="77777777" w:rsidR="00ED50F9" w:rsidRDefault="00ED50F9" w:rsidP="00ED50F9">
            <w:pPr>
              <w:pStyle w:val="ListNumber"/>
              <w:numPr>
                <w:ilvl w:val="0"/>
                <w:numId w:val="0"/>
              </w:numPr>
            </w:pPr>
            <w:r>
              <w:t>VUM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49EB5F08" w14:textId="77777777" w:rsidR="00ED50F9" w:rsidRDefault="00ED50F9" w:rsidP="00ED50F9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Indledning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65A99896" w14:textId="77777777" w:rsidR="00ED50F9" w:rsidRDefault="00ED50F9" w:rsidP="00ED50F9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364F94CD" w14:textId="18D452A8" w:rsidR="00ED50F9" w:rsidRPr="001420A7" w:rsidRDefault="00F94547" w:rsidP="00F94547">
            <w:pPr>
              <w:pStyle w:val="ListNumber"/>
              <w:numPr>
                <w:ilvl w:val="0"/>
                <w:numId w:val="0"/>
              </w:numPr>
            </w:pPr>
            <w:r>
              <w:t>Se Absalon</w:t>
            </w:r>
          </w:p>
        </w:tc>
      </w:tr>
      <w:tr w:rsidR="00ED50F9" w14:paraId="44303FD7" w14:textId="77777777" w:rsidTr="00451997">
        <w:tc>
          <w:tcPr>
            <w:tcW w:w="1668" w:type="dxa"/>
          </w:tcPr>
          <w:p w14:paraId="3E643A42" w14:textId="77777777" w:rsidR="00ED50F9" w:rsidRDefault="00ED50F9" w:rsidP="00ED50F9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 (VUM)</w:t>
            </w:r>
          </w:p>
        </w:tc>
        <w:tc>
          <w:tcPr>
            <w:tcW w:w="1842" w:type="dxa"/>
          </w:tcPr>
          <w:p w14:paraId="261BC82D" w14:textId="77777777" w:rsidR="00ED50F9" w:rsidRDefault="00ED50F9" w:rsidP="00ED50F9">
            <w:pPr>
              <w:pStyle w:val="ListNumber"/>
              <w:numPr>
                <w:ilvl w:val="0"/>
                <w:numId w:val="0"/>
              </w:numPr>
            </w:pPr>
            <w:r>
              <w:t>VUM</w:t>
            </w:r>
          </w:p>
        </w:tc>
        <w:tc>
          <w:tcPr>
            <w:tcW w:w="1560" w:type="dxa"/>
          </w:tcPr>
          <w:p w14:paraId="12DB23CB" w14:textId="77777777" w:rsidR="00ED50F9" w:rsidRDefault="00ED50F9" w:rsidP="00ED50F9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Teori</w:t>
            </w:r>
          </w:p>
        </w:tc>
        <w:tc>
          <w:tcPr>
            <w:tcW w:w="1275" w:type="dxa"/>
          </w:tcPr>
          <w:p w14:paraId="7BF8D41F" w14:textId="77777777" w:rsidR="00ED50F9" w:rsidRDefault="00ED50F9" w:rsidP="00ED50F9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4</w:t>
            </w:r>
          </w:p>
        </w:tc>
        <w:tc>
          <w:tcPr>
            <w:tcW w:w="3686" w:type="dxa"/>
          </w:tcPr>
          <w:p w14:paraId="13EE9E01" w14:textId="30D8E76A" w:rsidR="00ED50F9" w:rsidRPr="001420A7" w:rsidRDefault="00ED50F9" w:rsidP="00ED50F9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6F0B60" w14:paraId="071AF43F" w14:textId="77777777" w:rsidTr="00451997">
        <w:tc>
          <w:tcPr>
            <w:tcW w:w="1668" w:type="dxa"/>
          </w:tcPr>
          <w:p w14:paraId="0A0DECC8" w14:textId="77777777" w:rsidR="006F0B60" w:rsidRDefault="00866174" w:rsidP="00866174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2 (VUM)</w:t>
            </w:r>
          </w:p>
        </w:tc>
        <w:tc>
          <w:tcPr>
            <w:tcW w:w="1842" w:type="dxa"/>
          </w:tcPr>
          <w:p w14:paraId="534167AE" w14:textId="77777777" w:rsidR="006F0B60" w:rsidRDefault="00866174" w:rsidP="00451997">
            <w:pPr>
              <w:pStyle w:val="ListNumber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560" w:type="dxa"/>
          </w:tcPr>
          <w:p w14:paraId="0F3372CD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 xml:space="preserve">Analyse </w:t>
            </w:r>
          </w:p>
        </w:tc>
        <w:tc>
          <w:tcPr>
            <w:tcW w:w="1275" w:type="dxa"/>
          </w:tcPr>
          <w:p w14:paraId="43C7EE3A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4</w:t>
            </w:r>
          </w:p>
        </w:tc>
        <w:tc>
          <w:tcPr>
            <w:tcW w:w="3686" w:type="dxa"/>
          </w:tcPr>
          <w:p w14:paraId="680AF30C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6F0B60" w14:paraId="4F4B30BF" w14:textId="77777777" w:rsidTr="00451997">
        <w:tc>
          <w:tcPr>
            <w:tcW w:w="1668" w:type="dxa"/>
            <w:tcBorders>
              <w:bottom w:val="single" w:sz="4" w:space="0" w:color="auto"/>
            </w:tcBorders>
          </w:tcPr>
          <w:p w14:paraId="3018C30B" w14:textId="77777777" w:rsidR="006F0B60" w:rsidRDefault="006F0B60" w:rsidP="00866174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 xml:space="preserve">3 </w:t>
            </w:r>
            <w:r w:rsidR="00866174">
              <w:t>(VUM)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0FF52A4" w14:textId="77777777" w:rsidR="006F0B60" w:rsidRDefault="00866174" w:rsidP="00451997">
            <w:pPr>
              <w:pStyle w:val="ListNumber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E1228A9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Konklusion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AE8F05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78B1926C" w14:textId="77777777" w:rsidR="006F0B60" w:rsidRDefault="006F0B60" w:rsidP="00451997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14:paraId="33F73A5E" w14:textId="77777777" w:rsidR="00F87B28" w:rsidRDefault="00F87B28" w:rsidP="00F87B28"/>
    <w:p w14:paraId="2E86ED29" w14:textId="5972B241" w:rsidR="00101508" w:rsidRDefault="005936A1" w:rsidP="005936A1">
      <w:pPr>
        <w:pStyle w:val="ListBullet"/>
      </w:pPr>
      <w:r w:rsidRPr="005936A1">
        <w:rPr>
          <w:b/>
        </w:rPr>
        <w:t>Kun VKM</w:t>
      </w:r>
      <w:r>
        <w:t xml:space="preserve">: </w:t>
      </w:r>
      <w:r w:rsidR="00101508">
        <w:t xml:space="preserve">Meritstuderende som </w:t>
      </w:r>
      <w:r w:rsidR="00921E88">
        <w:t xml:space="preserve">kun </w:t>
      </w:r>
      <w:r w:rsidR="00101508">
        <w:t>tager eksamen i GS</w:t>
      </w:r>
      <w:r w:rsidR="00A47E3B">
        <w:t>,</w:t>
      </w:r>
      <w:r w:rsidR="00101508">
        <w:t xml:space="preserve"> men </w:t>
      </w:r>
      <w:r w:rsidR="00101508" w:rsidRPr="00A47E3B">
        <w:rPr>
          <w:u w:val="single"/>
        </w:rPr>
        <w:t>ikke</w:t>
      </w:r>
      <w:r w:rsidR="00101508">
        <w:t xml:space="preserve"> </w:t>
      </w:r>
      <w:r w:rsidR="00A47E3B">
        <w:t xml:space="preserve">i </w:t>
      </w:r>
      <w:r w:rsidR="00101508">
        <w:t>VUM</w:t>
      </w:r>
      <w:r w:rsidR="00A47E3B">
        <w:t>,</w:t>
      </w:r>
      <w:r w:rsidR="00101508">
        <w:t xml:space="preserve"> skal </w:t>
      </w:r>
      <w:r w:rsidR="00921E88">
        <w:t xml:space="preserve">ikke skrive et egentligt teoriafsnit, men i stedet skrive en indledning på ca. </w:t>
      </w:r>
      <w:r w:rsidR="00101508">
        <w:t>1 side</w:t>
      </w:r>
      <w:r w:rsidR="00921E88">
        <w:t xml:space="preserve">, hvor I </w:t>
      </w:r>
      <w:r w:rsidR="00101508">
        <w:t>kort skitsere</w:t>
      </w:r>
      <w:r w:rsidR="00921E88">
        <w:t>r</w:t>
      </w:r>
      <w:r w:rsidR="00101508">
        <w:t xml:space="preserve"> </w:t>
      </w:r>
      <w:r w:rsidR="00921E88">
        <w:t>den overordnede problemstilling</w:t>
      </w:r>
      <w:r w:rsidR="00101508">
        <w:t xml:space="preserve">. </w:t>
      </w:r>
      <w:r w:rsidR="00921E88">
        <w:t xml:space="preserve">I skal besvare den overordnede problemformulering beskrevet i 2.2.1 og skal forholde jer til den underordnede problemstilling i 2.2.3 (I skal </w:t>
      </w:r>
      <w:r w:rsidR="00921E88" w:rsidRPr="005936A1">
        <w:rPr>
          <w:u w:val="single"/>
        </w:rPr>
        <w:t>ikke</w:t>
      </w:r>
      <w:r w:rsidR="00921E88">
        <w:t xml:space="preserve"> forholde jer til 2.2.2)</w:t>
      </w:r>
      <w:r w:rsidR="001C71CA">
        <w:t>.</w:t>
      </w:r>
      <w:r w:rsidR="00921E88">
        <w:t xml:space="preserve"> Opgaven bør disponeres som vist i tabel 3</w:t>
      </w:r>
    </w:p>
    <w:p w14:paraId="0944FC8A" w14:textId="162965F8" w:rsidR="00913E92" w:rsidRDefault="00913E92" w:rsidP="00913E92">
      <w:pPr>
        <w:pStyle w:val="ListNumber"/>
        <w:numPr>
          <w:ilvl w:val="0"/>
          <w:numId w:val="0"/>
        </w:numPr>
      </w:pPr>
      <w:r>
        <w:t xml:space="preserve">Tabel </w:t>
      </w:r>
      <w:r w:rsidR="00921E88">
        <w:t>3</w:t>
      </w:r>
      <w:r>
        <w:t xml:space="preserve">. Porteføljeopgavens struktur for meritstuderende i </w:t>
      </w:r>
      <w:r w:rsidR="00921E88">
        <w:t>VKM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1275"/>
        <w:gridCol w:w="3686"/>
      </w:tblGrid>
      <w:tr w:rsidR="00913E92" w14:paraId="551AA189" w14:textId="77777777" w:rsidTr="00451997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698E7EA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Del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2305D52D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</w:pPr>
            <w:r>
              <w:t>Gruppebaseret feedback hvor?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31CFD8AB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Indhold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0DB7F03D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Ca. antal sider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64881F03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</w:pPr>
            <w:r>
              <w:t>Tidsplan</w:t>
            </w:r>
          </w:p>
        </w:tc>
      </w:tr>
      <w:tr w:rsidR="00913E92" w14:paraId="7B0EDAC8" w14:textId="77777777" w:rsidTr="00451997">
        <w:tc>
          <w:tcPr>
            <w:tcW w:w="1668" w:type="dxa"/>
            <w:tcBorders>
              <w:top w:val="single" w:sz="4" w:space="0" w:color="auto"/>
            </w:tcBorders>
          </w:tcPr>
          <w:p w14:paraId="79B3F0BD" w14:textId="7934163D" w:rsidR="00913E92" w:rsidRDefault="00913E92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 (</w:t>
            </w:r>
            <w:r w:rsidR="00921E88">
              <w:t>VKM</w:t>
            </w:r>
            <w:r>
              <w:t>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727790D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105B9AE7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Indledning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255245B8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6049675A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913E92" w14:paraId="72A20A0B" w14:textId="77777777" w:rsidTr="00451997">
        <w:tc>
          <w:tcPr>
            <w:tcW w:w="1668" w:type="dxa"/>
          </w:tcPr>
          <w:p w14:paraId="03EC2ADD" w14:textId="3442BA8C" w:rsidR="00913E92" w:rsidRDefault="00913E92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 (</w:t>
            </w:r>
            <w:r w:rsidR="00921E88">
              <w:t>VKM</w:t>
            </w:r>
            <w:r>
              <w:t>)</w:t>
            </w:r>
          </w:p>
        </w:tc>
        <w:tc>
          <w:tcPr>
            <w:tcW w:w="1842" w:type="dxa"/>
          </w:tcPr>
          <w:p w14:paraId="16350BAC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1560" w:type="dxa"/>
          </w:tcPr>
          <w:p w14:paraId="0C0D7F7B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Teori</w:t>
            </w:r>
          </w:p>
        </w:tc>
        <w:tc>
          <w:tcPr>
            <w:tcW w:w="1275" w:type="dxa"/>
          </w:tcPr>
          <w:p w14:paraId="7CE05BC9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</w:t>
            </w:r>
          </w:p>
        </w:tc>
        <w:tc>
          <w:tcPr>
            <w:tcW w:w="3686" w:type="dxa"/>
          </w:tcPr>
          <w:p w14:paraId="462E2083" w14:textId="77777777" w:rsidR="00913E92" w:rsidRDefault="00913E92" w:rsidP="00451997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3C416E" w14:paraId="7E8D80C2" w14:textId="77777777" w:rsidTr="00451997">
        <w:tc>
          <w:tcPr>
            <w:tcW w:w="1668" w:type="dxa"/>
          </w:tcPr>
          <w:p w14:paraId="4D683AA3" w14:textId="77777777" w:rsidR="003C416E" w:rsidRDefault="003C416E" w:rsidP="003C416E">
            <w:pPr>
              <w:pStyle w:val="ListNumber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42" w:type="dxa"/>
          </w:tcPr>
          <w:p w14:paraId="329E55C2" w14:textId="77777777" w:rsidR="003C416E" w:rsidRDefault="003C416E" w:rsidP="003C416E">
            <w:pPr>
              <w:pStyle w:val="ListNumber"/>
              <w:numPr>
                <w:ilvl w:val="0"/>
                <w:numId w:val="0"/>
              </w:numPr>
            </w:pPr>
            <w:r>
              <w:t>GS</w:t>
            </w:r>
          </w:p>
        </w:tc>
        <w:tc>
          <w:tcPr>
            <w:tcW w:w="1560" w:type="dxa"/>
          </w:tcPr>
          <w:p w14:paraId="7F4CC572" w14:textId="77777777" w:rsidR="003C416E" w:rsidRDefault="003C416E" w:rsidP="003C416E">
            <w:pPr>
              <w:pStyle w:val="ListNumber"/>
              <w:numPr>
                <w:ilvl w:val="0"/>
                <w:numId w:val="0"/>
              </w:numPr>
            </w:pPr>
            <w:r>
              <w:t>Design</w:t>
            </w:r>
          </w:p>
        </w:tc>
        <w:tc>
          <w:tcPr>
            <w:tcW w:w="1275" w:type="dxa"/>
          </w:tcPr>
          <w:p w14:paraId="3F3F9BAD" w14:textId="77777777" w:rsidR="003C416E" w:rsidRDefault="003C416E" w:rsidP="003C416E">
            <w:pPr>
              <w:pStyle w:val="ListNumber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3686" w:type="dxa"/>
          </w:tcPr>
          <w:p w14:paraId="06442008" w14:textId="171EF7D8" w:rsidR="003C416E" w:rsidRPr="007146EE" w:rsidRDefault="00F94547" w:rsidP="003C416E">
            <w:pPr>
              <w:pStyle w:val="ListNumber"/>
              <w:numPr>
                <w:ilvl w:val="0"/>
                <w:numId w:val="0"/>
              </w:numPr>
            </w:pPr>
            <w:r>
              <w:t>Se Absalon</w:t>
            </w:r>
          </w:p>
        </w:tc>
      </w:tr>
      <w:tr w:rsidR="003C416E" w14:paraId="654B5399" w14:textId="77777777" w:rsidTr="00451997">
        <w:tc>
          <w:tcPr>
            <w:tcW w:w="1668" w:type="dxa"/>
          </w:tcPr>
          <w:p w14:paraId="159198FA" w14:textId="76AEAE7B" w:rsidR="003C416E" w:rsidRDefault="003C416E" w:rsidP="003C416E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2 (</w:t>
            </w:r>
            <w:r w:rsidR="00921E88">
              <w:t>VKM</w:t>
            </w:r>
            <w:r>
              <w:t>)</w:t>
            </w:r>
          </w:p>
        </w:tc>
        <w:tc>
          <w:tcPr>
            <w:tcW w:w="1842" w:type="dxa"/>
          </w:tcPr>
          <w:p w14:paraId="0DA66419" w14:textId="77777777" w:rsidR="003C416E" w:rsidRDefault="003C416E" w:rsidP="003C416E">
            <w:pPr>
              <w:pStyle w:val="ListNumber"/>
              <w:numPr>
                <w:ilvl w:val="0"/>
                <w:numId w:val="0"/>
              </w:numPr>
            </w:pPr>
            <w:r>
              <w:t>GS</w:t>
            </w:r>
          </w:p>
        </w:tc>
        <w:tc>
          <w:tcPr>
            <w:tcW w:w="1560" w:type="dxa"/>
          </w:tcPr>
          <w:p w14:paraId="435ACC2D" w14:textId="77777777" w:rsidR="003C416E" w:rsidRDefault="003C416E" w:rsidP="003C416E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 xml:space="preserve">Analyse </w:t>
            </w:r>
          </w:p>
        </w:tc>
        <w:tc>
          <w:tcPr>
            <w:tcW w:w="1275" w:type="dxa"/>
          </w:tcPr>
          <w:p w14:paraId="0D57C3ED" w14:textId="77777777" w:rsidR="003C416E" w:rsidRDefault="003C416E" w:rsidP="003C416E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4</w:t>
            </w:r>
          </w:p>
        </w:tc>
        <w:tc>
          <w:tcPr>
            <w:tcW w:w="3686" w:type="dxa"/>
          </w:tcPr>
          <w:p w14:paraId="7B040BF3" w14:textId="285F1158" w:rsidR="003C416E" w:rsidRPr="007146EE" w:rsidRDefault="003C416E" w:rsidP="003C416E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913E92" w14:paraId="0B865B11" w14:textId="77777777" w:rsidTr="00451997">
        <w:tc>
          <w:tcPr>
            <w:tcW w:w="1668" w:type="dxa"/>
            <w:tcBorders>
              <w:bottom w:val="single" w:sz="4" w:space="0" w:color="auto"/>
            </w:tcBorders>
          </w:tcPr>
          <w:p w14:paraId="15D30B32" w14:textId="576BF801" w:rsidR="00913E92" w:rsidRDefault="00913E92" w:rsidP="00913E92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3 (</w:t>
            </w:r>
            <w:r w:rsidR="00921E88">
              <w:t>VKM</w:t>
            </w:r>
            <w: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C61453E" w14:textId="77777777" w:rsidR="00913E92" w:rsidRDefault="00913E92" w:rsidP="00913E92">
            <w:pPr>
              <w:pStyle w:val="ListNumber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AAA51B0" w14:textId="77777777" w:rsidR="00913E92" w:rsidRDefault="00913E92" w:rsidP="00913E92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Konklusion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30C9193" w14:textId="77777777" w:rsidR="00913E92" w:rsidRDefault="00913E92" w:rsidP="00913E92">
            <w:pPr>
              <w:pStyle w:val="ListNumber"/>
              <w:numPr>
                <w:ilvl w:val="0"/>
                <w:numId w:val="0"/>
              </w:numPr>
              <w:spacing w:line="276" w:lineRule="auto"/>
            </w:pPr>
            <w: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64397690" w14:textId="77777777" w:rsidR="00913E92" w:rsidRDefault="00913E92" w:rsidP="00913E92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14:paraId="3C604C1B" w14:textId="77777777" w:rsidR="00A47E3B" w:rsidRDefault="00A47E3B">
      <w:pPr>
        <w:rPr>
          <w:b/>
        </w:rPr>
      </w:pPr>
    </w:p>
    <w:p w14:paraId="555472BC" w14:textId="77777777" w:rsidR="006F0B60" w:rsidRPr="00C42D20" w:rsidRDefault="00C42D20">
      <w:pPr>
        <w:rPr>
          <w:b/>
        </w:rPr>
      </w:pPr>
      <w:r w:rsidRPr="00C42D20">
        <w:rPr>
          <w:b/>
        </w:rPr>
        <w:t>3. Bilag</w:t>
      </w:r>
    </w:p>
    <w:p w14:paraId="23C288B7" w14:textId="6CA10931" w:rsidR="007D1859" w:rsidRDefault="00C30BF3" w:rsidP="00C42D20">
      <w:pPr>
        <w:pStyle w:val="ListBullet"/>
      </w:pPr>
      <w:r>
        <w:lastRenderedPageBreak/>
        <w:t xml:space="preserve">Datasæt fra </w:t>
      </w:r>
      <w:r w:rsidR="00921E88">
        <w:t xml:space="preserve">GU </w:t>
      </w:r>
      <w:r>
        <w:t xml:space="preserve">(uploades </w:t>
      </w:r>
      <w:r w:rsidR="00720113">
        <w:t>på et senere tidspunkt</w:t>
      </w:r>
      <w:r>
        <w:t>)</w:t>
      </w:r>
      <w:r w:rsidR="00F87B28">
        <w:t>.</w:t>
      </w:r>
    </w:p>
    <w:p w14:paraId="790395F7" w14:textId="77777777" w:rsidR="00C42D20" w:rsidRDefault="00303BED" w:rsidP="00C42D20">
      <w:pPr>
        <w:pStyle w:val="ListBullet"/>
      </w:pPr>
      <w:r>
        <w:t>Mads’ v</w:t>
      </w:r>
      <w:r w:rsidR="00C42D20">
        <w:t xml:space="preserve">ejledning med tips til </w:t>
      </w:r>
      <w:r w:rsidR="00ED50F9">
        <w:t xml:space="preserve">porteføljeopgaven </w:t>
      </w:r>
      <w:r>
        <w:t>(pdf)</w:t>
      </w:r>
      <w:r w:rsidR="00F87B28">
        <w:t>.</w:t>
      </w:r>
    </w:p>
    <w:p w14:paraId="199D1B7F" w14:textId="77777777" w:rsidR="00001109" w:rsidRDefault="00001109" w:rsidP="00572F51">
      <w:pPr>
        <w:jc w:val="center"/>
      </w:pPr>
    </w:p>
    <w:p w14:paraId="3B3486DE" w14:textId="77777777" w:rsidR="00001109" w:rsidRPr="00263E4A" w:rsidRDefault="00ED50F9" w:rsidP="00F25BB6">
      <w:pPr>
        <w:spacing w:after="0" w:line="360" w:lineRule="auto"/>
        <w:rPr>
          <w:b/>
          <w:lang w:val="en-US"/>
        </w:rPr>
      </w:pPr>
      <w:r w:rsidRPr="00263E4A">
        <w:rPr>
          <w:b/>
          <w:lang w:val="en-US"/>
        </w:rPr>
        <w:t>Litteraturhenvisninger</w:t>
      </w:r>
    </w:p>
    <w:p w14:paraId="61D78C9F" w14:textId="3F9D73DE" w:rsidR="00921E88" w:rsidRDefault="00001109" w:rsidP="00921E88">
      <w:pPr>
        <w:pStyle w:val="EndNoteBibliography"/>
        <w:spacing w:after="0"/>
        <w:ind w:left="720" w:hanging="720"/>
        <w:jc w:val="left"/>
      </w:pPr>
      <w:r>
        <w:fldChar w:fldCharType="begin"/>
      </w:r>
      <w:r w:rsidRPr="00263E4A">
        <w:instrText xml:space="preserve"> ADDIN EN.REFLIST </w:instrText>
      </w:r>
      <w:r>
        <w:fldChar w:fldCharType="separate"/>
      </w:r>
      <w:r w:rsidR="00921E88" w:rsidRPr="00921E88">
        <w:t xml:space="preserve">Bourdieu, P. (1984). </w:t>
      </w:r>
      <w:r w:rsidR="00921E88" w:rsidRPr="00921E88">
        <w:rPr>
          <w:i/>
        </w:rPr>
        <w:t>Distinction. A Social Critique of the Judgement of Taste</w:t>
      </w:r>
      <w:r w:rsidR="00921E88" w:rsidRPr="00921E88">
        <w:t>. Cambridge, Mass.: Harvard University Press.</w:t>
      </w:r>
    </w:p>
    <w:p w14:paraId="1672D468" w14:textId="77777777" w:rsidR="00921E88" w:rsidRPr="00921E88" w:rsidRDefault="00921E88" w:rsidP="00921E88">
      <w:pPr>
        <w:pStyle w:val="EndNoteBibliography"/>
        <w:spacing w:after="0"/>
        <w:ind w:left="720" w:hanging="720"/>
        <w:jc w:val="left"/>
      </w:pPr>
    </w:p>
    <w:p w14:paraId="3740BBFE" w14:textId="54575145" w:rsidR="00921E88" w:rsidRDefault="00921E88" w:rsidP="00921E88">
      <w:pPr>
        <w:pStyle w:val="EndNoteBibliography"/>
        <w:spacing w:after="0"/>
        <w:ind w:left="720" w:hanging="720"/>
        <w:jc w:val="left"/>
      </w:pPr>
      <w:r w:rsidRPr="00921E88">
        <w:t xml:space="preserve">Friedman, S., &amp; Reeves, A. (2020). From Aristocratic to Ordinary: Shifting Modes of Elite Distinction. </w:t>
      </w:r>
      <w:r w:rsidRPr="00921E88">
        <w:rPr>
          <w:i/>
        </w:rPr>
        <w:t>American Sociological Review, 85</w:t>
      </w:r>
      <w:r w:rsidRPr="00921E88">
        <w:t xml:space="preserve">(2), 323-350. </w:t>
      </w:r>
    </w:p>
    <w:p w14:paraId="34D5A579" w14:textId="77777777" w:rsidR="00921E88" w:rsidRPr="00921E88" w:rsidRDefault="00921E88" w:rsidP="00921E88">
      <w:pPr>
        <w:pStyle w:val="EndNoteBibliography"/>
        <w:spacing w:after="0"/>
        <w:ind w:left="720" w:hanging="720"/>
        <w:jc w:val="left"/>
      </w:pPr>
    </w:p>
    <w:p w14:paraId="39D25A5E" w14:textId="50F99E0A" w:rsidR="00921E88" w:rsidRDefault="00921E88" w:rsidP="00921E88">
      <w:pPr>
        <w:pStyle w:val="EndNoteBibliography"/>
        <w:spacing w:after="0"/>
        <w:ind w:left="720" w:hanging="720"/>
        <w:jc w:val="left"/>
      </w:pPr>
      <w:r w:rsidRPr="00921E88">
        <w:t xml:space="preserve">Johnston, J., Baumann, S., &amp; Oleschuk, M. (2019). Omnivorousness, Distinction, or Both? In F. F. Wherry &amp; I. Woodward (Eds.), </w:t>
      </w:r>
      <w:r w:rsidRPr="00921E88">
        <w:rPr>
          <w:i/>
        </w:rPr>
        <w:t>The Oxford Handbook of Consumption</w:t>
      </w:r>
      <w:r w:rsidRPr="00921E88">
        <w:t xml:space="preserve"> (pp. 1-22). Oxford: Oxford University Press.</w:t>
      </w:r>
    </w:p>
    <w:p w14:paraId="1330BA88" w14:textId="77777777" w:rsidR="00921E88" w:rsidRPr="00921E88" w:rsidRDefault="00921E88" w:rsidP="00921E88">
      <w:pPr>
        <w:pStyle w:val="EndNoteBibliography"/>
        <w:spacing w:after="0"/>
        <w:ind w:left="720" w:hanging="720"/>
        <w:jc w:val="left"/>
      </w:pPr>
    </w:p>
    <w:p w14:paraId="35878EE3" w14:textId="71004C58" w:rsidR="00921E88" w:rsidRDefault="00921E88" w:rsidP="00921E88">
      <w:pPr>
        <w:pStyle w:val="EndNoteBibliography"/>
        <w:spacing w:after="0"/>
        <w:ind w:left="720" w:hanging="720"/>
        <w:jc w:val="left"/>
      </w:pPr>
      <w:r w:rsidRPr="00921E88">
        <w:t xml:space="preserve">Jæger, M. M., &amp; Katz-Gerro, T. (2010). The rise of the eclectic cultural consumer in Denmark, 1964-2004. </w:t>
      </w:r>
      <w:r w:rsidRPr="00921E88">
        <w:rPr>
          <w:i/>
        </w:rPr>
        <w:t>Sociological Quarterly, 51</w:t>
      </w:r>
      <w:r w:rsidRPr="00921E88">
        <w:t>, 460-483. doi:10.1111/j.1533-8525.2010.01175.x</w:t>
      </w:r>
    </w:p>
    <w:p w14:paraId="337DC61A" w14:textId="77777777" w:rsidR="00921E88" w:rsidRPr="00921E88" w:rsidRDefault="00921E88" w:rsidP="00921E88">
      <w:pPr>
        <w:pStyle w:val="EndNoteBibliography"/>
        <w:spacing w:after="0"/>
        <w:ind w:left="720" w:hanging="720"/>
        <w:jc w:val="left"/>
      </w:pPr>
    </w:p>
    <w:p w14:paraId="4C7E15EF" w14:textId="685730BE" w:rsidR="00921E88" w:rsidRDefault="00921E88" w:rsidP="00921E88">
      <w:pPr>
        <w:pStyle w:val="EndNoteBibliography"/>
        <w:spacing w:after="0"/>
        <w:ind w:left="720" w:hanging="720"/>
        <w:jc w:val="left"/>
      </w:pPr>
      <w:r w:rsidRPr="00921E88">
        <w:t xml:space="preserve">Katz-Gerro, T., &amp; Jæger, M. M. (2013). Top of the pops, ascend of the omnivores, defeat of the couch potatoes: Cultural consumption profiles in Denmark 1975-2004. </w:t>
      </w:r>
      <w:r w:rsidRPr="00921E88">
        <w:rPr>
          <w:i/>
        </w:rPr>
        <w:t>European Sociological Review, 29</w:t>
      </w:r>
      <w:r w:rsidRPr="00921E88">
        <w:t>, 243-260. doi:10.1093/esr/jcr058</w:t>
      </w:r>
    </w:p>
    <w:p w14:paraId="73F5C9D4" w14:textId="77777777" w:rsidR="00921E88" w:rsidRPr="00921E88" w:rsidRDefault="00921E88" w:rsidP="00921E88">
      <w:pPr>
        <w:pStyle w:val="EndNoteBibliography"/>
        <w:spacing w:after="0"/>
        <w:ind w:left="720" w:hanging="720"/>
        <w:jc w:val="left"/>
      </w:pPr>
    </w:p>
    <w:p w14:paraId="0DF0AF3A" w14:textId="23A85B56" w:rsidR="00921E88" w:rsidRDefault="00921E88" w:rsidP="00921E88">
      <w:pPr>
        <w:pStyle w:val="EndNoteBibliography"/>
        <w:spacing w:after="0"/>
        <w:ind w:left="720" w:hanging="720"/>
        <w:jc w:val="left"/>
      </w:pPr>
      <w:r w:rsidRPr="00921E88">
        <w:t xml:space="preserve">Lizardo, O., &amp; Skiles, S. (2016). The End of Symbolic Exclusion? The Rise of “Categorical Tolerance” in the Musical Tastes of Americans: 1993–2012. </w:t>
      </w:r>
      <w:r w:rsidRPr="00921E88">
        <w:rPr>
          <w:i/>
        </w:rPr>
        <w:t>Sociological Science, 3</w:t>
      </w:r>
      <w:r w:rsidRPr="00921E88">
        <w:t xml:space="preserve">, 85-108. </w:t>
      </w:r>
    </w:p>
    <w:p w14:paraId="0CC4B71B" w14:textId="77777777" w:rsidR="00921E88" w:rsidRPr="00921E88" w:rsidRDefault="00921E88" w:rsidP="00921E88">
      <w:pPr>
        <w:pStyle w:val="EndNoteBibliography"/>
        <w:spacing w:after="0"/>
        <w:ind w:left="720" w:hanging="720"/>
        <w:jc w:val="left"/>
      </w:pPr>
    </w:p>
    <w:p w14:paraId="52E2E7EB" w14:textId="0A099BF6" w:rsidR="00921E88" w:rsidRDefault="00921E88" w:rsidP="00921E88">
      <w:pPr>
        <w:pStyle w:val="EndNoteBibliography"/>
        <w:spacing w:after="0"/>
        <w:ind w:left="720" w:hanging="720"/>
        <w:jc w:val="left"/>
      </w:pPr>
      <w:r w:rsidRPr="00921E88">
        <w:t xml:space="preserve">Peterson, R. A., &amp; Kern, R. (1996). Changing Highbrow Taste: From Snob to Omnivore. </w:t>
      </w:r>
      <w:r w:rsidRPr="00921E88">
        <w:rPr>
          <w:i/>
        </w:rPr>
        <w:t>American Sociological Review, 61</w:t>
      </w:r>
      <w:r w:rsidRPr="00921E88">
        <w:t xml:space="preserve">(5), 900-907. </w:t>
      </w:r>
    </w:p>
    <w:p w14:paraId="2DB0E5D7" w14:textId="77777777" w:rsidR="00921E88" w:rsidRPr="00921E88" w:rsidRDefault="00921E88" w:rsidP="00921E88">
      <w:pPr>
        <w:pStyle w:val="EndNoteBibliography"/>
        <w:spacing w:after="0"/>
        <w:ind w:left="720" w:hanging="720"/>
        <w:jc w:val="left"/>
      </w:pPr>
    </w:p>
    <w:p w14:paraId="563335E3" w14:textId="77777777" w:rsidR="00921E88" w:rsidRPr="00921E88" w:rsidRDefault="00921E88" w:rsidP="00921E88">
      <w:pPr>
        <w:pStyle w:val="EndNoteBibliography"/>
        <w:ind w:left="720" w:hanging="720"/>
        <w:jc w:val="left"/>
      </w:pPr>
      <w:r w:rsidRPr="00921E88">
        <w:t xml:space="preserve">Prieur, A., &amp; Savage, M. (2011). Updating culturtal capital theory: A discussion based on studies in Denmark and in Britain. </w:t>
      </w:r>
      <w:r w:rsidRPr="00921E88">
        <w:rPr>
          <w:i/>
        </w:rPr>
        <w:t>Poetics, 39</w:t>
      </w:r>
      <w:r w:rsidRPr="00921E88">
        <w:t xml:space="preserve">(6), 566-580. </w:t>
      </w:r>
    </w:p>
    <w:p w14:paraId="28B4936D" w14:textId="627D8D82" w:rsidR="00C30BF3" w:rsidRDefault="00001109" w:rsidP="00921E88">
      <w:pPr>
        <w:spacing w:after="0" w:line="360" w:lineRule="auto"/>
      </w:pPr>
      <w:r>
        <w:fldChar w:fldCharType="end"/>
      </w:r>
    </w:p>
    <w:sectPr w:rsidR="00C30BF3"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B485D" w14:textId="77777777" w:rsidR="00DD03EB" w:rsidRDefault="00DD03EB" w:rsidP="00A03F6F">
      <w:pPr>
        <w:spacing w:after="0" w:line="240" w:lineRule="auto"/>
      </w:pPr>
      <w:r>
        <w:separator/>
      </w:r>
    </w:p>
  </w:endnote>
  <w:endnote w:type="continuationSeparator" w:id="0">
    <w:p w14:paraId="1304FDA4" w14:textId="77777777" w:rsidR="00DD03EB" w:rsidRDefault="00DD03EB" w:rsidP="00A0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6181657"/>
      <w:docPartObj>
        <w:docPartGallery w:val="Page Numbers (Bottom of Page)"/>
        <w:docPartUnique/>
      </w:docPartObj>
    </w:sdtPr>
    <w:sdtEndPr/>
    <w:sdtContent>
      <w:p w14:paraId="240D7594" w14:textId="5A233B74" w:rsidR="00DD03EB" w:rsidRDefault="00DD03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A33">
          <w:rPr>
            <w:noProof/>
          </w:rPr>
          <w:t>8</w:t>
        </w:r>
        <w:r>
          <w:fldChar w:fldCharType="end"/>
        </w:r>
      </w:p>
    </w:sdtContent>
  </w:sdt>
  <w:p w14:paraId="33647041" w14:textId="77777777" w:rsidR="00DD03EB" w:rsidRDefault="00DD0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A2104" w14:textId="77777777" w:rsidR="00DD03EB" w:rsidRDefault="00DD03EB" w:rsidP="00A03F6F">
      <w:pPr>
        <w:spacing w:after="0" w:line="240" w:lineRule="auto"/>
      </w:pPr>
      <w:r>
        <w:separator/>
      </w:r>
    </w:p>
  </w:footnote>
  <w:footnote w:type="continuationSeparator" w:id="0">
    <w:p w14:paraId="66E4FE32" w14:textId="77777777" w:rsidR="00DD03EB" w:rsidRDefault="00DD03EB" w:rsidP="00A03F6F">
      <w:pPr>
        <w:spacing w:after="0" w:line="240" w:lineRule="auto"/>
      </w:pPr>
      <w:r>
        <w:continuationSeparator/>
      </w:r>
    </w:p>
  </w:footnote>
  <w:footnote w:id="1">
    <w:p w14:paraId="0DBC2CBB" w14:textId="77777777" w:rsidR="00DD03EB" w:rsidRDefault="00DD03EB">
      <w:pPr>
        <w:pStyle w:val="FootnoteText"/>
      </w:pPr>
      <w:r>
        <w:rPr>
          <w:rStyle w:val="FootnoteReference"/>
        </w:rPr>
        <w:footnoteRef/>
      </w:r>
      <w:r>
        <w:t xml:space="preserve"> Opgavens struktur er anderledes for meritstuderende. Se afsnit 2.4 nedenfor.</w:t>
      </w:r>
    </w:p>
  </w:footnote>
  <w:footnote w:id="2">
    <w:p w14:paraId="076B0982" w14:textId="1CCCD9CB" w:rsidR="00423013" w:rsidRDefault="00423013">
      <w:pPr>
        <w:pStyle w:val="FootnoteText"/>
      </w:pPr>
      <w:r>
        <w:rPr>
          <w:rStyle w:val="FootnoteReference"/>
        </w:rPr>
        <w:footnoteRef/>
      </w:r>
      <w:r>
        <w:t xml:space="preserve"> Deltagerne i GU var i gennemsnit 25 år gamle da de blev interviewet. Derfor var det for tidligt at </w:t>
      </w:r>
      <w:r w:rsidR="005936A1">
        <w:t xml:space="preserve">måle </w:t>
      </w:r>
      <w:r>
        <w:t>deres endelige uddannelsesniveau.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9B6E9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B8298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B033FE"/>
    <w:multiLevelType w:val="multilevel"/>
    <w:tmpl w:val="C6ECF5E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36CF6B36"/>
    <w:multiLevelType w:val="multilevel"/>
    <w:tmpl w:val="AB1E28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2A529C"/>
    <w:multiLevelType w:val="multilevel"/>
    <w:tmpl w:val="C6ECF5E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0swxs9tltv2pleseawv2a5twd2axfd05tsr&quot;&gt;Masterlibrary_new3&lt;record-ids&gt;&lt;item&gt;87&lt;/item&gt;&lt;item&gt;1385&lt;/item&gt;&lt;item&gt;1559&lt;/item&gt;&lt;item&gt;1599&lt;/item&gt;&lt;item&gt;1949&lt;/item&gt;&lt;item&gt;2019&lt;/item&gt;&lt;item&gt;2587&lt;/item&gt;&lt;item&gt;2613&lt;/item&gt;&lt;/record-ids&gt;&lt;/item&gt;&lt;/Libraries&gt;"/>
  </w:docVars>
  <w:rsids>
    <w:rsidRoot w:val="003B313B"/>
    <w:rsid w:val="00001109"/>
    <w:rsid w:val="00004893"/>
    <w:rsid w:val="000230B5"/>
    <w:rsid w:val="0002451F"/>
    <w:rsid w:val="00046DF1"/>
    <w:rsid w:val="00053EC2"/>
    <w:rsid w:val="000651BA"/>
    <w:rsid w:val="00085477"/>
    <w:rsid w:val="000D44B0"/>
    <w:rsid w:val="000D592A"/>
    <w:rsid w:val="000E552E"/>
    <w:rsid w:val="00101508"/>
    <w:rsid w:val="00105962"/>
    <w:rsid w:val="00110143"/>
    <w:rsid w:val="001274D8"/>
    <w:rsid w:val="001420A7"/>
    <w:rsid w:val="001467EC"/>
    <w:rsid w:val="001623C3"/>
    <w:rsid w:val="00171DE9"/>
    <w:rsid w:val="00175BCA"/>
    <w:rsid w:val="001826B2"/>
    <w:rsid w:val="001A031E"/>
    <w:rsid w:val="001A3708"/>
    <w:rsid w:val="001B1F76"/>
    <w:rsid w:val="001B23E8"/>
    <w:rsid w:val="001B30EF"/>
    <w:rsid w:val="001C71CA"/>
    <w:rsid w:val="001D7D22"/>
    <w:rsid w:val="001E081C"/>
    <w:rsid w:val="001E5F3E"/>
    <w:rsid w:val="00206237"/>
    <w:rsid w:val="00213728"/>
    <w:rsid w:val="0021621C"/>
    <w:rsid w:val="0022071E"/>
    <w:rsid w:val="00222DEA"/>
    <w:rsid w:val="00236369"/>
    <w:rsid w:val="002401A0"/>
    <w:rsid w:val="00240B91"/>
    <w:rsid w:val="00263E4A"/>
    <w:rsid w:val="0027513F"/>
    <w:rsid w:val="00280819"/>
    <w:rsid w:val="00290233"/>
    <w:rsid w:val="00290DD0"/>
    <w:rsid w:val="0029539E"/>
    <w:rsid w:val="002A142B"/>
    <w:rsid w:val="002B0B48"/>
    <w:rsid w:val="002B5B3B"/>
    <w:rsid w:val="002D4451"/>
    <w:rsid w:val="002E24F9"/>
    <w:rsid w:val="002E3D82"/>
    <w:rsid w:val="002F6C0C"/>
    <w:rsid w:val="00300DF7"/>
    <w:rsid w:val="00303BED"/>
    <w:rsid w:val="00346FBF"/>
    <w:rsid w:val="003524DB"/>
    <w:rsid w:val="003525A7"/>
    <w:rsid w:val="003B313B"/>
    <w:rsid w:val="003C416E"/>
    <w:rsid w:val="003D41D8"/>
    <w:rsid w:val="003F13DD"/>
    <w:rsid w:val="003F653D"/>
    <w:rsid w:val="0041621F"/>
    <w:rsid w:val="00423013"/>
    <w:rsid w:val="00435D73"/>
    <w:rsid w:val="00443142"/>
    <w:rsid w:val="00443191"/>
    <w:rsid w:val="00451997"/>
    <w:rsid w:val="004622A5"/>
    <w:rsid w:val="00462893"/>
    <w:rsid w:val="00473683"/>
    <w:rsid w:val="0049502D"/>
    <w:rsid w:val="004C145B"/>
    <w:rsid w:val="004D140B"/>
    <w:rsid w:val="004E098E"/>
    <w:rsid w:val="004F2067"/>
    <w:rsid w:val="005163E3"/>
    <w:rsid w:val="00532165"/>
    <w:rsid w:val="00554430"/>
    <w:rsid w:val="00564210"/>
    <w:rsid w:val="005666AC"/>
    <w:rsid w:val="00572F51"/>
    <w:rsid w:val="00585203"/>
    <w:rsid w:val="00585561"/>
    <w:rsid w:val="005936A1"/>
    <w:rsid w:val="005B0F26"/>
    <w:rsid w:val="005F243C"/>
    <w:rsid w:val="00612A1F"/>
    <w:rsid w:val="00634F01"/>
    <w:rsid w:val="00640A24"/>
    <w:rsid w:val="0064104E"/>
    <w:rsid w:val="00644BB6"/>
    <w:rsid w:val="00695E06"/>
    <w:rsid w:val="006A2C38"/>
    <w:rsid w:val="006A505E"/>
    <w:rsid w:val="006C3A03"/>
    <w:rsid w:val="006D4087"/>
    <w:rsid w:val="006D762D"/>
    <w:rsid w:val="006D7868"/>
    <w:rsid w:val="006F0B60"/>
    <w:rsid w:val="006F377D"/>
    <w:rsid w:val="006F766C"/>
    <w:rsid w:val="0071088A"/>
    <w:rsid w:val="0071156D"/>
    <w:rsid w:val="007146EE"/>
    <w:rsid w:val="00720113"/>
    <w:rsid w:val="00765364"/>
    <w:rsid w:val="007674F5"/>
    <w:rsid w:val="007731D7"/>
    <w:rsid w:val="007840BB"/>
    <w:rsid w:val="0078747C"/>
    <w:rsid w:val="007A0C5F"/>
    <w:rsid w:val="007A204B"/>
    <w:rsid w:val="007A39DF"/>
    <w:rsid w:val="007B5D8E"/>
    <w:rsid w:val="007C4F7C"/>
    <w:rsid w:val="007C5592"/>
    <w:rsid w:val="007D1859"/>
    <w:rsid w:val="007F5D54"/>
    <w:rsid w:val="0082551B"/>
    <w:rsid w:val="008302E9"/>
    <w:rsid w:val="00843045"/>
    <w:rsid w:val="00866174"/>
    <w:rsid w:val="008767F6"/>
    <w:rsid w:val="00886289"/>
    <w:rsid w:val="008A2D22"/>
    <w:rsid w:val="008E593C"/>
    <w:rsid w:val="008F5B8A"/>
    <w:rsid w:val="00913E92"/>
    <w:rsid w:val="00921E88"/>
    <w:rsid w:val="00926CE3"/>
    <w:rsid w:val="009739D1"/>
    <w:rsid w:val="009B616C"/>
    <w:rsid w:val="009B73CA"/>
    <w:rsid w:val="009D3123"/>
    <w:rsid w:val="009F79C4"/>
    <w:rsid w:val="00A03F6F"/>
    <w:rsid w:val="00A1377B"/>
    <w:rsid w:val="00A17A7B"/>
    <w:rsid w:val="00A227C9"/>
    <w:rsid w:val="00A33ABF"/>
    <w:rsid w:val="00A4264E"/>
    <w:rsid w:val="00A42B6C"/>
    <w:rsid w:val="00A47E3B"/>
    <w:rsid w:val="00A70239"/>
    <w:rsid w:val="00A80D48"/>
    <w:rsid w:val="00AB652E"/>
    <w:rsid w:val="00AC00CC"/>
    <w:rsid w:val="00AC194B"/>
    <w:rsid w:val="00AF7890"/>
    <w:rsid w:val="00B07B91"/>
    <w:rsid w:val="00B10270"/>
    <w:rsid w:val="00B35735"/>
    <w:rsid w:val="00B51B77"/>
    <w:rsid w:val="00B52EA1"/>
    <w:rsid w:val="00B57641"/>
    <w:rsid w:val="00B60392"/>
    <w:rsid w:val="00B6688A"/>
    <w:rsid w:val="00B85E56"/>
    <w:rsid w:val="00BA4527"/>
    <w:rsid w:val="00BB2983"/>
    <w:rsid w:val="00BD6782"/>
    <w:rsid w:val="00BF23A0"/>
    <w:rsid w:val="00BF302A"/>
    <w:rsid w:val="00C10616"/>
    <w:rsid w:val="00C12691"/>
    <w:rsid w:val="00C212ED"/>
    <w:rsid w:val="00C22BF2"/>
    <w:rsid w:val="00C30BF3"/>
    <w:rsid w:val="00C40F91"/>
    <w:rsid w:val="00C42D20"/>
    <w:rsid w:val="00C53BCA"/>
    <w:rsid w:val="00C60631"/>
    <w:rsid w:val="00C65090"/>
    <w:rsid w:val="00C84B2B"/>
    <w:rsid w:val="00C8635E"/>
    <w:rsid w:val="00CA11CB"/>
    <w:rsid w:val="00CB0188"/>
    <w:rsid w:val="00CC34B8"/>
    <w:rsid w:val="00CC4E9E"/>
    <w:rsid w:val="00CC50D6"/>
    <w:rsid w:val="00CC6D41"/>
    <w:rsid w:val="00CD6568"/>
    <w:rsid w:val="00CE0A80"/>
    <w:rsid w:val="00CE71C8"/>
    <w:rsid w:val="00D47082"/>
    <w:rsid w:val="00D53AFE"/>
    <w:rsid w:val="00D567FE"/>
    <w:rsid w:val="00D63135"/>
    <w:rsid w:val="00D65251"/>
    <w:rsid w:val="00D73A9C"/>
    <w:rsid w:val="00D741BC"/>
    <w:rsid w:val="00D84A2A"/>
    <w:rsid w:val="00DA2A3F"/>
    <w:rsid w:val="00DB358D"/>
    <w:rsid w:val="00DB62BB"/>
    <w:rsid w:val="00DD03EB"/>
    <w:rsid w:val="00DD2772"/>
    <w:rsid w:val="00DE4538"/>
    <w:rsid w:val="00E0183D"/>
    <w:rsid w:val="00E364F2"/>
    <w:rsid w:val="00E40A60"/>
    <w:rsid w:val="00E466DE"/>
    <w:rsid w:val="00E52CDC"/>
    <w:rsid w:val="00E53CA2"/>
    <w:rsid w:val="00E54026"/>
    <w:rsid w:val="00E54A33"/>
    <w:rsid w:val="00E7086E"/>
    <w:rsid w:val="00E91C60"/>
    <w:rsid w:val="00E97799"/>
    <w:rsid w:val="00EB18B3"/>
    <w:rsid w:val="00EB2875"/>
    <w:rsid w:val="00EB51E7"/>
    <w:rsid w:val="00EC7099"/>
    <w:rsid w:val="00ED50F9"/>
    <w:rsid w:val="00EE59B4"/>
    <w:rsid w:val="00F1159A"/>
    <w:rsid w:val="00F25592"/>
    <w:rsid w:val="00F25BB6"/>
    <w:rsid w:val="00F31ADE"/>
    <w:rsid w:val="00F52DCA"/>
    <w:rsid w:val="00F52E2B"/>
    <w:rsid w:val="00F53DC2"/>
    <w:rsid w:val="00F87B28"/>
    <w:rsid w:val="00F929D0"/>
    <w:rsid w:val="00F94547"/>
    <w:rsid w:val="00F95E7B"/>
    <w:rsid w:val="00FB21B2"/>
    <w:rsid w:val="00FD5CF5"/>
    <w:rsid w:val="00FE7A01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AF1C"/>
  <w15:docId w15:val="{C227FFD7-E728-4AF5-9874-C2359B5F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F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F6F"/>
  </w:style>
  <w:style w:type="paragraph" w:styleId="Footer">
    <w:name w:val="footer"/>
    <w:basedOn w:val="Normal"/>
    <w:link w:val="FooterChar"/>
    <w:uiPriority w:val="99"/>
    <w:unhideWhenUsed/>
    <w:rsid w:val="00A03F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F6F"/>
  </w:style>
  <w:style w:type="paragraph" w:styleId="ListParagraph">
    <w:name w:val="List Paragraph"/>
    <w:basedOn w:val="Normal"/>
    <w:uiPriority w:val="34"/>
    <w:qFormat/>
    <w:rsid w:val="00A03F6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73683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E466DE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E4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2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7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7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27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4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735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Tegn"/>
    <w:rsid w:val="00001109"/>
    <w:pPr>
      <w:spacing w:after="0"/>
      <w:jc w:val="center"/>
    </w:pPr>
    <w:rPr>
      <w:noProof/>
      <w:lang w:val="en-US"/>
    </w:rPr>
  </w:style>
  <w:style w:type="character" w:customStyle="1" w:styleId="EndNoteBibliographyTitleTegn">
    <w:name w:val="EndNote Bibliography Title Tegn"/>
    <w:basedOn w:val="DefaultParagraphFont"/>
    <w:link w:val="EndNoteBibliographyTitle"/>
    <w:rsid w:val="00001109"/>
    <w:rPr>
      <w:noProof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001109"/>
    <w:pPr>
      <w:spacing w:line="240" w:lineRule="auto"/>
      <w:jc w:val="center"/>
    </w:pPr>
    <w:rPr>
      <w:noProof/>
      <w:lang w:val="en-US"/>
    </w:rPr>
  </w:style>
  <w:style w:type="character" w:customStyle="1" w:styleId="EndNoteBibliographyTegn">
    <w:name w:val="EndNote Bibliography Tegn"/>
    <w:basedOn w:val="DefaultParagraphFont"/>
    <w:link w:val="EndNoteBibliography"/>
    <w:rsid w:val="0000110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D0BDAC8433B84AA42B512AC7FABD27" ma:contentTypeVersion="13" ma:contentTypeDescription="Opret et nyt dokument." ma:contentTypeScope="" ma:versionID="8b7eae69118b5c679bf6d9fab8c13df5">
  <xsd:schema xmlns:xsd="http://www.w3.org/2001/XMLSchema" xmlns:xs="http://www.w3.org/2001/XMLSchema" xmlns:p="http://schemas.microsoft.com/office/2006/metadata/properties" xmlns:ns3="8c618d13-b3ed-422e-b15c-55a60f032ff4" xmlns:ns4="10ad8e2f-989a-4240-bed0-57d26f099e52" targetNamespace="http://schemas.microsoft.com/office/2006/metadata/properties" ma:root="true" ma:fieldsID="438f6c4467e5dd8ddb447c8d694aca4d" ns3:_="" ns4:_="">
    <xsd:import namespace="8c618d13-b3ed-422e-b15c-55a60f032ff4"/>
    <xsd:import namespace="10ad8e2f-989a-4240-bed0-57d26f09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18d13-b3ed-422e-b15c-55a60f032f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d8e2f-989a-4240-bed0-57d26f099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80607C-C5EB-45F0-BEF2-EA5C88EAD9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744F84-AF0D-49B6-B242-D69937E2B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18d13-b3ed-422e-b15c-55a60f032ff4"/>
    <ds:schemaRef ds:uri="10ad8e2f-989a-4240-bed0-57d26f09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68278-D901-4768-A6E2-CDE3DDB6E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3006</Words>
  <Characters>17170</Characters>
  <Application>Microsoft Office Word</Application>
  <DocSecurity>0</DocSecurity>
  <Lines>464</Lines>
  <Paragraphs>246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Samf-IT, KU</Company>
  <LinksUpToDate>false</LinksUpToDate>
  <CharactersWithSpaces>19930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M. Jæger</dc:creator>
  <cp:lastModifiedBy>Mads Meier Jæger</cp:lastModifiedBy>
  <cp:revision>18</cp:revision>
  <cp:lastPrinted>2020-04-06T12:57:00Z</cp:lastPrinted>
  <dcterms:created xsi:type="dcterms:W3CDTF">2020-04-06T12:55:00Z</dcterms:created>
  <dcterms:modified xsi:type="dcterms:W3CDTF">2022-10-13T08:11:00Z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0x010100A2D0BDAC8433B84AA42B512AC7FABD27</vt:lpwstr>
  </property>
</Properties>
</file>