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6381" w14:textId="77777777" w:rsidR="009C6EDF" w:rsidRPr="009C6EDF" w:rsidRDefault="009C6EDF" w:rsidP="009C6EDF">
      <w:pPr>
        <w:rPr>
          <w:b/>
          <w:bCs/>
        </w:rPr>
      </w:pPr>
      <w:r w:rsidRPr="009C6EDF">
        <w:rPr>
          <w:b/>
          <w:bCs/>
        </w:rPr>
        <w:t>Future of Green Hydrogen Energy in India: Top Insights</w:t>
      </w:r>
    </w:p>
    <w:p w14:paraId="5CCE1CB6" w14:textId="77777777" w:rsidR="009C6EDF" w:rsidRPr="009C6EDF" w:rsidRDefault="009C6EDF" w:rsidP="009C6EDF">
      <w:pPr>
        <w:rPr>
          <w:b/>
          <w:bCs/>
        </w:rPr>
      </w:pPr>
      <w:r w:rsidRPr="009C6EDF">
        <w:rPr>
          <w:b/>
          <w:bCs/>
        </w:rPr>
        <w:t>1. Strategic National Priority</w:t>
      </w:r>
    </w:p>
    <w:p w14:paraId="6A304B94" w14:textId="77777777" w:rsidR="009C6EDF" w:rsidRPr="009C6EDF" w:rsidRDefault="009C6EDF" w:rsidP="009C6EDF">
      <w:r w:rsidRPr="009C6EDF">
        <w:t>Green hydrogen is recognized as a critical component of India’s energy transition, with the National Green Hydrogen Mission aiming to make India a global hub for production, usage, and export by 2030.</w:t>
      </w:r>
    </w:p>
    <w:p w14:paraId="59D06852" w14:textId="77777777" w:rsidR="009C6EDF" w:rsidRPr="009C6EDF" w:rsidRDefault="009C6EDF" w:rsidP="009C6EDF">
      <w:pPr>
        <w:rPr>
          <w:b/>
          <w:bCs/>
        </w:rPr>
      </w:pPr>
      <w:r w:rsidRPr="009C6EDF">
        <w:rPr>
          <w:b/>
          <w:bCs/>
        </w:rPr>
        <w:t>2. Policy and Investment Momentum</w:t>
      </w:r>
    </w:p>
    <w:p w14:paraId="2B3EFFC9" w14:textId="77777777" w:rsidR="009C6EDF" w:rsidRPr="009C6EDF" w:rsidRDefault="009C6EDF" w:rsidP="009C6EDF">
      <w:r w:rsidRPr="009C6EDF">
        <w:t xml:space="preserve">The Indian government has announced substantial incentives, including a $2.1 billion outlay for </w:t>
      </w:r>
      <w:proofErr w:type="spellStart"/>
      <w:r w:rsidRPr="009C6EDF">
        <w:t>electrolyzer</w:t>
      </w:r>
      <w:proofErr w:type="spellEnd"/>
      <w:r w:rsidRPr="009C6EDF">
        <w:t xml:space="preserve"> manufacturing and green hydrogen production, to accelerate domestic industry growth and attract foreign investment.</w:t>
      </w:r>
    </w:p>
    <w:p w14:paraId="2AE78E60" w14:textId="77777777" w:rsidR="009C6EDF" w:rsidRPr="009C6EDF" w:rsidRDefault="009C6EDF" w:rsidP="009C6EDF">
      <w:pPr>
        <w:rPr>
          <w:b/>
          <w:bCs/>
        </w:rPr>
      </w:pPr>
      <w:r w:rsidRPr="009C6EDF">
        <w:rPr>
          <w:b/>
          <w:bCs/>
        </w:rPr>
        <w:t>3. Industrial and Mobility Applications</w:t>
      </w:r>
    </w:p>
    <w:p w14:paraId="104DAFE0" w14:textId="77777777" w:rsidR="009C6EDF" w:rsidRPr="009C6EDF" w:rsidRDefault="009C6EDF" w:rsidP="009C6EDF">
      <w:r w:rsidRPr="009C6EDF">
        <w:t>Key sectors expected to benefit include steel, fertilizer, and heavy transport. Green hydrogen is positioned as a decarbonization solution for hard-to-abate industries and long-haul mobility.</w:t>
      </w:r>
    </w:p>
    <w:p w14:paraId="0F60E44B" w14:textId="77777777" w:rsidR="009C6EDF" w:rsidRPr="009C6EDF" w:rsidRDefault="009C6EDF" w:rsidP="009C6EDF">
      <w:pPr>
        <w:rPr>
          <w:b/>
          <w:bCs/>
        </w:rPr>
      </w:pPr>
      <w:r w:rsidRPr="009C6EDF">
        <w:rPr>
          <w:b/>
          <w:bCs/>
        </w:rPr>
        <w:t>4. Infrastructure and Technology Challenges</w:t>
      </w:r>
    </w:p>
    <w:p w14:paraId="1322C267" w14:textId="77777777" w:rsidR="009C6EDF" w:rsidRPr="009C6EDF" w:rsidRDefault="009C6EDF" w:rsidP="009C6EDF">
      <w:r w:rsidRPr="009C6EDF">
        <w:t xml:space="preserve">Major challenges remain in scaling up </w:t>
      </w:r>
      <w:proofErr w:type="spellStart"/>
      <w:r w:rsidRPr="009C6EDF">
        <w:t>electrolyzer</w:t>
      </w:r>
      <w:proofErr w:type="spellEnd"/>
      <w:r w:rsidRPr="009C6EDF">
        <w:t xml:space="preserve"> manufacturing, reducing costs, developing storage and distribution infrastructure, and ensuring reliable renewable energy supply for hydrogen production.</w:t>
      </w:r>
    </w:p>
    <w:p w14:paraId="3788A2E4" w14:textId="77777777" w:rsidR="009C6EDF" w:rsidRPr="009C6EDF" w:rsidRDefault="009C6EDF" w:rsidP="009C6EDF">
      <w:pPr>
        <w:rPr>
          <w:b/>
          <w:bCs/>
        </w:rPr>
      </w:pPr>
      <w:r w:rsidRPr="009C6EDF">
        <w:rPr>
          <w:b/>
          <w:bCs/>
        </w:rPr>
        <w:t>5. Global Leadership and Export Potential</w:t>
      </w:r>
    </w:p>
    <w:p w14:paraId="0FDDC485" w14:textId="77777777" w:rsidR="009C6EDF" w:rsidRPr="009C6EDF" w:rsidRDefault="009C6EDF" w:rsidP="009C6EDF">
      <w:r w:rsidRPr="009C6EDF">
        <w:t>India’s abundant renewable resources and ambitious policy framework position it to become a major exporter of green hydrogen and derivatives (like ammonia), particularly to Europe and East Asia.</w:t>
      </w:r>
    </w:p>
    <w:p w14:paraId="49C8E4ED" w14:textId="77777777" w:rsidR="009C6EDF" w:rsidRPr="009C6EDF" w:rsidRDefault="009C6EDF" w:rsidP="009C6EDF">
      <w:r w:rsidRPr="009C6EDF">
        <w:pict w14:anchorId="7975367D">
          <v:rect id="_x0000_i1031" style="width:0;height:.75pt" o:hralign="center" o:hrstd="t" o:hr="t" fillcolor="#a0a0a0" stroked="f"/>
        </w:pict>
      </w:r>
    </w:p>
    <w:p w14:paraId="3B03444B" w14:textId="77777777" w:rsidR="009C6EDF" w:rsidRPr="009C6EDF" w:rsidRDefault="009C6EDF" w:rsidP="009C6EDF">
      <w:r w:rsidRPr="009C6EDF">
        <w:rPr>
          <w:b/>
          <w:bCs/>
        </w:rPr>
        <w:t>References:</w:t>
      </w:r>
    </w:p>
    <w:p w14:paraId="075FD62E" w14:textId="77777777" w:rsidR="009C6EDF" w:rsidRPr="009C6EDF" w:rsidRDefault="009C6EDF" w:rsidP="009C6EDF">
      <w:pPr>
        <w:numPr>
          <w:ilvl w:val="0"/>
          <w:numId w:val="2"/>
        </w:numPr>
      </w:pPr>
      <w:r w:rsidRPr="009C6EDF">
        <w:t>Grok Research Report (2025)</w:t>
      </w:r>
    </w:p>
    <w:p w14:paraId="02A84987" w14:textId="77777777" w:rsidR="009C6EDF" w:rsidRPr="009C6EDF" w:rsidRDefault="009C6EDF" w:rsidP="009C6EDF">
      <w:pPr>
        <w:numPr>
          <w:ilvl w:val="0"/>
          <w:numId w:val="2"/>
        </w:numPr>
      </w:pPr>
      <w:r w:rsidRPr="009C6EDF">
        <w:t>IEA: "India’s Green Hydrogen Policy" (2024)</w:t>
      </w:r>
    </w:p>
    <w:p w14:paraId="0D1976F8" w14:textId="77777777" w:rsidR="009C6EDF" w:rsidRPr="009C6EDF" w:rsidRDefault="009C6EDF" w:rsidP="009C6EDF">
      <w:pPr>
        <w:numPr>
          <w:ilvl w:val="0"/>
          <w:numId w:val="2"/>
        </w:numPr>
      </w:pPr>
      <w:r w:rsidRPr="009C6EDF">
        <w:t xml:space="preserve">The Hindu </w:t>
      </w:r>
      <w:proofErr w:type="spellStart"/>
      <w:r w:rsidRPr="009C6EDF">
        <w:t>BusinessLine</w:t>
      </w:r>
      <w:proofErr w:type="spellEnd"/>
      <w:r w:rsidRPr="009C6EDF">
        <w:t>: "India’s Green Hydrogen Roadmap" (2024)</w:t>
      </w:r>
    </w:p>
    <w:p w14:paraId="050CD7B8" w14:textId="77777777" w:rsidR="0092099D" w:rsidRDefault="0092099D"/>
    <w:sectPr w:rsidR="0092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B74D1"/>
    <w:multiLevelType w:val="multilevel"/>
    <w:tmpl w:val="9F6E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5922"/>
    <w:multiLevelType w:val="multilevel"/>
    <w:tmpl w:val="8394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505446">
    <w:abstractNumId w:val="0"/>
  </w:num>
  <w:num w:numId="2" w16cid:durableId="117900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BD"/>
    <w:rsid w:val="008F6488"/>
    <w:rsid w:val="0092099D"/>
    <w:rsid w:val="009C6EDF"/>
    <w:rsid w:val="009E2FBE"/>
    <w:rsid w:val="00A3626A"/>
    <w:rsid w:val="00A363B6"/>
    <w:rsid w:val="00B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0E2F6-4C08-4003-A904-C33791BA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4C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4C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Valanarasu</dc:creator>
  <cp:keywords/>
  <dc:description/>
  <cp:lastModifiedBy>Merlin Valanarasu</cp:lastModifiedBy>
  <cp:revision>2</cp:revision>
  <dcterms:created xsi:type="dcterms:W3CDTF">2025-05-22T14:15:00Z</dcterms:created>
  <dcterms:modified xsi:type="dcterms:W3CDTF">2025-05-22T14:15:00Z</dcterms:modified>
</cp:coreProperties>
</file>