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95f53c663179536a114d52ae21b9ca2fa6aa2c"/>
    <w:p>
      <w:pPr>
        <w:pStyle w:val="Heading1"/>
      </w:pPr>
      <w:r>
        <w:t xml:space="preserve">OPERA-LM Improvement Roadmap: A Prioritized Experiment Program</w:t>
      </w:r>
    </w:p>
    <w:p>
      <w:pPr>
        <w:pStyle w:val="FirstParagraph"/>
      </w:pPr>
      <w:r>
        <w:rPr>
          <w:bCs/>
          <w:b/>
        </w:rPr>
        <w:t xml:space="preserve">Date:</w:t>
      </w:r>
      <w:r>
        <w:t xml:space="preserve"> </w:t>
      </w:r>
      <w:r>
        <w:t xml:space="preserve">2026-07-29 ·</w:t>
      </w:r>
      <w:r>
        <w:t xml:space="preserve"> </w:t>
      </w:r>
      <w:r>
        <w:rPr>
          <w:bCs/>
          <w:b/>
        </w:rPr>
        <w:t xml:space="preserve">Basis:</w:t>
      </w:r>
      <w:r>
        <w:t xml:space="preserve"> </w:t>
      </w:r>
      <w:r>
        <w:t xml:space="preserve">OPERA paper draft v1, Mechanisms Guide, Technical Reference, Scan Arm Design, and a review of the 2025–26 literature on sub-quadratic sequence modeling, geometric deep learning, and training recipes.</w:t>
      </w:r>
      <w:r>
        <w:t xml:space="preserve"> </w:t>
      </w:r>
      <w:r>
        <w:rPr>
          <w:bCs/>
          <w:b/>
        </w:rPr>
        <w:t xml:space="preserve">Scope:</w:t>
      </w:r>
      <w:r>
        <w:t xml:space="preserve"> </w:t>
      </w:r>
      <w:r>
        <w:t xml:space="preserve">all three fronts the project tracks — quality, speed, scale — centered on the tree + Fenwick left-fold line, with the scan arm as a supporting instrument.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OPERA’s current position is unusually good for a 22M-parameter research model: it has a</w:t>
      </w:r>
      <w:r>
        <w:t xml:space="preserve"> </w:t>
      </w:r>
      <w:r>
        <w:rPr>
          <w:iCs/>
          <w:i/>
        </w:rPr>
        <w:t xml:space="preserve">distinctive, measured asset</w:t>
      </w:r>
      <w:r>
        <w:t xml:space="preserve"> </w:t>
      </w:r>
      <w:r>
        <w:t xml:space="preserve">(the flattest length-degradation profile among the positional mechanisms tested, +0.07 nats vs +0.19 at 2× training length), a</w:t>
      </w:r>
      <w:r>
        <w:t xml:space="preserve"> </w:t>
      </w:r>
      <w:r>
        <w:rPr>
          <w:iCs/>
          <w:i/>
        </w:rPr>
        <w:t xml:space="preserve">quantified</w:t>
      </w:r>
      <w:r>
        <w:t xml:space="preserve"> </w:t>
      </w:r>
      <w:r>
        <w:t xml:space="preserve">quality gap to RoPE that the paper already decomposes (4.6 PPL positional, 1.2 PPL architectural), an honest falsification record, and a codebase whose arms compose by constructor flag. The literature of the last twelve months changes the improvement calculus in four ways: (1) linear/recurrent attention has matured into production architectures — Gated DeltaNet-2, Kimi Delta Attention, Mamba-3 — and converged on</w:t>
      </w:r>
      <w:r>
        <w:t xml:space="preserve"> </w:t>
      </w:r>
      <w:r>
        <w:rPr>
          <w:bCs/>
          <w:b/>
        </w:rPr>
        <w:t xml:space="preserve">hybrid</w:t>
      </w:r>
      <w:r>
        <w:t xml:space="preserve"> </w:t>
      </w:r>
      <w:r>
        <w:t xml:space="preserve">designs with a small fraction of full-attention layers</w:t>
      </w:r>
      <w:r>
        <w:t xml:space="preserve"> </w:t>
      </w:r>
      <w:r>
        <w:rPr>
          <w:vertAlign w:val="superscript"/>
        </w:rPr>
        <w:footnoteReference w:id="1"/>
      </w:r>
      <w:r>
        <w:t xml:space="preserve"> </w:t>
      </w:r>
      <w:r>
        <w:rPr>
          <w:vertAlign w:val="superscript"/>
        </w:rPr>
        <w:footnoteReference w:id="2"/>
      </w:r>
      <w:r>
        <w:t xml:space="preserve">; (2) the Fenwick-tree memory idea now has a published champion,</w:t>
      </w:r>
      <w:r>
        <w:t xml:space="preserve"> </w:t>
      </w:r>
      <w:r>
        <w:rPr>
          <w:bCs/>
          <w:b/>
        </w:rPr>
        <w:t xml:space="preserve">Log-Linear Attention</w:t>
      </w:r>
      <w:r>
        <w:t xml:space="preserve">, and a follow-up showing its fixed per-level decay collapses under memory load while</w:t>
      </w:r>
      <w:r>
        <w:t xml:space="preserve"> </w:t>
      </w:r>
      <w:r>
        <w:rPr>
          <w:bCs/>
          <w:b/>
        </w:rPr>
        <w:t xml:space="preserve">input-adaptive per-level decay rescues it</w:t>
      </w:r>
      <w:r>
        <w:t xml:space="preserve"> </w:t>
      </w:r>
      <w:r>
        <w:t xml:space="preserve">— a direct, evidence-backed upgrade path for OPERA’s fold gates</w:t>
      </w:r>
      <w:r>
        <w:t xml:space="preserve"> </w:t>
      </w:r>
      <w:r>
        <w:rPr>
          <w:vertAlign w:val="superscript"/>
        </w:rPr>
        <w:footnoteReference w:id="3"/>
      </w:r>
      <w:r>
        <w:t xml:space="preserve"> </w:t>
      </w:r>
      <w:r>
        <w:rPr>
          <w:vertAlign w:val="superscript"/>
        </w:rPr>
        <w:footnoteReference w:id="4"/>
      </w:r>
      <w:r>
        <w:t xml:space="preserve">; (3) rotation/Householder-structured state transitions are delivering exactly the state-tracking and length-extrapolation gains OPERA’s Cl(3) spinor blocks were designed for, which reframes the retired SO(3) constraint as a</w:t>
      </w:r>
      <w:r>
        <w:t xml:space="preserve"> </w:t>
      </w:r>
      <w:r>
        <w:rPr>
          <w:iCs/>
          <w:i/>
        </w:rPr>
        <w:t xml:space="preserve">state-tracking</w:t>
      </w:r>
      <w:r>
        <w:t xml:space="preserve"> </w:t>
      </w:r>
      <w:r>
        <w:t xml:space="preserve">hypothesis rather than a PPL hypothesis</w:t>
      </w:r>
      <w:r>
        <w:t xml:space="preserve"> </w:t>
      </w:r>
      <w:r>
        <w:rPr>
          <w:vertAlign w:val="superscript"/>
        </w:rPr>
        <w:footnoteReference w:id="5"/>
      </w:r>
      <w:r>
        <w:t xml:space="preserve"> </w:t>
      </w:r>
      <w:r>
        <w:rPr>
          <w:vertAlign w:val="superscript"/>
        </w:rPr>
        <w:footnoteReference w:id="6"/>
      </w:r>
      <w:r>
        <w:t xml:space="preserve">; (4) the recipe frontier moved — the</w:t>
      </w:r>
      <w:r>
        <w:t xml:space="preserve"> </w:t>
      </w:r>
      <w:r>
        <w:rPr>
          <w:bCs/>
          <w:b/>
        </w:rPr>
        <w:t xml:space="preserve">Muon</w:t>
      </w:r>
      <w:r>
        <w:t xml:space="preserve"> </w:t>
      </w:r>
      <w:r>
        <w:t xml:space="preserve">optimizer (built for matrix-shaped hidden parameters, which is literally what OPERA’s per-block 3×3 maps are),</w:t>
      </w:r>
      <w:r>
        <w:t xml:space="preserve"> </w:t>
      </w:r>
      <w:r>
        <w:rPr>
          <w:bCs/>
          <w:b/>
        </w:rPr>
        <w:t xml:space="preserve">µP</w:t>
      </w:r>
      <w:r>
        <w:t xml:space="preserve"> </w:t>
      </w:r>
      <w:r>
        <w:t xml:space="preserve">hyperparameter transfer, and</w:t>
      </w:r>
      <w:r>
        <w:t xml:space="preserve"> </w:t>
      </w:r>
      <w:r>
        <w:rPr>
          <w:bCs/>
          <w:b/>
        </w:rPr>
        <w:t xml:space="preserve">multi-token prediction</w:t>
      </w:r>
      <w:r>
        <w:t xml:space="preserve"> </w:t>
      </w:r>
      <w:r>
        <w:t xml:space="preserve">auxiliaries all offer cheap, transferable quality</w:t>
      </w:r>
      <w:r>
        <w:t xml:space="preserve"> </w:t>
      </w:r>
      <w:r>
        <w:rPr>
          <w:vertAlign w:val="superscript"/>
        </w:rPr>
        <w:footnoteReference w:id="7"/>
      </w:r>
      <w:r>
        <w:t xml:space="preserve"> </w:t>
      </w:r>
      <w:r>
        <w:rPr>
          <w:vertAlign w:val="superscript"/>
        </w:rPr>
        <w:footnoteReference w:id="8"/>
      </w:r>
      <w:r>
        <w:t xml:space="preserve"> </w:t>
      </w:r>
      <w:r>
        <w:rPr>
          <w:vertAlign w:val="superscript"/>
        </w:rPr>
        <w:footnoteReference w:id="9"/>
      </w:r>
      <w:r>
        <w:t xml:space="preserve">.</w:t>
      </w:r>
    </w:p>
    <w:p>
      <w:pPr>
        <w:pStyle w:val="BodyText"/>
      </w:pPr>
      <w:r>
        <w:t xml:space="preserve">The five highest-leverage moves, in order:</w:t>
      </w:r>
      <w:r>
        <w:t xml:space="preserve"> </w:t>
      </w:r>
      <w:r>
        <w:rPr>
          <w:bCs/>
          <w:b/>
        </w:rPr>
        <w:t xml:space="preserve">(T0.1)</w:t>
      </w:r>
      <w:r>
        <w:t xml:space="preserve"> </w:t>
      </w:r>
      <w:r>
        <w:t xml:space="preserve">rebuild the training recipe around Muon on the matrix parameters plus a µP audit — this attacks the paper’s own</w:t>
      </w:r>
      <w:r>
        <w:t xml:space="preserve"> </w:t>
      </w:r>
      <w:r>
        <w:t xml:space="preserve">“</w:t>
      </w:r>
      <w:r>
        <w:t xml:space="preserve">recipe asymmetry</w:t>
      </w:r>
      <w:r>
        <w:t xml:space="preserve">”</w:t>
      </w:r>
      <w:r>
        <w:t xml:space="preserve"> </w:t>
      </w:r>
      <w:r>
        <w:t xml:space="preserve">limitation at near-zero risk;</w:t>
      </w:r>
      <w:r>
        <w:t xml:space="preserve"> </w:t>
      </w:r>
      <w:r>
        <w:rPr>
          <w:bCs/>
          <w:b/>
        </w:rPr>
        <w:t xml:space="preserve">(T0.3)</w:t>
      </w:r>
      <w:r>
        <w:t xml:space="preserve"> </w:t>
      </w:r>
      <w:r>
        <w:t xml:space="preserve">run the already-validated msup + curriculum stack at the 22M rung, the strongest confirmed lever in the project’s own record (−9.87 PPL at toy scale);</w:t>
      </w:r>
      <w:r>
        <w:t xml:space="preserve"> </w:t>
      </w:r>
      <w:r>
        <w:rPr>
          <w:bCs/>
          <w:b/>
        </w:rPr>
        <w:t xml:space="preserve">(T1.2)</w:t>
      </w:r>
      <w:r>
        <w:t xml:space="preserve"> </w:t>
      </w:r>
      <w:r>
        <w:t xml:space="preserve">give the left fold</w:t>
      </w:r>
      <w:r>
        <w:t xml:space="preserve"> </w:t>
      </w:r>
      <w:r>
        <w:rPr>
          <w:bCs/>
          <w:b/>
        </w:rPr>
        <w:t xml:space="preserve">input-adaptive per-level transport weights</w:t>
      </w:r>
      <w:r>
        <w:t xml:space="preserve">, the mechanism the Log-Linear follow-up proved out on the identical Fenwick hierarchy (2.9% → 57.9% MQAR at high memory load)</w:t>
      </w:r>
      <w:r>
        <w:t xml:space="preserve"> </w:t>
      </w:r>
      <w:fldSimple w:instr="NOTEREF _Ref_Footnote_4 \h \f">
        <w:r>
          <w:rPr>
            <w:vertAlign w:val="superscript"/>
          </w:rPr>
          <w:t>4</w:t>
        </w:r>
      </w:fldSimple>
      <w:r>
        <w:t xml:space="preserve">;</w:t>
      </w:r>
      <w:r>
        <w:t xml:space="preserve"> </w:t>
      </w:r>
      <w:r>
        <w:rPr>
          <w:bCs/>
          <w:b/>
        </w:rPr>
        <w:t xml:space="preserve">(T1.4)</w:t>
      </w:r>
      <w:r>
        <w:t xml:space="preserve"> </w:t>
      </w:r>
      <w:r>
        <w:t xml:space="preserve">add a</w:t>
      </w:r>
      <w:r>
        <w:t xml:space="preserve"> </w:t>
      </w:r>
      <w:r>
        <w:rPr>
          <w:bCs/>
          <w:b/>
        </w:rPr>
        <w:t xml:space="preserve">content-addressable memory channel</w:t>
      </w:r>
      <w:r>
        <w:t xml:space="preserve"> </w:t>
      </w:r>
      <w:r>
        <w:t xml:space="preserve">— a delta-rule matrix memory written recurrently alongside the fold and read by content query — because the fixed-state ceiling OPERA measured (the ~0.13-nat uniform mid-band gap) needs a retrieval path, and retrieval does not require attention: error-correcting memory writes and exact key-structured lookup provide content-addressable recall with no pairwise token interactions and no softmax anywhere</w:t>
      </w:r>
      <w:r>
        <w:t xml:space="preserve"> </w:t>
      </w:r>
      <w:r>
        <w:rPr>
          <w:vertAlign w:val="superscript"/>
        </w:rPr>
        <w:footnoteReference w:id="10"/>
      </w:r>
      <w:r>
        <w:t xml:space="preserve"> </w:t>
      </w:r>
      <w:r>
        <w:rPr>
          <w:vertAlign w:val="superscript"/>
        </w:rPr>
        <w:footnoteReference w:id="11"/>
      </w:r>
      <w:r>
        <w:t xml:space="preserve">;</w:t>
      </w:r>
      <w:r>
        <w:t xml:space="preserve"> </w:t>
      </w:r>
      <w:r>
        <w:rPr>
          <w:bCs/>
          <w:b/>
        </w:rPr>
        <w:t xml:space="preserve">(T2.1)</w:t>
      </w:r>
      <w:r>
        <w:t xml:space="preserve"> </w:t>
      </w:r>
      <w:r>
        <w:t xml:space="preserve">commission the fused Triton/CUDA compose kernel, since every scaling and benchmarking ambition is gated by the 3× wall-clock gap. Everything else is sequenced behind decision gates in Section 8.</w:t>
      </w:r>
    </w:p>
    <w:p>
      <w:r>
        <w:pict>
          <v:rect style="width:0;height:1.5pt" o:hralign="center" o:hrstd="t" o:hr="t"/>
        </w:pict>
      </w:r>
    </w:p>
    <w:bookmarkEnd w:id="20"/>
    <w:bookmarkStart w:id="26" w:name="diagnosis-where-opera-stands"/>
    <w:p>
      <w:pPr>
        <w:pStyle w:val="Heading2"/>
      </w:pPr>
      <w:r>
        <w:t xml:space="preserve">1. Diagnosis: Where OPERA Stands</w:t>
      </w:r>
    </w:p>
    <w:bookmarkStart w:id="21" w:name="the-four-measured-gaps"/>
    <w:p>
      <w:pPr>
        <w:pStyle w:val="Heading3"/>
      </w:pPr>
      <w:r>
        <w:t xml:space="preserve">1.1 The four measured gaps</w:t>
      </w:r>
    </w:p>
    <w:p>
      <w:pPr>
        <w:pStyle w:val="FirstParagraph"/>
      </w:pPr>
      <w:r>
        <w:t xml:space="preserve">The paper’s own numbers give an unusually clean decomposition of what stands between OPERA and a RoPE transformer at matched parameters. In-length, RoPE leads OPERA free+left by 5.85 PPL (35.68 vs 41.53), of which</w:t>
      </w:r>
      <w:r>
        <w:t xml:space="preserve"> </w:t>
      </w:r>
      <w:r>
        <w:rPr>
          <w:bCs/>
          <w:b/>
        </w:rPr>
        <w:t xml:space="preserve">4.64 PPL is the explicit-positional-encoding premium</w:t>
      </w:r>
      <w:r>
        <w:t xml:space="preserve"> </w:t>
      </w:r>
      <w:r>
        <w:t xml:space="preserve">(RoPE 35.68 vs NoPE 40.32) and only</w:t>
      </w:r>
      <w:r>
        <w:t xml:space="preserve"> </w:t>
      </w:r>
      <w:r>
        <w:rPr>
          <w:bCs/>
          <w:b/>
        </w:rPr>
        <w:t xml:space="preserve">1.21 PPL is architectural</w:t>
      </w:r>
      <w:r>
        <w:t xml:space="preserve"> </w:t>
      </w:r>
      <w:r>
        <w:t xml:space="preserve">(NoPE vs OPERA) — inside the project’s ~1.5 PPL noise band. Beyond the training length the picture inverts: OPERA’s relative gap to RoPE shrinks monotonically — +16.4% in-length, +9.8%, +2.5%, +0.4% at 4× training context — while both transformer arms degrade 2.6× faster per position band. The improvement program should therefore treat</w:t>
      </w:r>
      <w:r>
        <w:t xml:space="preserve"> </w:t>
      </w:r>
      <w:r>
        <w:t xml:space="preserve">“</w:t>
      </w:r>
      <w:r>
        <w:t xml:space="preserve">beat RoPE in-length</w:t>
      </w:r>
      <w:r>
        <w:t xml:space="preserve">”</w:t>
      </w:r>
      <w:r>
        <w:t xml:space="preserve"> </w:t>
      </w:r>
      <w:r>
        <w:t xml:space="preserve">and</w:t>
      </w:r>
      <w:r>
        <w:t xml:space="preserve"> </w:t>
      </w:r>
      <w:r>
        <w:t xml:space="preserve">“</w:t>
      </w:r>
      <w:r>
        <w:t xml:space="preserve">win the length axis</w:t>
      </w:r>
      <w:r>
        <w:t xml:space="preserve">”</w:t>
      </w:r>
      <w:r>
        <w:t xml:space="preserve"> </w:t>
      </w:r>
      <w:r>
        <w:t xml:space="preserve">as</w:t>
      </w:r>
      <w:r>
        <w:t xml:space="preserve"> </w:t>
      </w:r>
      <w:r>
        <w:rPr>
          <w:iCs/>
          <w:i/>
        </w:rPr>
        <w:t xml:space="preserve">separate objectives with separate levers</w:t>
      </w:r>
      <w:r>
        <w:t xml:space="preserve">, because the evidence says they are: the in-length gap is mostly a context-exploitation (readout capacity) effect, while the length-axis advantage is the architecture’s native structural asset.</w:t>
      </w:r>
    </w:p>
    <w:p>
      <w:pPr>
        <w:pStyle w:val="BodyText"/>
      </w:pPr>
      <w:r>
        <w:t xml:space="preserve">Two further gaps are documented limitations rather than measured results, and both matter more for the roadmap than the PPL table. The</w:t>
      </w:r>
      <w:r>
        <w:t xml:space="preserve"> </w:t>
      </w:r>
      <w:r>
        <w:rPr>
          <w:bCs/>
          <w:b/>
        </w:rPr>
        <w:t xml:space="preserve">readout-capacity ceiling</w:t>
      </w:r>
      <w:r>
        <w:t xml:space="preserve">: OPERA reads each prefix from a single d-dimensional state, and the uniform ~0.13-nat mid-band offset against RoPE — present even at the earliest positions — is consistent with a capacity difference, not a positional one; the spine experiment (fifth readout-side null) showed that</w:t>
      </w:r>
      <w:r>
        <w:t xml:space="preserve"> </w:t>
      </w:r>
      <w:r>
        <w:rPr>
          <w:iCs/>
          <w:i/>
        </w:rPr>
        <w:t xml:space="preserve">adding states to the readout without changing the objective does not help</w:t>
      </w:r>
      <w:r>
        <w:t xml:space="preserve">, so the ceiling must be attacked with a genuine retrieval path rather than more snapshots</w:t>
      </w:r>
      <w:r>
        <w:t xml:space="preserve"> </w:t>
      </w:r>
      <w:r>
        <w:rPr>
          <w:vertAlign w:val="superscript"/>
        </w:rPr>
        <w:footnoteReference w:id="12"/>
      </w:r>
      <w:r>
        <w:t xml:space="preserve"> </w:t>
      </w:r>
      <w:r>
        <w:rPr>
          <w:vertAlign w:val="superscript"/>
        </w:rPr>
        <w:footnoteReference w:id="13"/>
      </w:r>
      <w:r>
        <w:t xml:space="preserve">. Critically, a retrieval path is a</w:t>
      </w:r>
      <w:r>
        <w:t xml:space="preserve"> </w:t>
      </w:r>
      <w:r>
        <w:rPr>
          <w:iCs/>
          <w:i/>
        </w:rPr>
        <w:t xml:space="preserve">content-addressable</w:t>
      </w:r>
      <w:r>
        <w:t xml:space="preserve"> </w:t>
      </w:r>
      <w:r>
        <w:t xml:space="preserve">mechanism, and softmax attention is only one — the cheapest and least interesting — implementation of it: recurrent error-correcting memory writes</w:t>
      </w:r>
      <w:r>
        <w:t xml:space="preserve"> </w:t>
      </w:r>
      <w:fldSimple w:instr="NOTEREF _Ref_Footnote_10 \h \f">
        <w:r>
          <w:rPr>
            <w:vertAlign w:val="superscript"/>
          </w:rPr>
          <w:t>10</w:t>
        </w:r>
      </w:fldSimple>
      <w:r>
        <w:t xml:space="preserve">, surprise-gated neural memory</w:t>
      </w:r>
      <w:r>
        <w:t xml:space="preserve"> </w:t>
      </w:r>
      <w:r>
        <w:rPr>
          <w:vertAlign w:val="superscript"/>
        </w:rPr>
        <w:footnoteReference w:id="14"/>
      </w:r>
      <w:r>
        <w:t xml:space="preserve">, and exact key-structured lookup</w:t>
      </w:r>
      <w:r>
        <w:t xml:space="preserve"> </w:t>
      </w:r>
      <w:fldSimple w:instr="NOTEREF _Ref_Footnote_11 \h \f">
        <w:r>
          <w:rPr>
            <w:vertAlign w:val="superscript"/>
          </w:rPr>
          <w:t>11</w:t>
        </w:r>
      </w:fldSimple>
      <w:r>
        <w:t xml:space="preserve"> </w:t>
      </w:r>
      <w:r>
        <w:t xml:space="preserve">all deliver content-addressable recall with zero pairwise token interactions. The</w:t>
      </w:r>
      <w:r>
        <w:t xml:space="preserve"> </w:t>
      </w:r>
      <w:r>
        <w:rPr>
          <w:bCs/>
          <w:b/>
        </w:rPr>
        <w:t xml:space="preserve">recipe asymmetry</w:t>
      </w:r>
      <w:r>
        <w:t xml:space="preserve">: both architectures share one transformer-folklore recipe, and OPERA is explicitly untuned — the cheapest quality in the entire program lives here. Finally, the</w:t>
      </w:r>
      <w:r>
        <w:t xml:space="preserve"> </w:t>
      </w:r>
      <w:r>
        <w:rPr>
          <w:bCs/>
          <w:b/>
        </w:rPr>
        <w:t xml:space="preserve">kernel gap</w:t>
      </w:r>
      <w:r>
        <w:t xml:space="preserve">: 20–40× fewer FLOPs but ~3× slower per step, a launch-bound, many-small-kernels problem (46k op dispatches/step, fold = 62% of forward, per the scan design note’s profiling) — a maturity gap that caps every other ambition.</w:t>
      </w:r>
    </w:p>
    <w:bookmarkEnd w:id="21"/>
    <w:bookmarkStart w:id="25" w:name="the-strategic-asset"/>
    <w:p>
      <w:pPr>
        <w:pStyle w:val="Heading3"/>
      </w:pPr>
      <w:r>
        <w:t xml:space="preserve">1.2 The strategic asset</w:t>
      </w:r>
    </w:p>
    <w:p>
      <w:pPr>
        <w:pStyle w:val="FirstParagraph"/>
      </w:pPr>
      <w:r>
        <w:t xml:space="preserve">The position curve is the finding worth protecting and extending. Evaluated at 2× training length, OPERA free+left rises +0.072 nats from its best band to the final band, against +0.185 for RoPE and +0.185 for NoPE, and OPERA’s loss is essentially unchanged across the training-length boundary (2.790 → 2.794). No mechanism in the current literature achieves length robustness</w:t>
      </w:r>
      <w:r>
        <w:t xml:space="preserve"> </w:t>
      </w:r>
      <w:r>
        <w:rPr>
          <w:iCs/>
          <w:i/>
        </w:rPr>
        <w:t xml:space="preserve">without</w:t>
      </w:r>
      <w:r>
        <w:t xml:space="preserve"> </w:t>
      </w:r>
      <w:r>
        <w:t xml:space="preserve">either explicit position biases or input-dependent decay — and the two published mechanisms that come closest are, tellingly, OPERA’s neighbors: log-linear attention’s Fenwick hierarchy and Householder-product recurrences</w:t>
      </w:r>
      <w:r>
        <w:t xml:space="preserve"> </w:t>
      </w:r>
      <w:fldSimple w:instr="NOTEREF _Ref_Footnote_3 \h \f">
        <w:r>
          <w:rPr>
            <w:vertAlign w:val="superscript"/>
          </w:rPr>
          <w:t>3</w:t>
        </w:r>
      </w:fldSimple>
      <w:r>
        <w:t xml:space="preserve"> </w:t>
      </w:r>
      <w:fldSimple w:instr="NOTEREF _Ref_Footnote_5 \h \f">
        <w:r>
          <w:rPr>
            <w:vertAlign w:val="superscript"/>
          </w:rPr>
          <w:t>5</w:t>
        </w:r>
      </w:fldSimple>
      <w:r>
        <w:t xml:space="preserve">. This means OPERA’s flatness is not a curiosity; it is a member of an emerging class of</w:t>
      </w:r>
      <w:r>
        <w:t xml:space="preserve"> </w:t>
      </w:r>
      <w:r>
        <w:rPr>
          <w:bCs/>
          <w:b/>
        </w:rPr>
        <w:t xml:space="preserve">structurally-derived positional robustness</w:t>
      </w:r>
      <w:r>
        <w:t xml:space="preserve">, and OPERA is currently the only member that gets its position from the</w:t>
      </w:r>
      <w:r>
        <w:t xml:space="preserve"> </w:t>
      </w:r>
      <w:r>
        <w:rPr>
          <w:iCs/>
          <w:i/>
        </w:rPr>
        <w:t xml:space="preserve">shape of the computation graph</w:t>
      </w:r>
      <w:r>
        <w:t xml:space="preserve"> </w:t>
      </w:r>
      <w:r>
        <w:t xml:space="preserve">rather than from any parameterized decay schedule.</w:t>
      </w:r>
    </w:p>
    <w:p>
      <w:pPr>
        <w:pStyle w:val="CaptionedFigure"/>
      </w:pPr>
      <w:r>
        <w:drawing>
          <wp:inline>
            <wp:extent cx="5334000" cy="2992450"/>
            <wp:effectExtent b="0" l="0" r="0" t="0"/>
            <wp:docPr descr="The RoPE gap closes monotonically with evaluation length" title="" id="23" name="Picture"/>
            <a:graphic>
              <a:graphicData uri="http://schemas.openxmlformats.org/drawingml/2006/picture">
                <pic:pic>
                  <pic:nvPicPr>
                    <pic:cNvPr descr="opera_roadmap_assets/fig1_gap_curve.png" id="24" name="Picture"/>
                    <pic:cNvPicPr>
                      <a:picLocks noChangeArrowheads="1" noChangeAspect="1"/>
                    </pic:cNvPicPr>
                  </pic:nvPicPr>
                  <pic:blipFill>
                    <a:blip r:embed="rId22"/>
                    <a:stretch>
                      <a:fillRect/>
                    </a:stretch>
                  </pic:blipFill>
                  <pic:spPr bwMode="auto">
                    <a:xfrm>
                      <a:off x="0" y="0"/>
                      <a:ext cx="5334000" cy="2992450"/>
                    </a:xfrm>
                    <a:prstGeom prst="rect">
                      <a:avLst/>
                    </a:prstGeom>
                    <a:noFill/>
                    <a:ln w="9525">
                      <a:noFill/>
                      <a:headEnd/>
                      <a:tailEnd/>
                    </a:ln>
                  </pic:spPr>
                </pic:pic>
              </a:graphicData>
            </a:graphic>
          </wp:inline>
        </w:drawing>
      </w:r>
    </w:p>
    <w:p>
      <w:pPr>
        <w:pStyle w:val="ImageCaption"/>
      </w:pPr>
      <w:r>
        <w:t xml:space="preserve">The RoPE gap closes monotonically with evaluation length</w:t>
      </w:r>
    </w:p>
    <w:p>
      <w:pPr>
        <w:pStyle w:val="BodyText"/>
      </w:pPr>
      <w:r>
        <w:t xml:space="preserve">The implication for prioritization is direct: investments that widen the length-axis lead compound OPERA’s differentiator, while investments that shrink the in-length gap decide whether anyone notices. The literature’s verdict on what shrinks in-length gaps for sub-quadratic models is consistent across Zoology, Hymba, and the Kimi Linear controlled comparisons:</w:t>
      </w:r>
      <w:r>
        <w:t xml:space="preserve"> </w:t>
      </w:r>
      <w:r>
        <w:rPr>
          <w:bCs/>
          <w:b/>
        </w:rPr>
        <w:t xml:space="preserve">context-exploitation capacity comes from retrieval paths and from better optimization, not from bigger recurrent states</w:t>
      </w:r>
      <w:r>
        <w:t xml:space="preserve"> </w:t>
      </w:r>
      <w:fldSimple w:instr="NOTEREF _Ref_Footnote_12 \h \f">
        <w:r>
          <w:rPr>
            <w:vertAlign w:val="superscript"/>
          </w:rPr>
          <w:t>12</w:t>
        </w:r>
      </w:fldSimple>
      <w:r>
        <w:t xml:space="preserve"> </w:t>
      </w:r>
      <w:r>
        <w:rPr>
          <w:vertAlign w:val="superscript"/>
        </w:rPr>
        <w:footnoteReference w:id="15"/>
      </w:r>
      <w:r>
        <w:t xml:space="preserve"> </w:t>
      </w:r>
      <w:fldSimple w:instr="NOTEREF _Ref_Footnote_1 \h \f">
        <w:r>
          <w:rPr>
            <w:vertAlign w:val="superscript"/>
          </w:rPr>
          <w:t>1</w:t>
        </w:r>
      </w:fldSimple>
      <w:r>
        <w:t xml:space="preserve">. The field implements that retrieval path with attention; OPERA’s program implements it with memory, because the project’s defining invariant — no pairwise attention, anywhere — is the contribution. The program is therefore organized as: free recipe wins first (Tier 0), the quality front second (Tier 1), the speed front in parallel because it gates everything (Tier 2), scale third (Tier 3), and positioning/theory continuously (Tier 4).</w:t>
      </w:r>
    </w:p>
    <w:p>
      <w:r>
        <w:pict>
          <v:rect style="width:0;height:1.5pt" o:hralign="center" o:hrstd="t" o:hr="t"/>
        </w:pict>
      </w:r>
    </w:p>
    <w:bookmarkEnd w:id="25"/>
    <w:bookmarkEnd w:id="26"/>
    <w:bookmarkStart w:id="31" w:name="what-the-202526-landscape-changed"/>
    <w:p>
      <w:pPr>
        <w:pStyle w:val="Heading2"/>
      </w:pPr>
      <w:r>
        <w:t xml:space="preserve">2. What the 2025–26 Landscape Changed</w:t>
      </w:r>
    </w:p>
    <w:bookmarkStart w:id="27" w:name="linear-attention-grew-up-and-went-hybrid"/>
    <w:p>
      <w:pPr>
        <w:pStyle w:val="Heading3"/>
      </w:pPr>
      <w:r>
        <w:t xml:space="preserve">2.1 Linear attention grew up — and went hybrid</w:t>
      </w:r>
    </w:p>
    <w:p>
      <w:pPr>
        <w:pStyle w:val="FirstParagraph"/>
      </w:pPr>
      <w:r>
        <w:t xml:space="preserve">The sub-quadratic field OPERA is compared against has consolidated dramatically since the draft’s related-work section was written. Gated DeltaNet-2 decouples erase/write in the delta rule at production scale</w:t>
      </w:r>
      <w:r>
        <w:t xml:space="preserve"> </w:t>
      </w:r>
      <w:fldSimple w:instr="NOTEREF _Ref_Footnote_2 \h \f">
        <w:r>
          <w:rPr>
            <w:vertAlign w:val="superscript"/>
          </w:rPr>
          <w:t>2</w:t>
        </w:r>
      </w:fldSimple>
      <w:r>
        <w:t xml:space="preserve">; Kimi Delta Attention (KDA) adds channel-wise gating and, in a 3B-active/48B-total hybrid with MLA, reports outperforming full attention under an identical recipe with 75% KV-cache reduction and up to 6× decoding throughput at 1M context — and its successor scaled the design to a 2.8T MoE production model within nine months</w:t>
      </w:r>
      <w:r>
        <w:t xml:space="preserve"> </w:t>
      </w:r>
      <w:fldSimple w:instr="NOTEREF _Ref_Footnote_1 \h \f">
        <w:r>
          <w:rPr>
            <w:vertAlign w:val="superscript"/>
          </w:rPr>
          <w:t>1</w:t>
        </w:r>
      </w:fldSimple>
      <w:r>
        <w:t xml:space="preserve">; Mamba-3 (ICLR 2026) continues the SSM line</w:t>
      </w:r>
      <w:r>
        <w:t xml:space="preserve"> </w:t>
      </w:r>
      <w:fldSimple w:instr="NOTEREF _Ref_Footnote_2 \h \f">
        <w:r>
          <w:rPr>
            <w:vertAlign w:val="superscript"/>
          </w:rPr>
          <w:t>2</w:t>
        </w:r>
      </w:fldSimple>
      <w:r>
        <w:t xml:space="preserve">. Two controlled comparisons matter for OPERA specifically: a 350M-parameter bake-off across DeltaNet/GDN/KDA/GDN-2 found</w:t>
      </w:r>
      <w:r>
        <w:t xml:space="preserve"> </w:t>
      </w:r>
      <w:r>
        <w:rPr>
          <w:bCs/>
          <w:b/>
        </w:rPr>
        <w:t xml:space="preserve">KDA paired with the Muon optimizer reached the lowest validation loss</w:t>
      </w:r>
      <w:r>
        <w:t xml:space="preserve">, with Muon consistently beating AdamW across matched settings</w:t>
      </w:r>
      <w:r>
        <w:t xml:space="preserve"> </w:t>
      </w:r>
      <w:r>
        <w:rPr>
          <w:vertAlign w:val="superscript"/>
        </w:rPr>
        <w:footnoteReference w:id="16"/>
      </w:r>
      <w:r>
        <w:t xml:space="preserve">; and Hymba showed a hybrid-head design (3 full-attention layers out of 24–32, the rest SSM) beating every sub-2B public model — including Llama-3.2-3B — with 11.7× smaller cache</w:t>
      </w:r>
      <w:r>
        <w:t xml:space="preserve"> </w:t>
      </w:r>
      <w:fldSimple w:instr="NOTEREF _Ref_Footnote_15 \h \f">
        <w:r>
          <w:rPr>
            <w:vertAlign w:val="superscript"/>
          </w:rPr>
          <w:t>15</w:t>
        </w:r>
      </w:fldSimple>
      <w:r>
        <w:t xml:space="preserve"> </w:t>
      </w:r>
      <w:r>
        <w:rPr>
          <w:vertAlign w:val="superscript"/>
        </w:rPr>
        <w:footnoteReference w:id="17"/>
      </w:r>
      <w:r>
        <w:t xml:space="preserve">.</w:t>
      </w:r>
    </w:p>
    <w:p>
      <w:pPr>
        <w:pStyle w:val="BodyText"/>
      </w:pPr>
      <w:r>
        <w:t xml:space="preserve">The field-level consensus that emerged is the single most important external fact for this roadmap:</w:t>
      </w:r>
      <w:r>
        <w:t xml:space="preserve"> </w:t>
      </w:r>
      <w:r>
        <w:rPr>
          <w:bCs/>
          <w:b/>
        </w:rPr>
        <w:t xml:space="preserve">pure recurrent/linear models are no longer trying to beat attention everywhere; they win by pairing a cheap compressed context pathway with a sparse high-resolution retrieval pathway</w:t>
      </w:r>
      <w:r>
        <w:t xml:space="preserve">. The ratios are converging — roughly 1 attention layer per 3–7 recurrent layers</w:t>
      </w:r>
      <w:r>
        <w:t xml:space="preserve"> </w:t>
      </w:r>
      <w:fldSimple w:instr="NOTEREF _Ref_Footnote_1 \h \f">
        <w:r>
          <w:rPr>
            <w:vertAlign w:val="superscript"/>
          </w:rPr>
          <w:t>1</w:t>
        </w:r>
      </w:fldSimple>
      <w:r>
        <w:t xml:space="preserve"> </w:t>
      </w:r>
      <w:fldSimple w:instr="NOTEREF _Ref_Footnote_15 \h \f">
        <w:r>
          <w:rPr>
            <w:vertAlign w:val="superscript"/>
          </w:rPr>
          <w:t>15</w:t>
        </w:r>
      </w:fldSimple>
      <w:r>
        <w:t xml:space="preserve">. OPERA’s measured readout ceiling is precisely the phenomenon this consensus routes around — but OPERA declines the consensus implementation. The project exists to determine what sequence modeling looks like with no pairwise attention at all, and grafting attention onto the readout would dissolve the contribution it is meant to defend.</w:t>
      </w:r>
    </w:p>
    <w:p>
      <w:pPr>
        <w:pStyle w:val="BodyText"/>
      </w:pPr>
      <w:r>
        <w:t xml:space="preserve">That refusal does not forfeit retrieval. The same literature contains a fully attention-free retrieval family. The</w:t>
      </w:r>
      <w:r>
        <w:t xml:space="preserve"> </w:t>
      </w:r>
      <w:r>
        <w:rPr>
          <w:bCs/>
          <w:b/>
        </w:rPr>
        <w:t xml:space="preserve">delta rule</w:t>
      </w:r>
      <w:r>
        <w:t xml:space="preserve"> </w:t>
      </w:r>
      <w:r>
        <w:t xml:space="preserve">— an error-correcting fast-weight memory that removes the old association before writing the new one — is a recurrent memory write, not attention: no token-token score matrix, no softmax, O(T) sequential cost with a chunked parallel form; it is the update that made DeltaNet the strongest pure-recurrent recall mechanism and the backbone of GDN-2 and KDA</w:t>
      </w:r>
      <w:r>
        <w:t xml:space="preserve"> </w:t>
      </w:r>
      <w:fldSimple w:instr="NOTEREF _Ref_Footnote_10 \h \f">
        <w:r>
          <w:rPr>
            <w:vertAlign w:val="superscript"/>
          </w:rPr>
          <w:t>10</w:t>
        </w:r>
      </w:fldSimple>
      <w:r>
        <w:t xml:space="preserve"> </w:t>
      </w:r>
      <w:r>
        <w:rPr>
          <w:vertAlign w:val="superscript"/>
        </w:rPr>
        <w:footnoteReference w:id="18"/>
      </w:r>
      <w:r>
        <w:t xml:space="preserve">.</w:t>
      </w:r>
      <w:r>
        <w:t xml:space="preserve"> </w:t>
      </w:r>
      <w:r>
        <w:rPr>
          <w:bCs/>
          <w:b/>
        </w:rPr>
        <w:t xml:space="preserve">Surprise-gated neural memory</w:t>
      </w:r>
      <w:r>
        <w:t xml:space="preserve"> </w:t>
      </w:r>
      <w:r>
        <w:t xml:space="preserve">(Titans) treats memory as a meta-learned associative store updated by gradient surprise at test time, and its memory module posts the best needle-in-haystack and long-context numbers among</w:t>
      </w:r>
      <w:r>
        <w:t xml:space="preserve"> </w:t>
      </w:r>
      <w:r>
        <w:rPr>
          <w:iCs/>
          <w:i/>
        </w:rPr>
        <w:t xml:space="preserve">non-hybrid</w:t>
      </w:r>
      <w:r>
        <w:t xml:space="preserve"> </w:t>
      </w:r>
      <w:r>
        <w:t xml:space="preserve">models</w:t>
      </w:r>
      <w:r>
        <w:t xml:space="preserve"> </w:t>
      </w:r>
      <w:fldSimple w:instr="NOTEREF _Ref_Footnote_14 \h \f">
        <w:r>
          <w:rPr>
            <w:vertAlign w:val="superscript"/>
          </w:rPr>
          <w:t>14</w:t>
        </w:r>
      </w:fldSimple>
      <w:r>
        <w:t xml:space="preserve"> </w:t>
      </w:r>
      <w:r>
        <w:rPr>
          <w:vertAlign w:val="superscript"/>
        </w:rPr>
        <w:footnoteReference w:id="19"/>
      </w:r>
      <w:r>
        <w:t xml:space="preserve">.</w:t>
      </w:r>
      <w:r>
        <w:t xml:space="preserve"> </w:t>
      </w:r>
      <w:r>
        <w:rPr>
          <w:bCs/>
          <w:b/>
        </w:rPr>
        <w:t xml:space="preserve">Product-key memory</w:t>
      </w:r>
      <w:r>
        <w:t xml:space="preserve"> </w:t>
      </w:r>
      <w:r>
        <w:t xml:space="preserve">provides exact nearest-neighbor content lookup over a huge key-structured store at negligible compute — a 12-layer memory-augmented model beat a 24-layer transformer at 2× inference speed</w:t>
      </w:r>
      <w:r>
        <w:t xml:space="preserve"> </w:t>
      </w:r>
      <w:fldSimple w:instr="NOTEREF _Ref_Footnote_11 \h \f">
        <w:r>
          <w:rPr>
            <w:vertAlign w:val="superscript"/>
          </w:rPr>
          <w:t>11</w:t>
        </w:r>
      </w:fldSimple>
      <w:r>
        <w:t xml:space="preserve">. These are three candidate retrieval paths, all content-addressable, none involving attention, and each slots next to OPERA’s fold without touching the tree or the no-attention invariant.</w:t>
      </w:r>
    </w:p>
    <w:bookmarkEnd w:id="27"/>
    <w:bookmarkStart w:id="28" w:name="Xdd2003903db86e4ed12cf2ec00a68f83959a591"/>
    <w:p>
      <w:pPr>
        <w:pStyle w:val="Heading3"/>
      </w:pPr>
      <w:r>
        <w:t xml:space="preserve">2.2 The Fenwick fold now has a published sibling — and a measured weakness OPERA can leapfrog</w:t>
      </w:r>
    </w:p>
    <w:p>
      <w:pPr>
        <w:pStyle w:val="FirstParagraph"/>
      </w:pPr>
      <w:r>
        <w:t xml:space="preserve">Log-Linear Attention (arXiv:2506.04761) organizes memory over a</w:t>
      </w:r>
      <w:r>
        <w:t xml:space="preserve"> </w:t>
      </w:r>
      <w:r>
        <w:rPr>
          <w:bCs/>
          <w:b/>
        </w:rPr>
        <w:t xml:space="preserve">Fenwick-tree hierarchy</w:t>
      </w:r>
      <w:r>
        <w:t xml:space="preserve"> </w:t>
      </w:r>
      <w:r>
        <w:t xml:space="preserve">— the same binary-indexed decomposition OPERA’s readout uses — with O(T log T) training and O(log T) decoding memory, and has been adopted as the memory layer in at least one frontier-scale model family</w:t>
      </w:r>
      <w:r>
        <w:t xml:space="preserve"> </w:t>
      </w:r>
      <w:fldSimple w:instr="NOTEREF _Ref_Footnote_3 \h \f">
        <w:r>
          <w:rPr>
            <w:vertAlign w:val="superscript"/>
          </w:rPr>
          <w:t>3</w:t>
        </w:r>
      </w:fldSimple>
      <w:r>
        <w:t xml:space="preserve">. This is simultaneously a threat (the novelty window for</w:t>
      </w:r>
      <w:r>
        <w:t xml:space="preserve"> </w:t>
      </w:r>
      <w:r>
        <w:t xml:space="preserve">“</w:t>
      </w:r>
      <w:r>
        <w:t xml:space="preserve">Fenwick decomposition as sequence memory</w:t>
      </w:r>
      <w:r>
        <w:t xml:space="preserve">”</w:t>
      </w:r>
      <w:r>
        <w:t xml:space="preserve"> </w:t>
      </w:r>
      <w:r>
        <w:t xml:space="preserve">is closing) and a gift: it validates the decomposition at scales OPERA cannot reach, and it gives OPERA a well-defined sibling to differentiate from — OPERA</w:t>
      </w:r>
      <w:r>
        <w:t xml:space="preserve"> </w:t>
      </w:r>
      <w:r>
        <w:rPr>
          <w:iCs/>
          <w:i/>
        </w:rPr>
        <w:t xml:space="preserve">composes</w:t>
      </w:r>
      <w:r>
        <w:t xml:space="preserve"> </w:t>
      </w:r>
      <w:r>
        <w:t xml:space="preserve">Fenwick blocks through a geometric non-associative node, while log-linear attention</w:t>
      </w:r>
      <w:r>
        <w:t xml:space="preserve"> </w:t>
      </w:r>
      <w:r>
        <w:rPr>
          <w:iCs/>
          <w:i/>
        </w:rPr>
        <w:t xml:space="preserve">mixes</w:t>
      </w:r>
      <w:r>
        <w:t xml:space="preserve"> </w:t>
      </w:r>
      <w:r>
        <w:t xml:space="preserve">them with learned scalar weights; OPERA’s</w:t>
      </w:r>
      <w:r>
        <w:t xml:space="preserve"> </w:t>
      </w:r>
      <w:r>
        <w:t xml:space="preserve">“</w:t>
      </w:r>
      <w:r>
        <w:t xml:space="preserve">position is structure</w:t>
      </w:r>
      <w:r>
        <w:t xml:space="preserve">”</w:t>
      </w:r>
      <w:r>
        <w:t xml:space="preserve"> </w:t>
      </w:r>
      <w:r>
        <w:t xml:space="preserve">is a strictly stronger commitment than a Fenwick-shaped memory layout.</w:t>
      </w:r>
    </w:p>
    <w:p>
      <w:pPr>
        <w:pStyle w:val="BodyText"/>
      </w:pPr>
      <w:r>
        <w:t xml:space="preserve">The gift gets better. A 2026 follow-up,</w:t>
      </w:r>
      <w:r>
        <w:t xml:space="preserve"> </w:t>
      </w:r>
      <w:r>
        <w:rPr>
          <w:iCs/>
          <w:i/>
        </w:rPr>
        <w:t xml:space="preserve">Adaptive Memory Decay for Log-Linear Attention</w:t>
      </w:r>
      <w:r>
        <w:t xml:space="preserve">, identifies that log-linear attention’s per-level weighting λ is</w:t>
      </w:r>
      <w:r>
        <w:t xml:space="preserve"> </w:t>
      </w:r>
      <w:r>
        <w:rPr>
          <w:bCs/>
          <w:b/>
        </w:rPr>
        <w:t xml:space="preserve">nearly input-independent in practice</w:t>
      </w:r>
      <w:r>
        <w:t xml:space="preserve"> </w:t>
      </w:r>
      <w:r>
        <w:t xml:space="preserve">— uniform weights across hierarchy levels regardless of content — and shows this rigidity causes outright collapse under memory load: on MQAR with 32 key-value pairs the baseline scores</w:t>
      </w:r>
      <w:r>
        <w:t xml:space="preserve"> </w:t>
      </w:r>
      <w:r>
        <w:rPr>
          <w:bCs/>
          <w:b/>
        </w:rPr>
        <w:t xml:space="preserve">2.9% mean accuracy while the input-adaptive λ holds 57.9%</w:t>
      </w:r>
      <w:r>
        <w:t xml:space="preserve">, with the fix costing &lt;0.007% of parameters (a two-layer MLP producing per-token, per-level decay through a softplus, preserving O(T log T) exactly)</w:t>
      </w:r>
      <w:r>
        <w:t xml:space="preserve"> </w:t>
      </w:r>
      <w:fldSimple w:instr="NOTEREF _Ref_Footnote_4 \h \f">
        <w:r>
          <w:rPr>
            <w:vertAlign w:val="superscript"/>
          </w:rPr>
          <w:t>4</w:t>
        </w:r>
      </w:fldSimple>
      <w:r>
        <w:t xml:space="preserve"> </w:t>
      </w:r>
      <w:r>
        <w:rPr>
          <w:vertAlign w:val="superscript"/>
        </w:rPr>
        <w:footnoteReference w:id="20"/>
      </w:r>
      <w:r>
        <w:t xml:space="preserve">. OPERA’s left fold has the analogous rigidity: its fusion gates are content-dependent, but the</w:t>
      </w:r>
      <w:r>
        <w:t xml:space="preserve"> </w:t>
      </w:r>
      <w:r>
        <w:rPr>
          <w:iCs/>
          <w:i/>
        </w:rPr>
        <w:t xml:space="preserve">transport</w:t>
      </w:r>
      <w:r>
        <w:t xml:space="preserve"> </w:t>
      </w:r>
      <w:r>
        <w:t xml:space="preserve">of old blocks through the fold has no per-level, content-adaptive weighting — the chrono-init experiment showed transport stays near pass-through. The adaptive-λ result is the closest existing evidence for what a per-level adaptive transport would buy, obtained on the identical hierarchy, at trivial parameter cost. This is the single most actionable external finding in this roadmap.</w:t>
      </w:r>
    </w:p>
    <w:bookmarkEnd w:id="28"/>
    <w:bookmarkStart w:id="29" w:name="Xe7090502825a5a9eeff7d4eaffd4a250206d2d6"/>
    <w:p>
      <w:pPr>
        <w:pStyle w:val="Heading3"/>
      </w:pPr>
      <w:r>
        <w:t xml:space="preserve">2.3 Rotation-structured transitions are having a moment</w:t>
      </w:r>
    </w:p>
    <w:p>
      <w:pPr>
        <w:pStyle w:val="FirstParagraph"/>
      </w:pPr>
      <w:r>
        <w:t xml:space="preserve">Three results reposition OPERA’s geometric core.</w:t>
      </w:r>
      <w:r>
        <w:t xml:space="preserve"> </w:t>
      </w:r>
      <w:r>
        <w:rPr>
          <w:bCs/>
          <w:b/>
        </w:rPr>
        <w:t xml:space="preserve">DeltaProduct</w:t>
      </w:r>
      <w:r>
        <w:t xml:space="preserve"> </w:t>
      </w:r>
      <w:r>
        <w:t xml:space="preserve">shows that products of n_h generalized Householder transformations as state-transition matrices give linear RNNs a tunable expressivity/efficiency dial: state-tracking on permutation-group word problems improves monotonically in n_h (S3 solvable in one layer at n_h=2 vs three layers at n_h=1), length extrapolation improves sharply from n_h=1→2 and shows minimal degradation at n_h=3, and language modeling improves over DeltaNet at matched parameters — with negative eigenvalues in [−1,1] proving</w:t>
      </w:r>
      <w:r>
        <w:t xml:space="preserve"> </w:t>
      </w:r>
      <w:r>
        <w:rPr>
          <w:iCs/>
          <w:i/>
        </w:rPr>
        <w:t xml:space="preserve">necessary</w:t>
      </w:r>
      <w:r>
        <w:t xml:space="preserve"> </w:t>
      </w:r>
      <w:r>
        <w:t xml:space="preserve">for state tracking</w:t>
      </w:r>
      <w:r>
        <w:t xml:space="preserve"> </w:t>
      </w:r>
      <w:fldSimple w:instr="NOTEREF _Ref_Footnote_5 \h \f">
        <w:r>
          <w:rPr>
            <w:vertAlign w:val="superscript"/>
          </w:rPr>
          <w:t>5</w:t>
        </w:r>
      </w:fldSimple>
      <w:r>
        <w:t xml:space="preserve"> </w:t>
      </w:r>
      <w:r>
        <w:rPr>
          <w:vertAlign w:val="superscript"/>
        </w:rPr>
        <w:footnoteReference w:id="21"/>
      </w:r>
      <w:r>
        <w:t xml:space="preserve">.</w:t>
      </w:r>
      <w:r>
        <w:t xml:space="preserve"> </w:t>
      </w:r>
      <w:r>
        <w:rPr>
          <w:bCs/>
          <w:b/>
        </w:rPr>
        <w:t xml:space="preserve">PaTH attention</w:t>
      </w:r>
      <w:r>
        <w:t xml:space="preserve"> </w:t>
      </w:r>
      <w:r>
        <w:t xml:space="preserve">replaces RoPE’s input-independent rotations with accumulated products of</w:t>
      </w:r>
      <w:r>
        <w:t xml:space="preserve"> </w:t>
      </w:r>
      <w:r>
        <w:rPr>
          <w:iCs/>
          <w:i/>
        </w:rPr>
        <w:t xml:space="preserve">data-dependent</w:t>
      </w:r>
      <w:r>
        <w:t xml:space="preserve"> </w:t>
      </w:r>
      <w:r>
        <w:t xml:space="preserve">Householder transformations and beats RoPE and recent baselines on synthetic and moderate-scale LM experiments, with a FlashAttention-style blockwise implementation</w:t>
      </w:r>
      <w:r>
        <w:t xml:space="preserve"> </w:t>
      </w:r>
      <w:fldSimple w:instr="NOTEREF _Ref_Footnote_6 \h \f">
        <w:r>
          <w:rPr>
            <w:vertAlign w:val="superscript"/>
          </w:rPr>
          <w:t>6</w:t>
        </w:r>
      </w:fldSimple>
      <w:r>
        <w:t xml:space="preserve">. And in vision,</w:t>
      </w:r>
      <w:r>
        <w:t xml:space="preserve"> </w:t>
      </w:r>
      <w:r>
        <w:rPr>
          <w:bCs/>
          <w:b/>
        </w:rPr>
        <w:t xml:space="preserve">CliffordNet</w:t>
      </w:r>
      <w:r>
        <w:t xml:space="preserve"> </w:t>
      </w:r>
      <w:r>
        <w:t xml:space="preserve">demonstrates a backbone built purely on the Clifford geometric product reaching strong small-scale results with drastically reduced parameters — evidence that the geometric-algebra wave is producing working architectures, not just frameworks</w:t>
      </w:r>
      <w:r>
        <w:t xml:space="preserve"> </w:t>
      </w:r>
      <w:r>
        <w:rPr>
          <w:vertAlign w:val="superscript"/>
        </w:rPr>
        <w:footnoteReference w:id="22"/>
      </w:r>
      <w:r>
        <w:t xml:space="preserve"> </w:t>
      </w:r>
      <w:r>
        <w:rPr>
          <w:vertAlign w:val="superscript"/>
        </w:rPr>
        <w:footnoteReference w:id="23"/>
      </w:r>
      <w:r>
        <w:t xml:space="preserve">.</w:t>
      </w:r>
    </w:p>
    <w:p>
      <w:pPr>
        <w:pStyle w:val="BodyText"/>
      </w:pPr>
      <w:r>
        <w:t xml:space="preserve">For OPERA this reframes the falsification record in a productive way. The SO(3) constraint was pre-registered, tested, and retired</w:t>
      </w:r>
      <w:r>
        <w:t xml:space="preserve"> </w:t>
      </w:r>
      <w:r>
        <w:rPr>
          <w:iCs/>
          <w:i/>
        </w:rPr>
        <w:t xml:space="preserve">as a perplexity hypothesis</w:t>
      </w:r>
      <w:r>
        <w:t xml:space="preserve"> </w:t>
      </w:r>
      <w:r>
        <w:t xml:space="preserve">— correctly, per the project’s own rules. But the DeltaProduct/PaTH results locate the value of rotation-structured transitions in</w:t>
      </w:r>
      <w:r>
        <w:t xml:space="preserve"> </w:t>
      </w:r>
      <w:r>
        <w:rPr>
          <w:bCs/>
          <w:b/>
        </w:rPr>
        <w:t xml:space="preserve">state tracking and length extrapolation</w:t>
      </w:r>
      <w:r>
        <w:t xml:space="preserve">, not in-distribution PPL. OPERA already evaluates on exactly those axes (position curves, boolean depth extrapolation where the SO(3) constraint</w:t>
      </w:r>
      <w:r>
        <w:t xml:space="preserve"> </w:t>
      </w:r>
      <w:r>
        <w:rPr>
          <w:iCs/>
          <w:i/>
        </w:rPr>
        <w:t xml:space="preserve">was</w:t>
      </w:r>
      <w:r>
        <w:t xml:space="preserve"> </w:t>
      </w:r>
      <w:r>
        <w:t xml:space="preserve">the mechanism at 100% depth-32). The recommendation is not to un-retire</w:t>
      </w:r>
      <w:r>
        <w:t xml:space="preserve"> </w:t>
      </w:r>
      <w:r>
        <w:rPr>
          <w:rStyle w:val="VerbatimChar"/>
        </w:rPr>
        <w:t xml:space="preserve">rot_mode='so3'</w:t>
      </w:r>
      <w:r>
        <w:t xml:space="preserve"> </w:t>
      </w:r>
      <w:r>
        <w:t xml:space="preserve">for the LM, but to open a</w:t>
      </w:r>
      <w:r>
        <w:t xml:space="preserve"> </w:t>
      </w:r>
      <w:r>
        <w:rPr>
          <w:bCs/>
          <w:b/>
        </w:rPr>
        <w:t xml:space="preserve">state-tracking evaluation track</w:t>
      </w:r>
      <w:r>
        <w:t xml:space="preserve"> </w:t>
      </w:r>
      <w:r>
        <w:t xml:space="preserve">(permutation word problems, modular arithmetic, parity — the published suites) where OPERA’s Cl(3) transport competes on the axis the literature now recognizes as the rotations’ home turf</w:t>
      </w:r>
      <w:r>
        <w:t xml:space="preserve"> </w:t>
      </w:r>
      <w:fldSimple w:instr="NOTEREF _Ref_Footnote_5 \h \f">
        <w:r>
          <w:rPr>
            <w:vertAlign w:val="superscript"/>
          </w:rPr>
          <w:t>5</w:t>
        </w:r>
      </w:fldSimple>
      <w:r>
        <w:t xml:space="preserve">. This is cheap — the tasks are tiny — and it converts a falsified component into a differentiated capability claim.</w:t>
      </w:r>
    </w:p>
    <w:bookmarkEnd w:id="29"/>
    <w:bookmarkStart w:id="30" w:name="the-recipe-frontier-moved-muon-µp-mtp"/>
    <w:p>
      <w:pPr>
        <w:pStyle w:val="Heading3"/>
      </w:pPr>
      <w:r>
        <w:t xml:space="preserve">2.4 The recipe frontier moved: Muon, µP, MTP</w:t>
      </w:r>
    </w:p>
    <w:p>
      <w:pPr>
        <w:pStyle w:val="FirstParagraph"/>
      </w:pPr>
      <w:r>
        <w:t xml:space="preserve">Three training-side developments map directly onto OPERA’s documented limitations.</w:t>
      </w:r>
      <w:r>
        <w:t xml:space="preserve"> </w:t>
      </w:r>
      <w:r>
        <w:rPr>
          <w:bCs/>
          <w:b/>
        </w:rPr>
        <w:t xml:space="preserve">Muon</w:t>
      </w:r>
      <w:r>
        <w:t xml:space="preserve"> </w:t>
      </w:r>
      <w:r>
        <w:t xml:space="preserve">— orthogonalized momentum for matrix-shaped hidden parameters — powered the modded-nanogpt speedrun records, scales to LLM training with demonstrated batch-size transfer, and in the 350M linear-attention bake-off</w:t>
      </w:r>
      <w:r>
        <w:t xml:space="preserve"> </w:t>
      </w:r>
      <w:r>
        <w:rPr>
          <w:iCs/>
          <w:i/>
        </w:rPr>
        <w:t xml:space="preserve">consistently lowered validation loss versus AdamW across every architecture tested</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fldSimple w:instr="NOTEREF _Ref_Footnote_16 \h \f">
        <w:r>
          <w:rPr>
            <w:vertAlign w:val="superscript"/>
          </w:rPr>
          <w:t>16</w:t>
        </w:r>
      </w:fldSimple>
      <w:r>
        <w:t xml:space="preserve">. OPERA’s per-block 3×3 maps (R_L, R_R, R_O per block per node) are the most literally matrix-shaped parameters in any sequence model — a pointedly good fit, and the paper’s</w:t>
      </w:r>
      <w:r>
        <w:t xml:space="preserve"> </w:t>
      </w:r>
      <w:r>
        <w:t xml:space="preserve">“</w:t>
      </w:r>
      <w:r>
        <w:t xml:space="preserve">recipe asymmetry</w:t>
      </w:r>
      <w:r>
        <w:t xml:space="preserve">”</w:t>
      </w:r>
      <w:r>
        <w:t xml:space="preserve"> </w:t>
      </w:r>
      <w:r>
        <w:t xml:space="preserve">caveat means the entire transformer-folklore recipe is untested upside for OPERA.</w:t>
      </w:r>
      <w:r>
        <w:t xml:space="preserve"> </w:t>
      </w:r>
      <w:r>
        <w:rPr>
          <w:bCs/>
          <w:b/>
        </w:rPr>
        <w:t xml:space="preserve">µP/muTransfer</w:t>
      </w:r>
      <w:r>
        <w:t xml:space="preserve"> </w:t>
      </w:r>
      <w:r>
        <w:t xml:space="preserve">provides the hyperparameter-transfer machinery that makes a 22M → 350M scaling ladder affordable: tune at toy width/depth, transfer</w:t>
      </w:r>
      <w:r>
        <w:t xml:space="preserve"> </w:t>
      </w:r>
      <w:r>
        <w:rPr>
          <w:vertAlign w:val="superscript"/>
        </w:rPr>
        <w:footnoteReference w:id="24"/>
      </w:r>
      <w:r>
        <w:t xml:space="preserve"> </w:t>
      </w:r>
      <w:r>
        <w:rPr>
          <w:vertAlign w:val="superscript"/>
        </w:rPr>
        <w:footnoteReference w:id="25"/>
      </w:r>
      <w:r>
        <w:t xml:space="preserve">.</w:t>
      </w:r>
      <w:r>
        <w:t xml:space="preserve"> </w:t>
      </w:r>
      <w:r>
        <w:rPr>
          <w:bCs/>
          <w:b/>
        </w:rPr>
        <w:t xml:space="preserve">Multi-token prediction</w:t>
      </w:r>
      <w:r>
        <w:t xml:space="preserve"> </w:t>
      </w:r>
      <w:r>
        <w:t xml:space="preserve">(DeepSeek-V3’s MTP; Gloeckle et al. ICML 2024) demonstrates that auxiliary future-token objectives improve base-model quality — the mainstream, scaled confirmation of the principle behind OPERA’s msup arm, which remains the project’s only validated training-side win (−9.87 PPL at toy rung)</w:t>
      </w:r>
      <w:r>
        <w:t xml:space="preserve"> </w:t>
      </w:r>
      <w:fldSimple w:instr="NOTEREF _Ref_Footnote_9 \h \f">
        <w:r>
          <w:rPr>
            <w:vertAlign w:val="superscript"/>
          </w:rPr>
          <w:t>9</w:t>
        </w:r>
      </w:fldSimple>
      <w:r>
        <w:t xml:space="preserve"> </w:t>
      </w:r>
      <w:r>
        <w:rPr>
          <w:vertAlign w:val="superscript"/>
        </w:rPr>
        <w:footnoteReference w:id="26"/>
      </w:r>
      <w:r>
        <w:t xml:space="preserve">.</w:t>
      </w:r>
    </w:p>
    <w:p>
      <w:pPr>
        <w:pStyle w:val="BodyText"/>
      </w:pPr>
      <w:r>
        <w:t xml:space="preserve">The cumulative effect is that OPERA’s three cheapest improvements are all</w:t>
      </w:r>
      <w:r>
        <w:t xml:space="preserve"> </w:t>
      </w:r>
      <w:r>
        <w:rPr>
          <w:iCs/>
          <w:i/>
        </w:rPr>
        <w:t xml:space="preserve">imports</w:t>
      </w:r>
      <w:r>
        <w:t xml:space="preserve">: an optimizer designed for its parameter shapes, a hyperparameter-transfer method designed for its scaling ambitions, and an auxiliary-objective literature that validates and extends its one confirmed training win. None requires a new mechanism; all three follow the project’s standing rules (one variable per run, pre-registered gates, deterministic init) without modification.</w:t>
      </w:r>
    </w:p>
    <w:p>
      <w:r>
        <w:pict>
          <v:rect style="width:0;height:1.5pt" o:hralign="center" o:hrstd="t" o:hr="t"/>
        </w:pict>
      </w:r>
    </w:p>
    <w:bookmarkEnd w:id="30"/>
    <w:bookmarkEnd w:id="31"/>
    <w:bookmarkStart w:id="36" w:name="tier-0-free-wins-weeks-04"/>
    <w:p>
      <w:pPr>
        <w:pStyle w:val="Heading2"/>
      </w:pPr>
      <w:r>
        <w:t xml:space="preserve">3. Tier 0 — Free Wins (Weeks 0–4)</w:t>
      </w:r>
    </w:p>
    <w:bookmarkStart w:id="32" w:name="Xd4a6fa708940e73ff3ab3b56fc4747839aa8a37"/>
    <w:p>
      <w:pPr>
        <w:pStyle w:val="Heading3"/>
      </w:pPr>
      <w:r>
        <w:t xml:space="preserve">3.1 Rebuild the recipe around Muon, and audit with µP</w:t>
      </w:r>
    </w:p>
    <w:p>
      <w:pPr>
        <w:pStyle w:val="FirstParagraph"/>
      </w:pPr>
      <w:r>
        <w:rPr>
          <w:bCs/>
          <w:b/>
        </w:rPr>
        <w:t xml:space="preserve">What:</w:t>
      </w:r>
      <w:r>
        <w:t xml:space="preserve"> </w:t>
      </w:r>
      <w:r>
        <w:t xml:space="preserve">Split OPERA’s parameters into two optimizer groups: Muon (Newton–Schulz orthogonalized updates) for all matrix-shaped parameters — the per-block 3×3 maps, cross-layer MLP weights, head — AdamW for embeddings, gains, gates, and scalars, per the standard Muon partitioning</w:t>
      </w:r>
      <w:r>
        <w:t xml:space="preserve"> </w:t>
      </w:r>
      <w:fldSimple w:instr="NOTEREF _Ref_Footnote_8 \h \f">
        <w:r>
          <w:rPr>
            <w:vertAlign w:val="superscript"/>
          </w:rPr>
          <w:t>8</w:t>
        </w:r>
      </w:fldSimple>
      <w:r>
        <w:t xml:space="preserve"> </w:t>
      </w:r>
      <w:r>
        <w:rPr>
          <w:vertAlign w:val="superscript"/>
        </w:rPr>
        <w:footnoteReference w:id="27"/>
      </w:r>
      <w:r>
        <w:t xml:space="preserve">. Sweep Muon lr ∈ {0.02, 0.05, 0.1} at the toy rung first; the 350M linear-attention bake-off used exactly this Muon-vs-AdamW protocol and found Muon dominant across four recurrent architectures</w:t>
      </w:r>
      <w:r>
        <w:t xml:space="preserve"> </w:t>
      </w:r>
      <w:fldSimple w:instr="NOTEREF _Ref_Footnote_16 \h \f">
        <w:r>
          <w:rPr>
            <w:vertAlign w:val="superscript"/>
          </w:rPr>
          <w:t>16</w:t>
        </w:r>
      </w:fldSimple>
      <w:r>
        <w:t xml:space="preserve">. Pair with a µP audit: check that OPERA’s init scales with width per µP rules so the toy→22M→100M hyperparameter transfer is valid</w:t>
      </w:r>
      <w:r>
        <w:t xml:space="preserve"> </w:t>
      </w:r>
      <w:r>
        <w:rPr>
          <w:iCs/>
          <w:i/>
        </w:rPr>
        <w:t xml:space="preserve">before</w:t>
      </w:r>
      <w:r>
        <w:t xml:space="preserve"> </w:t>
      </w:r>
      <w:r>
        <w:t xml:space="preserve">the scaling ladder starts</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w:t>
      </w:r>
    </w:p>
    <w:p>
      <w:pPr>
        <w:pStyle w:val="BodyText"/>
      </w:pPr>
      <w:r>
        <w:rPr>
          <w:bCs/>
          <w:b/>
        </w:rPr>
        <w:t xml:space="preserve">Pre-registered gate:</w:t>
      </w:r>
      <w:r>
        <w:t xml:space="preserve"> </w:t>
      </w:r>
      <w:r>
        <w:t xml:space="preserve">Muon arm beats AdamW incumbent by &gt;1.5 PPL at the toy rung (outside the project’s noise band) at identical steps, data order, and seed.</w:t>
      </w:r>
      <w:r>
        <w:t xml:space="preserve"> </w:t>
      </w:r>
      <w:r>
        <w:rPr>
          <w:bCs/>
          <w:b/>
        </w:rPr>
        <w:t xml:space="preserve">Kill criterion:</w:t>
      </w:r>
      <w:r>
        <w:t xml:space="preserve"> </w:t>
      </w:r>
      <w:r>
        <w:t xml:space="preserve">parity or worse at toy rung after two lr settings — retire to the falsification record, keep AdamW.</w:t>
      </w:r>
      <w:r>
        <w:t xml:space="preserve"> </w:t>
      </w:r>
      <w:r>
        <w:rPr>
          <w:bCs/>
          <w:b/>
        </w:rPr>
        <w:t xml:space="preserve">Cost:</w:t>
      </w:r>
      <w:r>
        <w:t xml:space="preserve"> </w:t>
      </w:r>
      <w:r>
        <w:t xml:space="preserve">~1 week; no architectural change; the selftest suite’s param-budget asserts are untouched.</w:t>
      </w:r>
      <w:r>
        <w:t xml:space="preserve"> </w:t>
      </w:r>
      <w:r>
        <w:rPr>
          <w:bCs/>
          <w:b/>
        </w:rPr>
        <w:t xml:space="preserve">Expected value:</w:t>
      </w:r>
      <w:r>
        <w:t xml:space="preserve"> </w:t>
      </w:r>
      <w:r>
        <w:t xml:space="preserve">unknown but plausibly the largest single quality delta available at 22M, because the recipe asymmetry caveat means OPERA has never once been run with a recipe chosen for it; the closest external evidence (Muon winning across all four linear-attention variants) suggests the effect is architecture-general, not transformer-specific</w:t>
      </w:r>
      <w:r>
        <w:t xml:space="preserve"> </w:t>
      </w:r>
      <w:fldSimple w:instr="NOTEREF _Ref_Footnote_16 \h \f">
        <w:r>
          <w:rPr>
            <w:vertAlign w:val="superscript"/>
          </w:rPr>
          <w:t>16</w:t>
        </w:r>
      </w:fldSimple>
      <w:r>
        <w:t xml:space="preserve">.</w:t>
      </w:r>
    </w:p>
    <w:bookmarkEnd w:id="32"/>
    <w:bookmarkStart w:id="33" w:name="Xad65615e35b934b41ae41f140ae35b738a75c5f"/>
    <w:p>
      <w:pPr>
        <w:pStyle w:val="Heading3"/>
      </w:pPr>
      <w:r>
        <w:t xml:space="preserve">3.2 Measurement integrity: decontaminated split + multi-seed</w:t>
      </w:r>
    </w:p>
    <w:p>
      <w:pPr>
        <w:pStyle w:val="FirstParagraph"/>
      </w:pPr>
      <w:r>
        <w:rPr>
          <w:bCs/>
          <w:b/>
        </w:rPr>
        <w:t xml:space="preserve">What:</w:t>
      </w:r>
      <w:r>
        <w:t xml:space="preserve"> </w:t>
      </w:r>
      <w:r>
        <w:t xml:space="preserve">Execute the roadmap items already in the README: the decontaminated-split re-measurement of OPERA vs NoPE (the decontaminated RoPE comparison at 75.78 vs 56.77 currently stands without its like-for-like NoPE counterpart), and 3-seed replication of OPERA free+left and transformer NoPE with means ± ranges. This is not glamorous, but it is load-bearing: every subsequent arm in this roadmap is measured against the incumbent, and the headline claim (</w:t>
      </w:r>
      <w:r>
        <w:t xml:space="preserve">“</w:t>
      </w:r>
      <w:r>
        <w:t xml:space="preserve">constructive position degrades 2.6× less</w:t>
      </w:r>
      <w:r>
        <w:t xml:space="preserve">”</w:t>
      </w:r>
      <w:r>
        <w:t xml:space="preserve">) is currently single-seed.</w:t>
      </w:r>
    </w:p>
    <w:p>
      <w:pPr>
        <w:pStyle w:val="BodyText"/>
      </w:pPr>
      <w:r>
        <w:rPr>
          <w:bCs/>
          <w:b/>
        </w:rPr>
        <w:t xml:space="preserve">Gate/governance:</w:t>
      </w:r>
      <w:r>
        <w:t xml:space="preserve"> </w:t>
      </w:r>
      <w:r>
        <w:t xml:space="preserve">this track produces no keep/retire decision — it</w:t>
      </w:r>
      <w:r>
        <w:t xml:space="preserve"> </w:t>
      </w:r>
      <w:r>
        <w:rPr>
          <w:iCs/>
          <w:i/>
        </w:rPr>
        <w:t xml:space="preserve">re-baselines the ruler</w:t>
      </w:r>
      <w:r>
        <w:t xml:space="preserve">. Run it first among Tier 0 so that T0.1/T0.3 outcomes are measured on the clean split.</w:t>
      </w:r>
      <w:r>
        <w:t xml:space="preserve"> </w:t>
      </w:r>
      <w:r>
        <w:rPr>
          <w:bCs/>
          <w:b/>
        </w:rPr>
        <w:t xml:space="preserve">Cost:</w:t>
      </w:r>
      <w:r>
        <w:t xml:space="preserve"> </w:t>
      </w:r>
      <w:r>
        <w:t xml:space="preserve">~2 weeks wall-clock, mostly GPU time; largest single run ~3.5 GPU-hours per the paper, so the full matrix (2 models × 3 seeds × decontaminated split) is ~20–25 GPU-hours — within the project’s demonstrated budget class.</w:t>
      </w:r>
    </w:p>
    <w:bookmarkEnd w:id="33"/>
    <w:bookmarkStart w:id="34" w:name="msup-curriculum-at-the-22m-rung"/>
    <w:p>
      <w:pPr>
        <w:pStyle w:val="Heading3"/>
      </w:pPr>
      <w:r>
        <w:t xml:space="preserve">3.3 msup + curriculum at the 22M rung</w:t>
      </w:r>
    </w:p>
    <w:p>
      <w:pPr>
        <w:pStyle w:val="FirstParagraph"/>
      </w:pPr>
      <w:r>
        <w:rPr>
          <w:bCs/>
          <w:b/>
        </w:rPr>
        <w:t xml:space="preserve">What:</w:t>
      </w:r>
      <w:r>
        <w:t xml:space="preserve"> </w:t>
      </w:r>
      <w:r>
        <w:t xml:space="preserve">The v9 stack — multi-scale node supervision (every internal tree node predicts the first token after its span through the shared head, weight 0.1) plus the length curriculum (start 64, double every ~2000 steps, cap 256) — ran at toy scale and won (−9.87 PPL; curriculum at quality parity while processing fewer tokens; the two stack without interference). Run it at the 22M rung on the decontaminated split, per the project’s own roadmap.</w:t>
      </w:r>
    </w:p>
    <w:p>
      <w:pPr>
        <w:pStyle w:val="BodyText"/>
      </w:pPr>
      <w:r>
        <w:rPr>
          <w:bCs/>
          <w:b/>
        </w:rPr>
        <w:t xml:space="preserve">Gate:</w:t>
      </w:r>
      <w:r>
        <w:t xml:space="preserve"> </w:t>
      </w:r>
      <w:r>
        <w:t xml:space="preserve">msup+curriculum beats the re-baselined incumbent by &gt;1.5 PPL in-length and does not flatten the position curve (position-curve degradation stays ≤ +0.10 nats at 2× — protect the asset).</w:t>
      </w:r>
      <w:r>
        <w:t xml:space="preserve"> </w:t>
      </w:r>
      <w:r>
        <w:rPr>
          <w:bCs/>
          <w:b/>
        </w:rPr>
        <w:t xml:space="preserve">Kill criterion:</w:t>
      </w:r>
      <w:r>
        <w:t xml:space="preserve"> </w:t>
      </w:r>
      <w:r>
        <w:t xml:space="preserve">the toy win does not transfer (Δ &lt; 1.5 PPL) — record scale-dependence of msup as a finding, since</w:t>
      </w:r>
      <w:r>
        <w:t xml:space="preserve"> </w:t>
      </w:r>
      <w:r>
        <w:t xml:space="preserve">“</w:t>
      </w:r>
      <w:r>
        <w:t xml:space="preserve">the tree responds to being trained like a tree</w:t>
      </w:r>
      <w:r>
        <w:t xml:space="preserve">”</w:t>
      </w:r>
      <w:r>
        <w:t xml:space="preserve"> </w:t>
      </w:r>
      <w:r>
        <w:t xml:space="preserve">at toy scale but not at 22M would itself be publishable.</w:t>
      </w:r>
      <w:r>
        <w:t xml:space="preserve"> </w:t>
      </w:r>
      <w:r>
        <w:rPr>
          <w:bCs/>
          <w:b/>
        </w:rPr>
        <w:t xml:space="preserve">Cost:</w:t>
      </w:r>
      <w:r>
        <w:t xml:space="preserve"> </w:t>
      </w:r>
      <w:r>
        <w:t xml:space="preserve">~1 week of GPU.</w:t>
      </w:r>
      <w:r>
        <w:t xml:space="preserve"> </w:t>
      </w:r>
      <w:r>
        <w:rPr>
          <w:bCs/>
          <w:b/>
        </w:rPr>
        <w:t xml:space="preserve">Note:</w:t>
      </w:r>
      <w:r>
        <w:t xml:space="preserve"> </w:t>
      </w:r>
      <w:r>
        <w:t xml:space="preserve">keep</w:t>
      </w:r>
      <w:r>
        <w:t xml:space="preserve"> </w:t>
      </w:r>
      <w:r>
        <w:rPr>
          <w:rStyle w:val="VerbatimChar"/>
        </w:rPr>
        <w:t xml:space="preserve">aux_frac</w:t>
      </w:r>
      <w:r>
        <w:t xml:space="preserve"> </w:t>
      </w:r>
      <w:r>
        <w:t xml:space="preserve">subsampling on for the auxiliary layers so the cost stays modest; the final-layer term is never subsampled, preserving the reported-PPL semantics.</w:t>
      </w:r>
    </w:p>
    <w:bookmarkEnd w:id="34"/>
    <w:bookmarkStart w:id="35" w:name="X5ca1ac15d8cc5adbac0f31ea0dffc2be2ad0c47"/>
    <w:p>
      <w:pPr>
        <w:pStyle w:val="Heading3"/>
      </w:pPr>
      <w:r>
        <w:t xml:space="preserve">3.4 Multi-state geometric readout probe (attention-free capacity test)</w:t>
      </w:r>
    </w:p>
    <w:p>
      <w:pPr>
        <w:pStyle w:val="FirstParagraph"/>
      </w:pPr>
      <w:r>
        <w:rPr>
          <w:bCs/>
          <w:b/>
        </w:rPr>
        <w:t xml:space="preserve">What:</w:t>
      </w:r>
      <w:r>
        <w:t xml:space="preserve"> </w:t>
      </w:r>
      <w:r>
        <w:t xml:space="preserve">All five readout-side nulls tested</w:t>
      </w:r>
      <w:r>
        <w:t xml:space="preserve"> </w:t>
      </w:r>
      <w:r>
        <w:rPr>
          <w:iCs/>
          <w:i/>
        </w:rPr>
        <w:t xml:space="preserve">attention-flavored availability</w:t>
      </w:r>
      <w:r>
        <w:t xml:space="preserve"> </w:t>
      </w:r>
      <w:r>
        <w:t xml:space="preserve">— softmax routing over blocks, running accumulators, or snapshot caches. None tested raw readout</w:t>
      </w:r>
      <w:r>
        <w:t xml:space="preserve"> </w:t>
      </w:r>
      <w:r>
        <w:rPr>
          <w:bCs/>
          <w:b/>
        </w:rPr>
        <w:t xml:space="preserve">capacity</w:t>
      </w:r>
      <w:r>
        <w:t xml:space="preserve">: concatenate the prefix’s ≤ log T + 1 Fenwick block states (each carrying the deterministic, extrapolation-safe level embedding already used by the attend fold) and reduce them with a fixed learned MLP into the head state. The readout then sees d·(log T + 1) dimensions of the tree’s own states with no routing, no softmax, and no pairwise interaction of any kind — a pure test of whether the ~0.13-nat mid-band ceiling is a width-of-readout problem.</w:t>
      </w:r>
    </w:p>
    <w:p>
      <w:pPr>
        <w:pStyle w:val="BodyText"/>
      </w:pPr>
      <w:r>
        <w:rPr>
          <w:bCs/>
          <w:b/>
        </w:rPr>
        <w:t xml:space="preserve">Gate:</w:t>
      </w:r>
      <w:r>
        <w:t xml:space="preserve"> </w:t>
      </w:r>
      <w:r>
        <w:t xml:space="preserve">the uniform mid-band offset to RoPE shrinks by ≥25% at &lt;1.5 PPL in-length regression, on the decontaminated split.</w:t>
      </w:r>
      <w:r>
        <w:t xml:space="preserve"> </w:t>
      </w:r>
      <w:r>
        <w:rPr>
          <w:bCs/>
          <w:b/>
        </w:rPr>
        <w:t xml:space="preserve">Kill criterion:</w:t>
      </w:r>
      <w:r>
        <w:t xml:space="preserve"> </w:t>
      </w:r>
      <w:r>
        <w:t xml:space="preserve">null — recorded as the sixth readout-side null, which closes the readout line entirely and concentrates all capacity spending on the Tier-1 memory channel.</w:t>
      </w:r>
      <w:r>
        <w:t xml:space="preserve"> </w:t>
      </w:r>
      <w:r>
        <w:rPr>
          <w:bCs/>
          <w:b/>
        </w:rPr>
        <w:t xml:space="preserve">Cost:</w:t>
      </w:r>
      <w:r>
        <w:t xml:space="preserve"> </w:t>
      </w:r>
      <w:r>
        <w:t xml:space="preserve">days; the machinery is the attend fold minus its softmax.</w:t>
      </w:r>
      <w:r>
        <w:t xml:space="preserve"> </w:t>
      </w:r>
      <w:r>
        <w:rPr>
          <w:bCs/>
          <w:b/>
        </w:rPr>
        <w:t xml:space="preserve">Note on the attend fold itself:</w:t>
      </w:r>
      <w:r>
        <w:t xml:space="preserve"> </w:t>
      </w:r>
      <w:r>
        <w:t xml:space="preserve">it stays in the tree as a documented instrument (its speed win and its role in falsifying the bottleneck theory stand), but it does</w:t>
      </w:r>
      <w:r>
        <w:t xml:space="preserve"> </w:t>
      </w:r>
      <w:r>
        <w:rPr>
          <w:iCs/>
          <w:i/>
        </w:rPr>
        <w:t xml:space="preserve">not</w:t>
      </w:r>
      <w:r>
        <w:t xml:space="preserve"> </w:t>
      </w:r>
      <w:r>
        <w:t xml:space="preserve">become the default — its one attention round violates the no-attention invariant for the incumbent.</w:t>
      </w:r>
    </w:p>
    <w:p>
      <w:r>
        <w:pict>
          <v:rect style="width:0;height:1.5pt" o:hralign="center" o:hrstd="t" o:hr="t"/>
        </w:pict>
      </w:r>
    </w:p>
    <w:bookmarkEnd w:id="35"/>
    <w:bookmarkEnd w:id="36"/>
    <w:bookmarkStart w:id="42" w:name="tier-1-the-quality-front-weeks-412"/>
    <w:p>
      <w:pPr>
        <w:pStyle w:val="Heading2"/>
      </w:pPr>
      <w:r>
        <w:t xml:space="preserve">4. Tier 1 — The Quality Front (Weeks 4–12)</w:t>
      </w:r>
    </w:p>
    <w:bookmarkStart w:id="37" w:name="msup-v2-deeper-targets-on-tree-nodes"/>
    <w:p>
      <w:pPr>
        <w:pStyle w:val="Heading3"/>
      </w:pPr>
      <w:r>
        <w:t xml:space="preserve">4.1 msup v2: deeper targets on tree nodes</w:t>
      </w:r>
    </w:p>
    <w:p>
      <w:pPr>
        <w:pStyle w:val="FirstParagraph"/>
      </w:pPr>
      <w:r>
        <w:rPr>
          <w:bCs/>
          <w:b/>
        </w:rPr>
        <w:t xml:space="preserve">What:</w:t>
      </w:r>
      <w:r>
        <w:t xml:space="preserve"> </w:t>
      </w:r>
      <w:r>
        <w:t xml:space="preserve">Extend multi-scale supervision along the axis the MTP literature validated: instead of each internal node predicting only the</w:t>
      </w:r>
      <w:r>
        <w:t xml:space="preserve"> </w:t>
      </w:r>
      <w:r>
        <w:rPr>
          <w:iCs/>
          <w:i/>
        </w:rPr>
        <w:t xml:space="preserve">first</w:t>
      </w:r>
      <w:r>
        <w:t xml:space="preserve"> </w:t>
      </w:r>
      <w:r>
        <w:t xml:space="preserve">token after its span, predict the next k tokens (k=2 initially) through the shared head — the tree-native analogue of DeepSeek-V3’s sequential MTP, which showed auxiliary future-token prediction improves the base model and reached 85–90% acceptance on the second token at production scale</w:t>
      </w:r>
      <w:r>
        <w:t xml:space="preserve"> </w:t>
      </w:r>
      <w:fldSimple w:instr="NOTEREF _Ref_Footnote_9 \h \f">
        <w:r>
          <w:rPr>
            <w:vertAlign w:val="superscript"/>
          </w:rPr>
          <w:t>9</w:t>
        </w:r>
      </w:fldSimple>
      <w:r>
        <w:t xml:space="preserve"> </w:t>
      </w:r>
      <w:fldSimple w:instr="NOTEREF _Ref_Footnote_26 \h \f">
        <w:r>
          <w:rPr>
            <w:vertAlign w:val="superscript"/>
          </w:rPr>
          <w:t>26</w:t>
        </w:r>
      </w:fldSimple>
      <w:r>
        <w:t xml:space="preserve">. A second variant borrows from the adaptive-λ design: weight the per-node auxiliary losses</w:t>
      </w:r>
      <w:r>
        <w:t xml:space="preserve"> </w:t>
      </w:r>
      <w:r>
        <w:rPr>
          <w:iCs/>
          <w:i/>
        </w:rPr>
        <w:t xml:space="preserve">by tree level</w:t>
      </w:r>
      <w:r>
        <w:t xml:space="preserve"> </w:t>
      </w:r>
      <w:r>
        <w:t xml:space="preserve">with a learned (or scheduled) profile, on the hypothesis that mid-scale spans (phrase-length, 4–32 tokens) carry the most transferable structure.</w:t>
      </w:r>
    </w:p>
    <w:p>
      <w:pPr>
        <w:pStyle w:val="BodyText"/>
      </w:pPr>
      <w:r>
        <w:rPr>
          <w:bCs/>
          <w:b/>
        </w:rPr>
        <w:t xml:space="preserve">Gate:</w:t>
      </w:r>
      <w:r>
        <w:t xml:space="preserve"> </w:t>
      </w:r>
      <w:r>
        <w:t xml:space="preserve">msup v2 beats msup v1 by &gt;1.5 PPL at the 22M rung, same budget.</w:t>
      </w:r>
      <w:r>
        <w:t xml:space="preserve"> </w:t>
      </w:r>
      <w:r>
        <w:rPr>
          <w:bCs/>
          <w:b/>
        </w:rPr>
        <w:t xml:space="preserve">Kill criterion:</w:t>
      </w:r>
      <w:r>
        <w:t xml:space="preserve"> </w:t>
      </w:r>
      <w:r>
        <w:t xml:space="preserve">no improvement over v1 — the marginal supervision depth is exhausted; keep v1.</w:t>
      </w:r>
      <w:r>
        <w:t xml:space="preserve"> </w:t>
      </w:r>
      <w:r>
        <w:rPr>
          <w:bCs/>
          <w:b/>
        </w:rPr>
        <w:t xml:space="preserve">Cost:</w:t>
      </w:r>
      <w:r>
        <w:t xml:space="preserve"> </w:t>
      </w:r>
      <w:r>
        <w:t xml:space="preserve">~1 week implementation + runs.</w:t>
      </w:r>
      <w:r>
        <w:t xml:space="preserve"> </w:t>
      </w:r>
      <w:r>
        <w:rPr>
          <w:bCs/>
          <w:b/>
        </w:rPr>
        <w:t xml:space="preserve">Why now:</w:t>
      </w:r>
      <w:r>
        <w:t xml:space="preserve"> </w:t>
      </w:r>
      <w:r>
        <w:t xml:space="preserve">msup is the project’s only validated objective-side lever, and MTP is the externally validated generalization of exactly that lever — the intersection is the highest-confidence quality experiment on the board</w:t>
      </w:r>
      <w:r>
        <w:t xml:space="preserve"> </w:t>
      </w:r>
      <w:fldSimple w:instr="NOTEREF _Ref_Footnote_9 \h \f">
        <w:r>
          <w:rPr>
            <w:vertAlign w:val="superscript"/>
          </w:rPr>
          <w:t>9</w:t>
        </w:r>
      </w:fldSimple>
      <w:r>
        <w:t xml:space="preserve">.</w:t>
      </w:r>
    </w:p>
    <w:bookmarkEnd w:id="37"/>
    <w:bookmarkStart w:id="38" w:name="Xbabd1e4071bee6a3b2f0e42b496497dd07a6054"/>
    <w:p>
      <w:pPr>
        <w:pStyle w:val="Heading3"/>
      </w:pPr>
      <w:r>
        <w:t xml:space="preserve">4.2 Adaptive per-level fold transport (the Log-Linear leapfrog)</w:t>
      </w:r>
    </w:p>
    <w:p>
      <w:pPr>
        <w:pStyle w:val="FirstParagraph"/>
      </w:pPr>
      <w:r>
        <w:rPr>
          <w:bCs/>
          <w:b/>
        </w:rPr>
        <w:t xml:space="preserve">What:</w:t>
      </w:r>
      <w:r>
        <w:t xml:space="preserve"> </w:t>
      </w:r>
      <w:r>
        <w:t xml:space="preserve">Give the fold’s transport an input-adaptive, per-tree-level weight: for each incoming Fenwick block at tree level l, a lightweight MLP (two layers, softplus output — the exact parameterization proven in the adaptive-λ paper) produces a per-block-channel retention weight λ_l(x) ∈ (0,1) that scales the transported accumulator contribution at that level</w:t>
      </w:r>
      <w:r>
        <w:t xml:space="preserve"> </w:t>
      </w:r>
      <w:fldSimple w:instr="NOTEREF _Ref_Footnote_4 \h \f">
        <w:r>
          <w:rPr>
            <w:vertAlign w:val="superscript"/>
          </w:rPr>
          <w:t>4</w:t>
        </w:r>
      </w:fldSimple>
      <w:r>
        <w:t xml:space="preserve"> </w:t>
      </w:r>
      <w:fldSimple w:instr="NOTEREF _Ref_Footnote_20 \h \f">
        <w:r>
          <w:rPr>
            <w:vertAlign w:val="superscript"/>
          </w:rPr>
          <w:t>20</w:t>
        </w:r>
      </w:fldSimple>
      <w:r>
        <w:t xml:space="preserve">. In the left fold this is a third gate dedicated to transport; in the multi-state readout of T0.4 it becomes a per-level scalar weight inside the fixed reduction. Zero-init so flags-off is bitwise the incumbent, per the project’s standing rules.</w:t>
      </w:r>
    </w:p>
    <w:p>
      <w:pPr>
        <w:pStyle w:val="BodyText"/>
      </w:pPr>
      <w:r>
        <w:rPr>
          <w:bCs/>
          <w:b/>
        </w:rPr>
        <w:t xml:space="preserve">Gate:</w:t>
      </w:r>
      <w:r>
        <w:t xml:space="preserve"> </w:t>
      </w:r>
      <w:r>
        <w:t xml:space="preserve">pre-register on two metrics — (a) in-length PPL improvement &gt;1.5 vs the T0-rebuilt incumbent, and (b) an MQAR-style synthetic probe (kv=32, the configuration where fixed λ collapsed: 2.9% baseline vs 57.9% adaptive in the published experiment</w:t>
      </w:r>
      <w:r>
        <w:t xml:space="preserve"> </w:t>
      </w:r>
      <w:fldSimple w:instr="NOTEREF _Ref_Footnote_4 \h \f">
        <w:r>
          <w:rPr>
            <w:vertAlign w:val="superscript"/>
          </w:rPr>
          <w:t>4</w:t>
        </w:r>
      </w:fldSimple>
      <w:r>
        <w:t xml:space="preserve">) showing OPERA+adaptive-transport ≥ 5× OPERA-fixed.</w:t>
      </w:r>
      <w:r>
        <w:t xml:space="preserve"> </w:t>
      </w:r>
      <w:r>
        <w:rPr>
          <w:bCs/>
          <w:b/>
        </w:rPr>
        <w:t xml:space="preserve">Kill criterion:</w:t>
      </w:r>
      <w:r>
        <w:t xml:space="preserve"> </w:t>
      </w:r>
      <w:r>
        <w:t xml:space="preserve">null on (a) at matched budget — record as the sixth readout-side null</w:t>
      </w:r>
      <w:r>
        <w:t xml:space="preserve"> </w:t>
      </w:r>
      <w:r>
        <w:rPr>
          <w:iCs/>
          <w:i/>
        </w:rPr>
        <w:t xml:space="preserve">or</w:t>
      </w:r>
      <w:r>
        <w:t xml:space="preserve"> </w:t>
      </w:r>
      <w:r>
        <w:t xml:space="preserve">the first readout-side win; either way the falsification record grows honestly.</w:t>
      </w:r>
      <w:r>
        <w:t xml:space="preserve"> </w:t>
      </w:r>
      <w:r>
        <w:rPr>
          <w:bCs/>
          <w:b/>
        </w:rPr>
        <w:t xml:space="preserve">Cost:</w:t>
      </w:r>
      <w:r>
        <w:t xml:space="preserve"> </w:t>
      </w:r>
      <w:r>
        <w:t xml:space="preserve">~2 weeks.</w:t>
      </w:r>
      <w:r>
        <w:t xml:space="preserve"> </w:t>
      </w:r>
      <w:r>
        <w:rPr>
          <w:bCs/>
          <w:b/>
        </w:rPr>
        <w:t xml:space="preserve">Strategic note:</w:t>
      </w:r>
      <w:r>
        <w:t xml:space="preserve"> </w:t>
      </w:r>
      <w:r>
        <w:t xml:space="preserve">if this wins, OPERA leapfrogs log-linear attention on the latter’s own published weakness, on the same hierarchy, with a stronger mechanism (geometric compose vs scalar mixing) — a genuinely paper-worthy contrast</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w:t>
      </w:r>
    </w:p>
    <w:bookmarkEnd w:id="38"/>
    <w:bookmarkStart w:id="39" w:name="X9aa17bb63302a54597a3ec094234e4379bd4727"/>
    <w:p>
      <w:pPr>
        <w:pStyle w:val="Heading3"/>
      </w:pPr>
      <w:r>
        <w:t xml:space="preserve">4.3 IN2-style objective pressure on early context</w:t>
      </w:r>
    </w:p>
    <w:p>
      <w:pPr>
        <w:pStyle w:val="FirstParagraph"/>
      </w:pPr>
      <w:r>
        <w:rPr>
          <w:bCs/>
          <w:b/>
        </w:rPr>
        <w:t xml:space="preserve">What:</w:t>
      </w:r>
      <w:r>
        <w:t xml:space="preserve"> </w:t>
      </w:r>
      <w:r>
        <w:t xml:space="preserve">The interrogation probe established that early-context forgetting is learned — the objective barely pays for distant tokens — and is shared by all three architectures. Information-Intensive (IN2) training is the published, data-driven fix: synthesize training examples where the answer depends on information placed at random positions in a long context; FILM-7B, trained this way, robustly retrieved from all positions of a 32K window and improved NarrativeQA 23.5→26.9 F1 without hurting short-context performance</w:t>
      </w:r>
      <w:r>
        <w:t xml:space="preserve"> </w:t>
      </w:r>
      <w:r>
        <w:rPr>
          <w:vertAlign w:val="superscript"/>
        </w:rPr>
        <w:footnoteReference w:id="28"/>
      </w:r>
      <w:r>
        <w:t xml:space="preserve"> </w:t>
      </w:r>
      <w:r>
        <w:rPr>
          <w:vertAlign w:val="superscript"/>
        </w:rPr>
        <w:footnoteReference w:id="29"/>
      </w:r>
      <w:r>
        <w:t xml:space="preserve">. OPERA’s version needs no LLM-synthesized QA: word-level Simple Wikipedia supports a self-supervised IN2 analogue — insert rare key-value pairs (or copied spans) at controlled positions in a fraction of training documents and upweight the loss at the retrieval points, with the probe’s pp1/ppLast ratio as the tracked metric.</w:t>
      </w:r>
    </w:p>
    <w:p>
      <w:pPr>
        <w:pStyle w:val="BodyText"/>
      </w:pPr>
      <w:r>
        <w:rPr>
          <w:bCs/>
          <w:b/>
        </w:rPr>
        <w:t xml:space="preserve">Gate:</w:t>
      </w:r>
      <w:r>
        <w:t xml:space="preserve"> </w:t>
      </w:r>
      <w:r>
        <w:t xml:space="preserve">pp1/ppLast at prefix 255 improves ≥ 3× (from ~0.004 toward ~0.012+)</w:t>
      </w:r>
      <w:r>
        <w:t xml:space="preserve"> </w:t>
      </w:r>
      <w:r>
        <w:rPr>
          <w:iCs/>
          <w:i/>
        </w:rPr>
        <w:t xml:space="preserve">and</w:t>
      </w:r>
      <w:r>
        <w:t xml:space="preserve"> </w:t>
      </w:r>
      <w:r>
        <w:t xml:space="preserve">in-length PPL does not regress &gt;0.5.</w:t>
      </w:r>
      <w:r>
        <w:t xml:space="preserve"> </w:t>
      </w:r>
      <w:r>
        <w:rPr>
          <w:bCs/>
          <w:b/>
        </w:rPr>
        <w:t xml:space="preserve">Kill criterion:</w:t>
      </w:r>
      <w:r>
        <w:t xml:space="preserve"> </w:t>
      </w:r>
      <w:r>
        <w:t xml:space="preserve">sensitivity improves but PPL regresses materially — the classic availability/use trade-off; record the trade-off curve and decide by the paper’s narrative needs.</w:t>
      </w:r>
      <w:r>
        <w:t xml:space="preserve"> </w:t>
      </w:r>
      <w:r>
        <w:rPr>
          <w:bCs/>
          <w:b/>
        </w:rPr>
        <w:t xml:space="preserve">Cost:</w:t>
      </w:r>
      <w:r>
        <w:t xml:space="preserve"> </w:t>
      </w:r>
      <w:r>
        <w:t xml:space="preserve">~1 week.</w:t>
      </w:r>
      <w:r>
        <w:t xml:space="preserve"> </w:t>
      </w:r>
      <w:r>
        <w:rPr>
          <w:bCs/>
          <w:b/>
        </w:rPr>
        <w:t xml:space="preserve">Caveat from the literature:</w:t>
      </w:r>
      <w:r>
        <w:t xml:space="preserve"> </w:t>
      </w:r>
      <w:r>
        <w:t xml:space="preserve">black-box lost-in-the-middle mitigations show mixed durability across evaluation styles, so treat this as an objective-side probe of the</w:t>
      </w:r>
      <w:r>
        <w:t xml:space="preserve"> </w:t>
      </w:r>
      <w:r>
        <w:t xml:space="preserve">“</w:t>
      </w:r>
      <w:r>
        <w:t xml:space="preserve">forgetting is learned</w:t>
      </w:r>
      <w:r>
        <w:t xml:space="preserve">”</w:t>
      </w:r>
      <w:r>
        <w:t xml:space="preserve"> </w:t>
      </w:r>
      <w:r>
        <w:t xml:space="preserve">thesis — the thesis itself predicts it should work, which makes it a clean falsifiable test of OPERA’s own best finding</w:t>
      </w:r>
      <w:r>
        <w:t xml:space="preserve"> </w:t>
      </w:r>
      <w:r>
        <w:rPr>
          <w:vertAlign w:val="superscript"/>
        </w:rPr>
        <w:footnoteReference w:id="30"/>
      </w:r>
      <w:r>
        <w:t xml:space="preserve">.</w:t>
      </w:r>
    </w:p>
    <w:bookmarkEnd w:id="39"/>
    <w:bookmarkStart w:id="40" w:name="X316c932c2d0f65e31f78d00cf31a1e205cf3588"/>
    <w:p>
      <w:pPr>
        <w:pStyle w:val="Heading3"/>
      </w:pPr>
      <w:r>
        <w:t xml:space="preserve">4.4 The memory channel: content-addressable retrieval with zero attention</w:t>
      </w:r>
    </w:p>
    <w:p>
      <w:pPr>
        <w:pStyle w:val="FirstParagraph"/>
      </w:pPr>
      <w:r>
        <w:rPr>
          <w:bCs/>
          <w:b/>
        </w:rPr>
        <w:t xml:space="preserve">What:</w:t>
      </w:r>
      <w:r>
        <w:t xml:space="preserve"> </w:t>
      </w:r>
      <w:r>
        <w:t xml:space="preserve">A parallel delta-rule matrix memory alongside the fold. Per position: M_t = M_{t−1}(I − β_t k_t k_tᵀ) + β_t v_t k_tᵀ, with keys, values, and the input-dependent write-strength β projected from the token states — the error-correcting update that made DeltaNet the strongest pure-recurrent recall mechanism and underlies GDN-2 and KDA</w:t>
      </w:r>
      <w:r>
        <w:t xml:space="preserve"> </w:t>
      </w:r>
      <w:fldSimple w:instr="NOTEREF _Ref_Footnote_10 \h \f">
        <w:r>
          <w:rPr>
            <w:vertAlign w:val="superscript"/>
          </w:rPr>
          <w:t>10</w:t>
        </w:r>
      </w:fldSimple>
      <w:r>
        <w:t xml:space="preserve"> </w:t>
      </w:r>
      <w:fldSimple w:instr="NOTEREF _Ref_Footnote_2 \h \f">
        <w:r>
          <w:rPr>
            <w:vertAlign w:val="superscript"/>
          </w:rPr>
          <w:t>2</w:t>
        </w:r>
      </w:fldSimple>
      <w:r>
        <w:t xml:space="preserve">. The prefix’s fold state queries the memory by content (y_t = M_t q_t) and a learned gate mixes the retrieval into the head state. Mechanistically this is a</w:t>
      </w:r>
      <w:r>
        <w:t xml:space="preserve"> </w:t>
      </w:r>
      <w:r>
        <w:rPr>
          <w:bCs/>
          <w:b/>
        </w:rPr>
        <w:t xml:space="preserve">memory</w:t>
      </w:r>
      <w:r>
        <w:t xml:space="preserve">, in the fast-weight-programmer and associative-store lineage — writes and reads are rank-one updates and matrix-vector products, there is no token-token score matrix and no softmax anywhere, and the cost is O(T·d·d_m) with a chunked parallel form</w:t>
      </w:r>
      <w:r>
        <w:t xml:space="preserve"> </w:t>
      </w:r>
      <w:fldSimple w:instr="NOTEREF _Ref_Footnote_18 \h \f">
        <w:r>
          <w:rPr>
            <w:vertAlign w:val="superscript"/>
          </w:rPr>
          <w:t>18</w:t>
        </w:r>
      </w:fldSimple>
      <w:r>
        <w:t xml:space="preserve"> </w:t>
      </w:r>
      <w:r>
        <w:rPr>
          <w:vertAlign w:val="superscript"/>
        </w:rPr>
        <w:footnoteReference w:id="31"/>
      </w:r>
      <w:r>
        <w:t xml:space="preserve">. Keys, queries, and values can themselves be spinor blocks, so the memory inherits OPERA’s Cl(3) transport rather than sitting beside it as a flat bolt-on.</w:t>
      </w:r>
    </w:p>
    <w:p>
      <w:pPr>
        <w:pStyle w:val="BodyText"/>
      </w:pPr>
      <w:r>
        <w:rPr>
          <w:bCs/>
          <w:b/>
        </w:rPr>
        <w:t xml:space="preserve">Variant B (the incontrovertible control):</w:t>
      </w:r>
      <w:r>
        <w:t xml:space="preserve"> </w:t>
      </w:r>
      <w:r>
        <w:t xml:space="preserve">if the delta rule reads to reviewers as attention-in-disguise, run the same gate with a</w:t>
      </w:r>
      <w:r>
        <w:t xml:space="preserve"> </w:t>
      </w:r>
      <w:r>
        <w:rPr>
          <w:bCs/>
          <w:b/>
        </w:rPr>
        <w:t xml:space="preserve">product-key lookup memory</w:t>
      </w:r>
      <w:r>
        <w:t xml:space="preserve"> </w:t>
      </w:r>
      <w:r>
        <w:t xml:space="preserve">— exact nearest-neighbor retrieval over a large key-structured store, the mechanism that beat a 2×-deeper transformer at half the inference cost</w:t>
      </w:r>
      <w:r>
        <w:t xml:space="preserve"> </w:t>
      </w:r>
      <w:fldSimple w:instr="NOTEREF _Ref_Footnote_11 \h \f">
        <w:r>
          <w:rPr>
            <w:vertAlign w:val="superscript"/>
          </w:rPr>
          <w:t>11</w:t>
        </w:r>
      </w:fldSimple>
      <w:r>
        <w:t xml:space="preserve"> </w:t>
      </w:r>
      <w:r>
        <w:t xml:space="preserve">— or a</w:t>
      </w:r>
      <w:r>
        <w:t xml:space="preserve"> </w:t>
      </w:r>
      <w:r>
        <w:rPr>
          <w:bCs/>
          <w:b/>
        </w:rPr>
        <w:t xml:space="preserve">Titans-style surprise-gated memory</w:t>
      </w:r>
      <w:r>
        <w:t xml:space="preserve">, updated by gradient surprise at test time and currently the strongest non-hybrid long-context module published</w:t>
      </w:r>
      <w:r>
        <w:t xml:space="preserve"> </w:t>
      </w:r>
      <w:fldSimple w:instr="NOTEREF _Ref_Footnote_14 \h \f">
        <w:r>
          <w:rPr>
            <w:vertAlign w:val="superscript"/>
          </w:rPr>
          <w:t>14</w:t>
        </w:r>
      </w:fldSimple>
      <w:r>
        <w:t xml:space="preserve"> </w:t>
      </w:r>
      <w:r>
        <w:rPr>
          <w:vertAlign w:val="superscript"/>
        </w:rPr>
        <w:footnoteReference w:id="32"/>
      </w:r>
      <w:r>
        <w:t xml:space="preserve">. Variant B is the control arm that settles the classification dispute by construction.</w:t>
      </w:r>
    </w:p>
    <w:p>
      <w:pPr>
        <w:pStyle w:val="BodyText"/>
      </w:pPr>
      <w:r>
        <w:rPr>
          <w:bCs/>
          <w:b/>
        </w:rPr>
        <w:t xml:space="preserve">Gate:</w:t>
      </w:r>
      <w:r>
        <w:t xml:space="preserve"> </w:t>
      </w:r>
      <w:r>
        <w:t xml:space="preserve">the uniform ~0.13-nat mid-band offset to RoPE shrinks by ≥50% at matched parameters and budget, and position-curve degradation stays ≤ +0.10 nats (the memory must not forfeit the asset).</w:t>
      </w:r>
      <w:r>
        <w:t xml:space="preserve"> </w:t>
      </w:r>
      <w:r>
        <w:rPr>
          <w:bCs/>
          <w:b/>
        </w:rPr>
        <w:t xml:space="preserve">Kill criterion:</w:t>
      </w:r>
      <w:r>
        <w:t xml:space="preserve"> </w:t>
      </w:r>
      <w:r>
        <w:t xml:space="preserve">mid-band gap unchanged on both variants — the retrieval hypothesis for the ceiling is wrong and the residual gap lies elsewhere (embedding bottleneck, head capacity); that null redirects Tier-1 spending and is itself a strong paper result.</w:t>
      </w:r>
      <w:r>
        <w:t xml:space="preserve"> </w:t>
      </w:r>
      <w:r>
        <w:rPr>
          <w:bCs/>
          <w:b/>
        </w:rPr>
        <w:t xml:space="preserve">Cost:</w:t>
      </w:r>
      <w:r>
        <w:t xml:space="preserve"> </w:t>
      </w:r>
      <w:r>
        <w:t xml:space="preserve">~3 weeks.</w:t>
      </w:r>
      <w:r>
        <w:t xml:space="preserve"> </w:t>
      </w:r>
      <w:r>
        <w:rPr>
          <w:bCs/>
          <w:b/>
        </w:rPr>
        <w:t xml:space="preserve">Framing for the paper:</w:t>
      </w:r>
      <w:r>
        <w:t xml:space="preserve"> </w:t>
      </w:r>
      <w:r>
        <w:t xml:space="preserve">the arm measures whether OPERA’s missing ingredient is</w:t>
      </w:r>
      <w:r>
        <w:t xml:space="preserve"> </w:t>
      </w:r>
      <w:r>
        <w:rPr>
          <w:iCs/>
          <w:i/>
        </w:rPr>
        <w:t xml:space="preserve">retrieval</w:t>
      </w:r>
      <w:r>
        <w:t xml:space="preserve"> </w:t>
      </w:r>
      <w:r>
        <w:t xml:space="preserve">or something deeper; if retrieval, OPERA obtains it without the mechanism the project exists to replace.</w:t>
      </w:r>
    </w:p>
    <w:bookmarkEnd w:id="40"/>
    <w:bookmarkStart w:id="41" w:name="subword-tokenization-fineweb-protocol"/>
    <w:p>
      <w:pPr>
        <w:pStyle w:val="Heading3"/>
      </w:pPr>
      <w:r>
        <w:t xml:space="preserve">4.5 Subword tokenization + FineWeb protocol</w:t>
      </w:r>
    </w:p>
    <w:p>
      <w:pPr>
        <w:pStyle w:val="FirstParagraph"/>
      </w:pPr>
      <w:r>
        <w:rPr>
          <w:bCs/>
          <w:b/>
        </w:rPr>
        <w:t xml:space="preserve">What:</w:t>
      </w:r>
      <w:r>
        <w:t xml:space="preserve"> </w:t>
      </w:r>
      <w:r>
        <w:t xml:space="preserve">The word-level 10k vocabulary and its</w:t>
      </w:r>
      <w:r>
        <w:t xml:space="preserve"> </w:t>
      </w:r>
      <w:r>
        <w:rPr>
          <w:rStyle w:val="VerbatimChar"/>
        </w:rPr>
        <w:t xml:space="preserve">&lt;unk&gt;</w:t>
      </w:r>
      <w:r>
        <w:t xml:space="preserve"> </w:t>
      </w:r>
      <w:r>
        <w:t xml:space="preserve">rate flatter absolute PPL and block every literature comparison — a self-inflicted measurement ceiling the paper already flags. Migrate to a standard BPE (32k) and a FineWeb-derived training stream, at the same 22M rung and T=256, keeping Simple Wikipedia as the historical regime. This unlocks the comparisons that make people care: at 22M–350M on FineWeb, the natural baselines are the modded-nanogpt speedrun lineage and the published DeltaProduct/GDN numbers at matched scale</w:t>
      </w:r>
      <w:r>
        <w:t xml:space="preserve"> </w:t>
      </w:r>
      <w:r>
        <w:rPr>
          <w:vertAlign w:val="superscript"/>
        </w:rPr>
        <w:footnoteReference w:id="33"/>
      </w:r>
      <w:r>
        <w:t xml:space="preserve"> </w:t>
      </w:r>
      <w:fldSimple w:instr="NOTEREF _Ref_Footnote_5 \h \f">
        <w:r>
          <w:rPr>
            <w:vertAlign w:val="superscript"/>
          </w:rPr>
          <w:t>5</w:t>
        </w:r>
      </w:fldSimple>
      <w:r>
        <w:t xml:space="preserve">.</w:t>
      </w:r>
    </w:p>
    <w:p>
      <w:pPr>
        <w:pStyle w:val="BodyText"/>
      </w:pPr>
      <w:r>
        <w:rPr>
          <w:bCs/>
          <w:b/>
        </w:rPr>
        <w:t xml:space="preserve">Gate:</w:t>
      </w:r>
      <w:r>
        <w:t xml:space="preserve"> </w:t>
      </w:r>
      <w:r>
        <w:t xml:space="preserve">none (infrastructure).</w:t>
      </w:r>
      <w:r>
        <w:t xml:space="preserve"> </w:t>
      </w:r>
      <w:r>
        <w:rPr>
          <w:bCs/>
          <w:b/>
        </w:rPr>
        <w:t xml:space="preserve">Sequencing:</w:t>
      </w:r>
      <w:r>
        <w:t xml:space="preserve"> </w:t>
      </w:r>
      <w:r>
        <w:t xml:space="preserve">after T0.1–T0.3 so the new protocol debuts with the new recipe and the msup stack.</w:t>
      </w:r>
      <w:r>
        <w:t xml:space="preserve"> </w:t>
      </w:r>
      <w:r>
        <w:rPr>
          <w:bCs/>
          <w:b/>
        </w:rPr>
        <w:t xml:space="preserve">Cost:</w:t>
      </w:r>
      <w:r>
        <w:t xml:space="preserve"> </w:t>
      </w:r>
      <w:r>
        <w:t xml:space="preserve">~2 weeks, mostly data pipeline and tokenizer; every downstream claim benefits.</w:t>
      </w:r>
      <w:r>
        <w:t xml:space="preserve"> </w:t>
      </w:r>
      <w:r>
        <w:rPr>
          <w:bCs/>
          <w:b/>
        </w:rPr>
        <w:t xml:space="preserve">Governance:</w:t>
      </w:r>
      <w:r>
        <w:t xml:space="preserve"> </w:t>
      </w:r>
      <w:r>
        <w:t xml:space="preserve">keep the old protocol runnable — the falsification record and the headline position curve live on it, and reproducibility of v1 claims must remain one command away.</w:t>
      </w:r>
    </w:p>
    <w:p>
      <w:r>
        <w:pict>
          <v:rect style="width:0;height:1.5pt" o:hralign="center" o:hrstd="t" o:hr="t"/>
        </w:pict>
      </w:r>
    </w:p>
    <w:bookmarkEnd w:id="41"/>
    <w:bookmarkEnd w:id="42"/>
    <w:bookmarkStart w:id="45" w:name="tier-2-the-speed-front-weeks-39-parallel"/>
    <w:p>
      <w:pPr>
        <w:pStyle w:val="Heading2"/>
      </w:pPr>
      <w:r>
        <w:t xml:space="preserve">5. Tier 2 — The Speed Front (Weeks 3–9, parallel)</w:t>
      </w:r>
    </w:p>
    <w:bookmarkStart w:id="43" w:name="fused-triton-compose-kernel"/>
    <w:p>
      <w:pPr>
        <w:pStyle w:val="Heading3"/>
      </w:pPr>
      <w:r>
        <w:t xml:space="preserve">5.1 Fused Triton compose kernel</w:t>
      </w:r>
    </w:p>
    <w:p>
      <w:pPr>
        <w:pStyle w:val="FirstParagraph"/>
      </w:pPr>
      <w:r>
        <w:rPr>
          <w:bCs/>
          <w:b/>
        </w:rPr>
        <w:t xml:space="preserve">What:</w:t>
      </w:r>
      <w:r>
        <w:t xml:space="preserve"> </w:t>
      </w:r>
      <w:r>
        <w:t xml:space="preserve">Port the verified compose node (rotation + geometric product + gated combine, with the verified adjoint from the Metal prototype) to a single fused Triton kernel; the whole tree level is one launch, and the compacted fold already minimizes row-compositions. The scan design note’s profiling defines the target: 42k dispatches/step for the left fold, fold = 62% of forward — fusing the node collapses the per-node launch overhead, and level-batching collapses the tree’s serial levels into log T launches</w:t>
      </w:r>
      <w:r>
        <w:t xml:space="preserve"> </w:t>
      </w:r>
      <w:r>
        <w:rPr>
          <w:vertAlign w:val="superscript"/>
        </w:rPr>
        <w:footnoteReference w:id="34"/>
      </w:r>
      <w:r>
        <w:t xml:space="preserve">. The flash-linear-attention (fla) library is the reference engineering culture — Triton, chunked, platform-portable — and the DeltaProduct authors’ public repo shows Householder-product transitions getting the same treatment</w:t>
      </w:r>
      <w:r>
        <w:t xml:space="preserve"> </w:t>
      </w:r>
      <w:fldSimple w:instr="NOTEREF _Ref_Footnote_34 \h \f">
        <w:r>
          <w:rPr>
            <w:vertAlign w:val="superscript"/>
          </w:rPr>
          <w:t>34</w:t>
        </w:r>
      </w:fldSimple>
      <w:r>
        <w:t xml:space="preserve"> </w:t>
      </w:r>
      <w:r>
        <w:rPr>
          <w:vertAlign w:val="superscript"/>
        </w:rPr>
        <w:footnoteReference w:id="35"/>
      </w:r>
      <w:r>
        <w:t xml:space="preserve">.</w:t>
      </w:r>
    </w:p>
    <w:p>
      <w:pPr>
        <w:pStyle w:val="BodyText"/>
      </w:pPr>
      <w:r>
        <w:rPr>
          <w:bCs/>
          <w:b/>
        </w:rPr>
        <w:t xml:space="preserve">Gate:</w:t>
      </w:r>
      <w:r>
        <w:t xml:space="preserve"> </w:t>
      </w:r>
      <w:r>
        <w:t xml:space="preserve">≥2× step-time improvement at T=256, L=4 with bitwise-equivalent gradients (the selftest suite already contains the reference backward).</w:t>
      </w:r>
      <w:r>
        <w:t xml:space="preserve"> </w:t>
      </w:r>
      <w:r>
        <w:rPr>
          <w:bCs/>
          <w:b/>
        </w:rPr>
        <w:t xml:space="preserve">Kill criterion:</w:t>
      </w:r>
      <w:r>
        <w:t xml:space="preserve"> </w:t>
      </w:r>
      <w:r>
        <w:t xml:space="preserve">&lt;1.3× after reasonable effort — the gap is memory-bandwidth, not launches; pivot to the scan arm (already at 0.57× dispatches at quality parity) as the production path and keep the tree as the research instrument.</w:t>
      </w:r>
      <w:r>
        <w:t xml:space="preserve"> </w:t>
      </w:r>
      <w:r>
        <w:rPr>
          <w:bCs/>
          <w:b/>
        </w:rPr>
        <w:t xml:space="preserve">Cost:</w:t>
      </w:r>
      <w:r>
        <w:t xml:space="preserve"> </w:t>
      </w:r>
      <w:r>
        <w:t xml:space="preserve">4–6 weeks of kernel work; this is the program’s critical path because the crossover study, the scaling ladder, and any benchmark credibility all depend on it.</w:t>
      </w:r>
    </w:p>
    <w:bookmarkEnd w:id="43"/>
    <w:bookmarkStart w:id="44" w:name="the-crossover-timing-study"/>
    <w:p>
      <w:pPr>
        <w:pStyle w:val="Heading3"/>
      </w:pPr>
      <w:r>
        <w:t xml:space="preserve">5.2 The crossover timing study</w:t>
      </w:r>
    </w:p>
    <w:p>
      <w:pPr>
        <w:pStyle w:val="FirstParagraph"/>
      </w:pPr>
      <w:r>
        <w:rPr>
          <w:bCs/>
          <w:b/>
        </w:rPr>
        <w:t xml:space="preserve">What:</w:t>
      </w:r>
      <w:r>
        <w:t xml:space="preserve"> </w:t>
      </w:r>
      <w:r>
        <w:t xml:space="preserve">The paper’s [TODO]: measured wall-clock cost curves for OPERA vs transformer at T ∈ {512, 1024, 2048, 4096, 8192}, same GPU, reporting s/step and tokens/s. With 20–40× fewer FLOPs at T=256 and O(T log T) vs O(T²), a crossover exists; its location is currently unknown and is one of the paper’s three outstanding numbers.</w:t>
      </w:r>
    </w:p>
    <w:p>
      <w:pPr>
        <w:pStyle w:val="BodyText"/>
      </w:pPr>
      <w:r>
        <w:rPr>
          <w:bCs/>
          <w:b/>
        </w:rPr>
        <w:t xml:space="preserve">Gate:</w:t>
      </w:r>
      <w:r>
        <w:t xml:space="preserve"> </w:t>
      </w:r>
      <w:r>
        <w:t xml:space="preserve">none (measurement).</w:t>
      </w:r>
      <w:r>
        <w:t xml:space="preserve"> </w:t>
      </w:r>
      <w:r>
        <w:rPr>
          <w:bCs/>
          <w:b/>
        </w:rPr>
        <w:t xml:space="preserve">Dependencies:</w:t>
      </w:r>
      <w:r>
        <w:t xml:space="preserve"> </w:t>
      </w:r>
      <w:r>
        <w:t xml:space="preserve">meaningful only after T2.1 lands (measuring the un-fused model measures kernel immaturity, not architecture — the paper says this itself).</w:t>
      </w:r>
      <w:r>
        <w:t xml:space="preserve"> </w:t>
      </w:r>
      <w:r>
        <w:rPr>
          <w:bCs/>
          <w:b/>
        </w:rPr>
        <w:t xml:space="preserve">Output:</w:t>
      </w:r>
      <w:r>
        <w:t xml:space="preserve"> </w:t>
      </w:r>
      <w:r>
        <w:t xml:space="preserve">a single figure that either becomes the paper’s efficiency centerpiece or an honest bound on how much kernel work remains; either way the [TODO] closes.</w:t>
      </w:r>
    </w:p>
    <w:p>
      <w:r>
        <w:pict>
          <v:rect style="width:0;height:1.5pt" o:hralign="center" o:hrstd="t" o:hr="t"/>
        </w:pict>
      </w:r>
    </w:p>
    <w:bookmarkEnd w:id="44"/>
    <w:bookmarkEnd w:id="45"/>
    <w:bookmarkStart w:id="48" w:name="tier-3-the-scale-front-weeks-1016"/>
    <w:p>
      <w:pPr>
        <w:pStyle w:val="Heading2"/>
      </w:pPr>
      <w:r>
        <w:t xml:space="preserve">6. Tier 3 — The Scale Front (Weeks 10–16)</w:t>
      </w:r>
    </w:p>
    <w:bookmarkStart w:id="46" w:name="the-µp-scaling-ladder-22m-100m-350m"/>
    <w:p>
      <w:pPr>
        <w:pStyle w:val="Heading3"/>
      </w:pPr>
      <w:r>
        <w:t xml:space="preserve">6.1 The µP scaling ladder: 22M → 100M → 350M</w:t>
      </w:r>
    </w:p>
    <w:p>
      <w:pPr>
        <w:pStyle w:val="FirstParagraph"/>
      </w:pPr>
      <w:r>
        <w:rPr>
          <w:bCs/>
          <w:b/>
        </w:rPr>
        <w:t xml:space="preserve">What:</w:t>
      </w:r>
      <w:r>
        <w:t xml:space="preserve"> </w:t>
      </w:r>
      <w:r>
        <w:t xml:space="preserve">Three rungs, depth-first with tied embeddings per the draft’s future work, hyperparameters transferred via µP from toy-scale sweeps rather than re-tuned per rung</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 The 350M rung matters disproportionately: it is where the published linear-attention bake-off lives (15B tokens, KDA/GDN/GDN-2/DeltaNet numbers available under one protocol</w:t>
      </w:r>
      <w:r>
        <w:t xml:space="preserve"> </w:t>
      </w:r>
      <w:fldSimple w:instr="NOTEREF _Ref_Footnote_16 \h \f">
        <w:r>
          <w:rPr>
            <w:vertAlign w:val="superscript"/>
          </w:rPr>
          <w:t>16</w:t>
        </w:r>
      </w:fldSimple>
      <w:r>
        <w:t xml:space="preserve">) and where DeltaProduct published FineWeb scaling curves</w:t>
      </w:r>
      <w:r>
        <w:t xml:space="preserve"> </w:t>
      </w:r>
      <w:fldSimple w:instr="NOTEREF _Ref_Footnote_5 \h \f">
        <w:r>
          <w:rPr>
            <w:vertAlign w:val="superscript"/>
          </w:rPr>
          <w:t>5</w:t>
        </w:r>
      </w:fldSimple>
      <w:r>
        <w:t xml:space="preserve"> </w:t>
      </w:r>
      <w:r>
        <w:t xml:space="preserve">— OPERA at 350M on FineWeb with subword tokens enters an existing, well-populated comparison table instead of a vacuum.</w:t>
      </w:r>
    </w:p>
    <w:p>
      <w:pPr>
        <w:pStyle w:val="BodyText"/>
      </w:pPr>
      <w:r>
        <w:rPr>
          <w:bCs/>
          <w:b/>
        </w:rPr>
        <w:t xml:space="preserve">Gate:</w:t>
      </w:r>
      <w:r>
        <w:t xml:space="preserve"> </w:t>
      </w:r>
      <w:r>
        <w:t xml:space="preserve">OPERA’s PPL-vs-params slope between 22M and 100M is no worse than the NoPE transformer’s matched slope (scaling is not breaking the architecture); the 350M rung exists mainly to populate the external comparison.</w:t>
      </w:r>
      <w:r>
        <w:t xml:space="preserve"> </w:t>
      </w:r>
      <w:r>
        <w:rPr>
          <w:bCs/>
          <w:b/>
        </w:rPr>
        <w:t xml:space="preserve">Kill criterion:</w:t>
      </w:r>
      <w:r>
        <w:t xml:space="preserve"> </w:t>
      </w:r>
      <w:r>
        <w:t xml:space="preserve">the gap to the matched transformer</w:t>
      </w:r>
      <w:r>
        <w:t xml:space="preserve"> </w:t>
      </w:r>
      <w:r>
        <w:rPr>
          <w:iCs/>
          <w:i/>
        </w:rPr>
        <w:t xml:space="preserve">widens</w:t>
      </w:r>
      <w:r>
        <w:t xml:space="preserve"> </w:t>
      </w:r>
      <w:r>
        <w:t xml:space="preserve">with scale — the most valuable negative result the program could produce, since it bounds the mechanism’s regime and redirects the program to the hybrid line with evidence.</w:t>
      </w:r>
      <w:r>
        <w:t xml:space="preserve"> </w:t>
      </w:r>
      <w:r>
        <w:rPr>
          <w:bCs/>
          <w:b/>
        </w:rPr>
        <w:t xml:space="preserve">Cost:</w:t>
      </w:r>
      <w:r>
        <w:t xml:space="preserve"> </w:t>
      </w:r>
      <w:r>
        <w:t xml:space="preserve">dominated by GPU; µP keeps it to ~3 tuned sweeps at toy scale plus transfer.</w:t>
      </w:r>
    </w:p>
    <w:bookmarkEnd w:id="46"/>
    <w:bookmarkStart w:id="47" w:name="X8d8f677e3f23921cb3bc68f43bc56332edad9a6"/>
    <w:p>
      <w:pPr>
        <w:pStyle w:val="Heading3"/>
      </w:pPr>
      <w:r>
        <w:t xml:space="preserve">6.2 Benchmark suite: MQAR, state tracking, position curves</w:t>
      </w:r>
    </w:p>
    <w:p>
      <w:pPr>
        <w:pStyle w:val="FirstParagraph"/>
      </w:pPr>
      <w:r>
        <w:rPr>
          <w:bCs/>
          <w:b/>
        </w:rPr>
        <w:t xml:space="preserve">What:</w:t>
      </w:r>
      <w:r>
        <w:t xml:space="preserve"> </w:t>
      </w:r>
      <w:r>
        <w:t xml:space="preserve">Formalize three evaluation tracks into the shipped selftest/eval harness. (a)</w:t>
      </w:r>
      <w:r>
        <w:t xml:space="preserve"> </w:t>
      </w:r>
      <w:r>
        <w:rPr>
          <w:bCs/>
          <w:b/>
        </w:rPr>
        <w:t xml:space="preserve">MQAR</w:t>
      </w:r>
      <w:r>
        <w:t xml:space="preserve"> </w:t>
      </w:r>
      <w:r>
        <w:t xml:space="preserve">at the Zoology/adaptive-λ configurations (kv ∈ {4, 8, 16, 32}, seq 1024), the field-standard retrieval probe and the direct evidence base for T1.2’s gate</w:t>
      </w:r>
      <w:r>
        <w:t xml:space="preserve"> </w:t>
      </w:r>
      <w:fldSimple w:instr="NOTEREF _Ref_Footnote_12 \h \f">
        <w:r>
          <w:rPr>
            <w:vertAlign w:val="superscript"/>
          </w:rPr>
          <w:t>12</w:t>
        </w:r>
      </w:fldSimple>
      <w:r>
        <w:t xml:space="preserve"> </w:t>
      </w:r>
      <w:fldSimple w:instr="NOTEREF _Ref_Footnote_4 \h \f">
        <w:r>
          <w:rPr>
            <w:vertAlign w:val="superscript"/>
          </w:rPr>
          <w:t>4</w:t>
        </w:r>
      </w:fldSimple>
      <w:r>
        <w:t xml:space="preserve"> </w:t>
      </w:r>
      <w:fldSimple w:instr="NOTEREF _Ref_Footnote_13 \h \f">
        <w:r>
          <w:rPr>
            <w:vertAlign w:val="superscript"/>
          </w:rPr>
          <w:t>13</w:t>
        </w:r>
      </w:fldSimple>
      <w:r>
        <w:t xml:space="preserve">. (b)</w:t>
      </w:r>
      <w:r>
        <w:t xml:space="preserve"> </w:t>
      </w:r>
      <w:r>
        <w:rPr>
          <w:bCs/>
          <w:b/>
        </w:rPr>
        <w:t xml:space="preserve">State tracking</w:t>
      </w:r>
      <w:r>
        <w:t xml:space="preserve">: permutation-group word problems (S3–S5, A5) and modular arithmetic with/without brackets, trained at 128, tested to 512 — the DeltaProduct protocol, run on both</w:t>
      </w:r>
      <w:r>
        <w:t xml:space="preserve"> </w:t>
      </w:r>
      <w:r>
        <w:rPr>
          <w:rStyle w:val="VerbatimChar"/>
        </w:rPr>
        <w:t xml:space="preserve">rot_mode</w:t>
      </w:r>
      <w:r>
        <w:t xml:space="preserve"> </w:t>
      </w:r>
      <w:r>
        <w:t xml:space="preserve">arms; this is where the SO(3) transport may finally show measurable value (Section 2.3)</w:t>
      </w:r>
      <w:r>
        <w:t xml:space="preserve"> </w:t>
      </w:r>
      <w:fldSimple w:instr="NOTEREF _Ref_Footnote_5 \h \f">
        <w:r>
          <w:rPr>
            <w:vertAlign w:val="superscript"/>
          </w:rPr>
          <w:t>5</w:t>
        </w:r>
      </w:fldSimple>
      <w:r>
        <w:t xml:space="preserve">. (c) The</w:t>
      </w:r>
      <w:r>
        <w:t xml:space="preserve"> </w:t>
      </w:r>
      <w:r>
        <w:rPr>
          <w:bCs/>
          <w:b/>
        </w:rPr>
        <w:t xml:space="preserve">position curve</w:t>
      </w:r>
      <w:r>
        <w:t xml:space="preserve"> </w:t>
      </w:r>
      <w:r>
        <w:t xml:space="preserve">and interrogation probe, unchanged — continuity with the v1 record.</w:t>
      </w:r>
    </w:p>
    <w:p>
      <w:pPr>
        <w:pStyle w:val="BodyText"/>
      </w:pPr>
      <w:r>
        <w:rPr>
          <w:bCs/>
          <w:b/>
        </w:rPr>
        <w:t xml:space="preserve">Gate:</w:t>
      </w:r>
      <w:r>
        <w:t xml:space="preserve"> </w:t>
      </w:r>
      <w:r>
        <w:t xml:space="preserve">none (infrastructure).</w:t>
      </w:r>
      <w:r>
        <w:t xml:space="preserve"> </w:t>
      </w:r>
      <w:r>
        <w:rPr>
          <w:bCs/>
          <w:b/>
        </w:rPr>
        <w:t xml:space="preserve">Cost:</w:t>
      </w:r>
      <w:r>
        <w:t xml:space="preserve"> </w:t>
      </w:r>
      <w:r>
        <w:t xml:space="preserve">~1 week; all three tasks are tiny.</w:t>
      </w:r>
      <w:r>
        <w:t xml:space="preserve"> </w:t>
      </w:r>
      <w:r>
        <w:rPr>
          <w:bCs/>
          <w:b/>
        </w:rPr>
        <w:t xml:space="preserve">Why it matters:</w:t>
      </w:r>
      <w:r>
        <w:t xml:space="preserve"> </w:t>
      </w:r>
      <w:r>
        <w:t xml:space="preserve">these three tracks turn OPERA’s evaluation from a single-corpus PPL table into a</w:t>
      </w:r>
      <w:r>
        <w:t xml:space="preserve"> </w:t>
      </w:r>
      <w:r>
        <w:rPr>
          <w:iCs/>
          <w:i/>
        </w:rPr>
        <w:t xml:space="preserve">capability map</w:t>
      </w:r>
      <w:r>
        <w:t xml:space="preserve"> </w:t>
      </w:r>
      <w:r>
        <w:t xml:space="preserve">— retrieval, dynamics, positional robustness — which is how the 2026 literature presents every serious sub-quadratic model</w:t>
      </w:r>
      <w:r>
        <w:t xml:space="preserve"> </w:t>
      </w:r>
      <w:fldSimple w:instr="NOTEREF _Ref_Footnote_12 \h \f">
        <w:r>
          <w:rPr>
            <w:vertAlign w:val="superscript"/>
          </w:rPr>
          <w:t>12</w:t>
        </w:r>
      </w:fldSimple>
      <w:r>
        <w:t xml:space="preserve"> </w:t>
      </w:r>
      <w:fldSimple w:instr="NOTEREF _Ref_Footnote_5 \h \f">
        <w:r>
          <w:rPr>
            <w:vertAlign w:val="superscript"/>
          </w:rPr>
          <w:t>5</w:t>
        </w:r>
      </w:fldSimple>
      <w:r>
        <w:t xml:space="preserve">.</w:t>
      </w:r>
    </w:p>
    <w:p>
      <w:r>
        <w:pict>
          <v:rect style="width:0;height:1.5pt" o:hralign="center" o:hrstd="t" o:hr="t"/>
        </w:pict>
      </w:r>
    </w:p>
    <w:bookmarkEnd w:id="47"/>
    <w:bookmarkEnd w:id="48"/>
    <w:bookmarkStart w:id="52" w:name="tier-4-positioning-and-theory-continuous"/>
    <w:p>
      <w:pPr>
        <w:pStyle w:val="Heading2"/>
      </w:pPr>
      <w:r>
        <w:t xml:space="preserve">7. Tier 4 — Positioning and Theory (Continuous)</w:t>
      </w:r>
    </w:p>
    <w:bookmarkStart w:id="49" w:name="Xaa796b148b27841c749f462c3a4fc55d8a0315b"/>
    <w:p>
      <w:pPr>
        <w:pStyle w:val="Heading3"/>
      </w:pPr>
      <w:r>
        <w:t xml:space="preserve">7.1 Differentiating from Log-Linear Attention, in writing</w:t>
      </w:r>
    </w:p>
    <w:p>
      <w:pPr>
        <w:pStyle w:val="FirstParagraph"/>
      </w:pPr>
      <w:r>
        <w:t xml:space="preserve">The paper’s related work must now engage log-linear attention directly: same Fenwick decomposition, different algebra (scalar-weighted memory mixing vs geometric non-associative composition), different position story (a memory layout vs</w:t>
      </w:r>
      <w:r>
        <w:t xml:space="preserve"> </w:t>
      </w:r>
      <w:r>
        <w:t xml:space="preserve">“</w:t>
      </w:r>
      <w:r>
        <w:t xml:space="preserve">position is structure</w:t>
      </w:r>
      <w:r>
        <w:t xml:space="preserve">”</w:t>
      </w:r>
      <w:r>
        <w:t xml:space="preserve">), different cost envelope (O(log T) decode memory vs O(d) — log-linear attention’s decode advantage is real and should be conceded cleanly)</w:t>
      </w:r>
      <w:r>
        <w:t xml:space="preserve"> </w:t>
      </w:r>
      <w:fldSimple w:instr="NOTEREF _Ref_Footnote_3 \h \f">
        <w:r>
          <w:rPr>
            <w:vertAlign w:val="superscript"/>
          </w:rPr>
          <w:t>3</w:t>
        </w:r>
      </w:fldSimple>
      <w:r>
        <w:t xml:space="preserve">. The strongest differentiation is experimental, not rhetorical: T1.2 (adaptive transport) run</w:t>
      </w:r>
      <w:r>
        <w:t xml:space="preserve"> </w:t>
      </w:r>
      <w:r>
        <w:rPr>
          <w:iCs/>
          <w:i/>
        </w:rPr>
        <w:t xml:space="preserve">on both</w:t>
      </w:r>
      <w:r>
        <w:t xml:space="preserve"> </w:t>
      </w:r>
      <w:r>
        <w:t xml:space="preserve">hierarchies would be the cleanest head-to-head the sub-quadratic field has — same decomposition, same objective, different compose law. If OPERA’s geometric compose wins under that protocol,</w:t>
      </w:r>
      <w:r>
        <w:t xml:space="preserve"> </w:t>
      </w:r>
      <w:r>
        <w:t xml:space="preserve">“</w:t>
      </w:r>
      <w:r>
        <w:t xml:space="preserve">position is structure</w:t>
      </w:r>
      <w:r>
        <w:t xml:space="preserve">”</w:t>
      </w:r>
      <w:r>
        <w:t xml:space="preserve"> </w:t>
      </w:r>
      <w:r>
        <w:t xml:space="preserve">stops being a framing and becomes a measured property of the composition law.</w:t>
      </w:r>
    </w:p>
    <w:p>
      <w:pPr>
        <w:pStyle w:val="BodyText"/>
      </w:pPr>
      <w:r>
        <w:t xml:space="preserve">A second positioning thread: OPERA is, to current knowledge, the only LM whose states live in the even subalgebra of Cl(3) — quaternion spinor blocks with the cross product as the commutator — while the geometric-algebra architecture literature (CliffordNet in vision, GCANs, Clifford layers for PDEs) is producing results in adjacent modalities</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 A short</w:t>
      </w:r>
      <w:r>
        <w:t xml:space="preserve"> </w:t>
      </w:r>
      <w:r>
        <w:t xml:space="preserve">“</w:t>
      </w:r>
      <w:r>
        <w:t xml:space="preserve">geometric algebra as sequence-model substrate</w:t>
      </w:r>
      <w:r>
        <w:t xml:space="preserve">”</w:t>
      </w:r>
      <w:r>
        <w:t xml:space="preserve"> </w:t>
      </w:r>
      <w:r>
        <w:t xml:space="preserve">discussion section connects OPERA to a rising tide and correctly claims the language-model beachhead.</w:t>
      </w:r>
    </w:p>
    <w:bookmarkEnd w:id="49"/>
    <w:bookmarkStart w:id="50" w:name="the-so3-state-tracking-angle"/>
    <w:p>
      <w:pPr>
        <w:pStyle w:val="Heading3"/>
      </w:pPr>
      <w:r>
        <w:t xml:space="preserve">7.2 The SO(3) state-tracking angle</w:t>
      </w:r>
    </w:p>
    <w:p>
      <w:pPr>
        <w:pStyle w:val="FirstParagraph"/>
      </w:pPr>
      <w:r>
        <w:t xml:space="preserve">The retired rotation constraint deserves one more experiment — not as an LM arm (the pre-registration stands, the constraint stays retired for PPL) but as a</w:t>
      </w:r>
      <w:r>
        <w:t xml:space="preserve"> </w:t>
      </w:r>
      <w:r>
        <w:rPr>
          <w:iCs/>
          <w:i/>
        </w:rPr>
        <w:t xml:space="preserve">capability probe</w:t>
      </w:r>
      <w:r>
        <w:t xml:space="preserve">:</w:t>
      </w:r>
      <w:r>
        <w:t xml:space="preserve"> </w:t>
      </w:r>
      <w:r>
        <w:rPr>
          <w:rStyle w:val="VerbatimChar"/>
        </w:rPr>
        <w:t xml:space="preserve">rot_mode='so3'</w:t>
      </w:r>
      <w:r>
        <w:t xml:space="preserve"> </w:t>
      </w:r>
      <w:r>
        <w:t xml:space="preserve">vs</w:t>
      </w:r>
      <w:r>
        <w:t xml:space="preserve"> </w:t>
      </w:r>
      <w:r>
        <w:rPr>
          <w:rStyle w:val="VerbatimChar"/>
        </w:rPr>
        <w:t xml:space="preserve">'free'</w:t>
      </w:r>
      <w:r>
        <w:t xml:space="preserve"> </w:t>
      </w:r>
      <w:r>
        <w:t xml:space="preserve">on the state-tracking suite of Section 6.2, where the published theory predicts rotation-structured transitions should help (negative eigenvalues necessary; Householder products improving exactly these tasks</w:t>
      </w:r>
      <w:r>
        <w:t xml:space="preserve"> </w:t>
      </w:r>
      <w:fldSimple w:instr="NOTEREF _Ref_Footnote_5 \h \f">
        <w:r>
          <w:rPr>
            <w:vertAlign w:val="superscript"/>
          </w:rPr>
          <w:t>5</w:t>
        </w:r>
      </w:fldSimple>
      <w:r>
        <w:t xml:space="preserve">). A win here converts the falsification record into a regime map: SO(3) nulled for perplexity (twice, pre-registered), positive for state tracking — a more interesting and more honest scientific object than either alone, and it costs two tiny runs.</w:t>
      </w:r>
    </w:p>
    <w:p>
      <w:pPr>
        <w:pStyle w:val="BodyText"/>
      </w:pPr>
      <w:r>
        <w:t xml:space="preserve">The companion disclosure work is already drafted in the scan design note (TC0 bounds, retrieval limits, the</w:t>
      </w:r>
      <w:r>
        <w:t xml:space="preserve"> </w:t>
      </w:r>
      <w:r>
        <w:t xml:space="preserve">“</w:t>
      </w:r>
      <w:r>
        <w:t xml:space="preserve">no associative recall without a retrieval path</w:t>
      </w:r>
      <w:r>
        <w:t xml:space="preserve">”</w:t>
      </w:r>
      <w:r>
        <w:t xml:space="preserve"> </w:t>
      </w:r>
      <w:r>
        <w:t xml:space="preserve">caveat) — fold it into the paper’s limitations section as the theory paragraph, citing the state-tracking and illusion-of-state literature so the paper’s claims are automatically scoped to the regime where OPERA’s evidence lives</w:t>
      </w:r>
      <w:r>
        <w:t xml:space="preserve"> </w:t>
      </w:r>
      <w:fldSimple w:instr="NOTEREF _Ref_Footnote_5 \h \f">
        <w:r>
          <w:rPr>
            <w:vertAlign w:val="superscript"/>
          </w:rPr>
          <w:t>5</w:t>
        </w:r>
      </w:fldSimple>
      <w:r>
        <w:t xml:space="preserve"> </w:t>
      </w:r>
      <w:fldSimple w:instr="NOTEREF _Ref_Footnote_12 \h \f">
        <w:r>
          <w:rPr>
            <w:vertAlign w:val="superscript"/>
          </w:rPr>
          <w:t>12</w:t>
        </w:r>
      </w:fldSimple>
      <w:r>
        <w:t xml:space="preserve">.</w:t>
      </w:r>
    </w:p>
    <w:bookmarkEnd w:id="50"/>
    <w:bookmarkStart w:id="51" w:name="on-refusing-attention"/>
    <w:p>
      <w:pPr>
        <w:pStyle w:val="Heading3"/>
      </w:pPr>
      <w:r>
        <w:t xml:space="preserve">7.3 On refusing attention</w:t>
      </w:r>
    </w:p>
    <w:p>
      <w:pPr>
        <w:pStyle w:val="FirstParagraph"/>
      </w:pPr>
      <w:r>
        <w:t xml:space="preserve">The fixed-state recall results (Zoology; Wen et al.) bound any</w:t>
      </w:r>
      <w:r>
        <w:t xml:space="preserve"> </w:t>
      </w:r>
      <w:r>
        <w:rPr>
          <w:iCs/>
          <w:i/>
        </w:rPr>
        <w:t xml:space="preserve">fixed-size</w:t>
      </w:r>
      <w:r>
        <w:t xml:space="preserve"> </w:t>
      </w:r>
      <w:r>
        <w:t xml:space="preserve">state — they say nothing about which mechanism escapes the bound</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The literature offers three escape hatches: (a) attention, which this project rejects by constitution; (b) content-addressable memory — delta-rule writes, product-key lookup, surprise-gated neural stores</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w:t>
      </w:r>
      <w:fldSimple w:instr="NOTEREF _Ref_Footnote_14 \h \f">
        <w:r>
          <w:rPr>
            <w:vertAlign w:val="superscript"/>
          </w:rPr>
          <w:t>14</w:t>
        </w:r>
      </w:fldSimple>
      <w:r>
        <w:t xml:space="preserve">; (c) simply larger states. OPERA is positioned to be the cleanest existing test of (b), because its geometry gives memory a natural substrate — keys, queries, and values as spinor blocks transported by the same Cl(3) structure as everything else, rather than a flat foreign module. The honest counterweight must also be written: the field’s empirical consensus says hybrid attention ratios win on cost-adjusted quality</w:t>
      </w:r>
      <w:r>
        <w:t xml:space="preserve"> </w:t>
      </w:r>
      <w:fldSimple w:instr="NOTEREF _Ref_Footnote_15 \h \f">
        <w:r>
          <w:rPr>
            <w:vertAlign w:val="superscript"/>
          </w:rPr>
          <w:t>15</w:t>
        </w:r>
      </w:fldSimple>
      <w:r>
        <w:t xml:space="preserve"> </w:t>
      </w:r>
      <w:fldSimple w:instr="NOTEREF _Ref_Footnote_1 \h \f">
        <w:r>
          <w:rPr>
            <w:vertAlign w:val="superscript"/>
          </w:rPr>
          <w:t>1</w:t>
        </w:r>
      </w:fldSimple>
      <w:r>
        <w:t xml:space="preserve">, and if that consensus is right, OPERA’s contribution becomes the precise, pre-registered measurement of</w:t>
      </w:r>
      <w:r>
        <w:t xml:space="preserve"> </w:t>
      </w:r>
      <w:r>
        <w:rPr>
          <w:iCs/>
          <w:i/>
        </w:rPr>
        <w:t xml:space="preserve">what refusing attention costs</w:t>
      </w:r>
      <w:r>
        <w:t xml:space="preserve"> </w:t>
      </w:r>
      <w:r>
        <w:t xml:space="preserve">— a number the sub-quadratic field currently does not have and cannot produce as cleanly from any hybrid architecture. Either outcome is a publishable end-state; only one of them requires attention.</w:t>
      </w:r>
    </w:p>
    <w:p>
      <w:r>
        <w:pict>
          <v:rect style="width:0;height:1.5pt" o:hralign="center" o:hrstd="t" o:hr="t"/>
        </w:pict>
      </w:r>
    </w:p>
    <w:bookmarkEnd w:id="51"/>
    <w:bookmarkEnd w:id="52"/>
    <w:bookmarkStart w:id="62" w:name="prioritization-and-schedule"/>
    <w:p>
      <w:pPr>
        <w:pStyle w:val="Heading2"/>
      </w:pPr>
      <w:r>
        <w:t xml:space="preserve">8. Prioritization and Schedule</w:t>
      </w:r>
    </w:p>
    <w:bookmarkStart w:id="56" w:name="the-priority-matrix"/>
    <w:p>
      <w:pPr>
        <w:pStyle w:val="Heading3"/>
      </w:pPr>
      <w:r>
        <w:t xml:space="preserve">8.1 The priority matrix</w:t>
      </w:r>
    </w:p>
    <w:p>
      <w:pPr>
        <w:pStyle w:val="FirstParagraph"/>
      </w:pPr>
      <w:r>
        <w:t xml:space="preserve">Figure 2 plots every proposed experiment by expected impact against cost, with bubble size encoding the strength of external evidence (published result at scale &gt; controlled small-scale study &gt; analogy). The pattern is stark: the entire upper-left quadrant (high impact, low cost) is recipe and measurement work — Muon+µP, decontamination + seeds, msup+curriculum at 22M, the attend-fold default — while the two biggest bets (µP ladder, memory channel) sit right where the field’s evidence says big bets should sit: scale and retrieval.</w:t>
      </w:r>
    </w:p>
    <w:p>
      <w:pPr>
        <w:pStyle w:val="CaptionedFigure"/>
      </w:pPr>
      <w:r>
        <w:drawing>
          <wp:inline>
            <wp:extent cx="5334000" cy="3647302"/>
            <wp:effectExtent b="0" l="0" r="0" t="0"/>
            <wp:docPr descr="Priority matrix" title="" id="54" name="Picture"/>
            <a:graphic>
              <a:graphicData uri="http://schemas.openxmlformats.org/drawingml/2006/picture">
                <pic:pic>
                  <pic:nvPicPr>
                    <pic:cNvPr descr="opera_roadmap_assets/fig2_priority_matrix.png" id="55" name="Picture"/>
                    <pic:cNvPicPr>
                      <a:picLocks noChangeArrowheads="1" noChangeAspect="1"/>
                    </pic:cNvPicPr>
                  </pic:nvPicPr>
                  <pic:blipFill>
                    <a:blip r:embed="rId53"/>
                    <a:stretch>
                      <a:fillRect/>
                    </a:stretch>
                  </pic:blipFill>
                  <pic:spPr bwMode="auto">
                    <a:xfrm>
                      <a:off x="0" y="0"/>
                      <a:ext cx="5334000" cy="3647302"/>
                    </a:xfrm>
                    <a:prstGeom prst="rect">
                      <a:avLst/>
                    </a:prstGeom>
                    <a:noFill/>
                    <a:ln w="9525">
                      <a:noFill/>
                      <a:headEnd/>
                      <a:tailEnd/>
                    </a:ln>
                  </pic:spPr>
                </pic:pic>
              </a:graphicData>
            </a:graphic>
          </wp:inline>
        </w:drawing>
      </w:r>
    </w:p>
    <w:p>
      <w:pPr>
        <w:pStyle w:val="ImageCaption"/>
      </w:pPr>
      <w:r>
        <w:t xml:space="preserve">Priority matrix</w:t>
      </w:r>
    </w:p>
    <w:p>
      <w:pPr>
        <w:pStyle w:val="BodyText"/>
      </w:pPr>
      <w:r>
        <w:t xml:space="preserve">Two reads worth stating. First, the backlog is</w:t>
      </w:r>
      <w:r>
        <w:t xml:space="preserve"> </w:t>
      </w:r>
      <w:r>
        <w:rPr>
          <w:iCs/>
          <w:i/>
        </w:rPr>
        <w:t xml:space="preserve">evidence-sorted, not novelty-sorted</w:t>
      </w:r>
      <w:r>
        <w:t xml:space="preserve">: the highest-impact cheap items are all imports of validated external results (Muon, MTP, adaptive λ, delta-rule memory), while the most novel items (state-tracking angle, Log-Linear differentiation) are cheap but impact-capped — they buy positioning, not perplexity. Second, the kernel work (T2.1) scores lower on raw impact-per-cost than Tier 0, but it sits on the critical path of everything to its right; the schedule below therefore starts it in week 3 rather than after Tier 1.</w:t>
      </w:r>
    </w:p>
    <w:bookmarkEnd w:id="56"/>
    <w:bookmarkStart w:id="60" w:name="the-16-week-schedule-and-decision-gates"/>
    <w:p>
      <w:pPr>
        <w:pStyle w:val="Heading3"/>
      </w:pPr>
      <w:r>
        <w:t xml:space="preserve">8.2 The 16-week schedule and decision gates</w:t>
      </w:r>
    </w:p>
    <w:p>
      <w:pPr>
        <w:pStyle w:val="FirstParagraph"/>
      </w:pPr>
      <w:r>
        <w:t xml:space="preserve">The schedule sequences four overlapping streams — measurement integrity and recipe (weeks 0–4), quality arms (weeks 4–12), kernels (weeks 3–9), scale (weeks 10–16) — with three decision gates. Gate 1 (week 4): recipe validated on the decontaminated, multi-seed baseline; all later arms measured against the rebuilt incumbent. Gate 2 (week 9): quality arms decided per their pre-registered rules; winners stack, losers enter the falsification record. Gate 3 (week 12): kernel and hybrid kept or retired; the scaling ladder proceeds with whichever readout survived.</w:t>
      </w:r>
    </w:p>
    <w:p>
      <w:pPr>
        <w:pStyle w:val="CaptionedFigure"/>
      </w:pPr>
      <w:r>
        <w:drawing>
          <wp:inline>
            <wp:extent cx="5334000" cy="3436452"/>
            <wp:effectExtent b="0" l="0" r="0" t="0"/>
            <wp:docPr descr="16-week schedule" title="" id="58" name="Picture"/>
            <a:graphic>
              <a:graphicData uri="http://schemas.openxmlformats.org/drawingml/2006/picture">
                <pic:pic>
                  <pic:nvPicPr>
                    <pic:cNvPr descr="opera_roadmap_assets/fig3_gantt.png" id="59" name="Picture"/>
                    <pic:cNvPicPr>
                      <a:picLocks noChangeArrowheads="1" noChangeAspect="1"/>
                    </pic:cNvPicPr>
                  </pic:nvPicPr>
                  <pic:blipFill>
                    <a:blip r:embed="rId57"/>
                    <a:stretch>
                      <a:fillRect/>
                    </a:stretch>
                  </pic:blipFill>
                  <pic:spPr bwMode="auto">
                    <a:xfrm>
                      <a:off x="0" y="0"/>
                      <a:ext cx="5334000" cy="3436452"/>
                    </a:xfrm>
                    <a:prstGeom prst="rect">
                      <a:avLst/>
                    </a:prstGeom>
                    <a:noFill/>
                    <a:ln w="9525">
                      <a:noFill/>
                      <a:headEnd/>
                      <a:tailEnd/>
                    </a:ln>
                  </pic:spPr>
                </pic:pic>
              </a:graphicData>
            </a:graphic>
          </wp:inline>
        </w:drawing>
      </w:r>
    </w:p>
    <w:p>
      <w:pPr>
        <w:pStyle w:val="ImageCaption"/>
      </w:pPr>
      <w:r>
        <w:t xml:space="preserve">16-week schedule</w:t>
      </w:r>
    </w:p>
    <w:bookmarkEnd w:id="60"/>
    <w:bookmarkStart w:id="61" w:name="the-experiment-registry"/>
    <w:p>
      <w:pPr>
        <w:pStyle w:val="Heading3"/>
      </w:pPr>
      <w:r>
        <w:t xml:space="preserve">8.3 The experiment registry</w:t>
      </w:r>
    </w:p>
    <w:p>
      <w:pPr>
        <w:pStyle w:val="FirstParagraph"/>
      </w:pPr>
      <w:r>
        <w:t xml:space="preserve">The master table: every arm, its pre-registered gate, kill criterion, cost class, and the evidence that justifies it. This follows the project’s standing rules (one variable per run; same-session incumbent; deterministic/zero init so flags-off is bitwise the incumbent; selftest extension per arm).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Pre-registered gate</w:t>
            </w:r>
          </w:p>
        </w:tc>
        <w:tc>
          <w:tcPr/>
          <w:p>
            <w:pPr>
              <w:pStyle w:val="Compact"/>
              <w:jc w:val="left"/>
            </w:pPr>
            <w:r>
              <w:t xml:space="preserve">Kill criterion</w:t>
            </w:r>
          </w:p>
        </w:tc>
        <w:tc>
          <w:tcPr/>
          <w:p>
            <w:pPr>
              <w:pStyle w:val="Compact"/>
              <w:jc w:val="left"/>
            </w:pPr>
            <w:r>
              <w:t xml:space="preserve">Cost</w:t>
            </w:r>
          </w:p>
        </w:tc>
        <w:tc>
          <w:tcPr/>
          <w:p>
            <w:pPr>
              <w:pStyle w:val="Compact"/>
              <w:jc w:val="left"/>
            </w:pPr>
            <w:r>
              <w:t xml:space="preserve">Key external evidence</w:t>
            </w:r>
          </w:p>
        </w:tc>
      </w:tr>
      <w:tr>
        <w:tc>
          <w:tcPr/>
          <w:p>
            <w:pPr>
              <w:pStyle w:val="Compact"/>
              <w:jc w:val="left"/>
            </w:pPr>
            <w:r>
              <w:t xml:space="preserve">T0.1</w:t>
            </w:r>
          </w:p>
        </w:tc>
        <w:tc>
          <w:tcPr/>
          <w:p>
            <w:pPr>
              <w:pStyle w:val="Compact"/>
              <w:jc w:val="left"/>
            </w:pPr>
            <w:r>
              <w:t xml:space="preserve">Muon on matrix params + µP audit</w:t>
            </w:r>
          </w:p>
        </w:tc>
        <w:tc>
          <w:tcPr/>
          <w:p>
            <w:pPr>
              <w:pStyle w:val="Compact"/>
              <w:jc w:val="left"/>
            </w:pPr>
            <w:r>
              <w:t xml:space="preserve">&gt;1.5 PPL vs AdamW at toy rung</w:t>
            </w:r>
          </w:p>
        </w:tc>
        <w:tc>
          <w:tcPr/>
          <w:p>
            <w:pPr>
              <w:pStyle w:val="Compact"/>
              <w:jc w:val="left"/>
            </w:pPr>
            <w:r>
              <w:t xml:space="preserve">Parity after 2 lr settings</w:t>
            </w:r>
          </w:p>
        </w:tc>
        <w:tc>
          <w:tcPr/>
          <w:p>
            <w:pPr>
              <w:pStyle w:val="Compact"/>
              <w:jc w:val="left"/>
            </w:pPr>
            <w:r>
              <w:t xml:space="preserve">~1 wk</w:t>
            </w:r>
          </w:p>
        </w:tc>
        <w:tc>
          <w:tcPr/>
          <w:p>
            <w:pPr>
              <w:pStyle w:val="Compact"/>
              <w:jc w:val="left"/>
            </w:pPr>
            <w:r>
              <w:t xml:space="preserve">Muon wins across all 4 linear-attention variants at 350M</w:t>
            </w:r>
            <w:r>
              <w:t xml:space="preserve"> </w:t>
            </w:r>
            <w:fldSimple w:instr="NOTEREF _Ref_Footnote_16 \h \f">
              <w:r>
                <w:rPr>
                  <w:vertAlign w:val="superscript"/>
                </w:rPr>
                <w:t>16</w:t>
              </w:r>
            </w:fldSimple>
            <w:r>
              <w:t xml:space="preserve">; scalable LLM training</w:t>
            </w:r>
            <w:r>
              <w:t xml:space="preserve"> </w:t>
            </w:r>
            <w:fldSimple w:instr="NOTEREF _Ref_Footnote_7 \h \f">
              <w:r>
                <w:rPr>
                  <w:vertAlign w:val="superscript"/>
                </w:rPr>
                <w:t>7</w:t>
              </w:r>
            </w:fldSimple>
          </w:p>
        </w:tc>
      </w:tr>
      <w:tr>
        <w:tc>
          <w:tcPr/>
          <w:p>
            <w:pPr>
              <w:pStyle w:val="Compact"/>
              <w:jc w:val="left"/>
            </w:pPr>
            <w:r>
              <w:t xml:space="preserve">T0.2</w:t>
            </w:r>
          </w:p>
        </w:tc>
        <w:tc>
          <w:tcPr/>
          <w:p>
            <w:pPr>
              <w:pStyle w:val="Compact"/>
              <w:jc w:val="left"/>
            </w:pPr>
            <w:r>
              <w:t xml:space="preserve">Decontaminated split + 3-seed re-runs</w:t>
            </w:r>
          </w:p>
        </w:tc>
        <w:tc>
          <w:tcPr/>
          <w:p>
            <w:pPr>
              <w:pStyle w:val="Compact"/>
              <w:jc w:val="left"/>
            </w:pPr>
            <w:r>
              <w:t xml:space="preserve">— (re-baselines the ruler)</w:t>
            </w:r>
          </w:p>
        </w:tc>
        <w:tc>
          <w:tcPr/>
          <w:p>
            <w:pPr>
              <w:pStyle w:val="Compact"/>
              <w:jc w:val="left"/>
            </w:pPr>
            <w:r>
              <w:t xml:space="preserve">—</w:t>
            </w:r>
          </w:p>
        </w:tc>
        <w:tc>
          <w:tcPr/>
          <w:p>
            <w:pPr>
              <w:pStyle w:val="Compact"/>
              <w:jc w:val="left"/>
            </w:pPr>
            <w:r>
              <w:t xml:space="preserve">~2 wk GPU</w:t>
            </w:r>
          </w:p>
        </w:tc>
        <w:tc>
          <w:tcPr/>
          <w:p>
            <w:pPr>
              <w:pStyle w:val="Compact"/>
              <w:jc w:val="left"/>
            </w:pPr>
            <w:r>
              <w:t xml:space="preserve">— (paper’s own roadmap)</w:t>
            </w:r>
          </w:p>
        </w:tc>
      </w:tr>
      <w:tr>
        <w:tc>
          <w:tcPr/>
          <w:p>
            <w:pPr>
              <w:pStyle w:val="Compact"/>
              <w:jc w:val="left"/>
            </w:pPr>
            <w:r>
              <w:t xml:space="preserve">T0.3</w:t>
            </w:r>
          </w:p>
        </w:tc>
        <w:tc>
          <w:tcPr/>
          <w:p>
            <w:pPr>
              <w:pStyle w:val="Compact"/>
              <w:jc w:val="left"/>
            </w:pPr>
            <w:r>
              <w:t xml:space="preserve">msup + curriculum</w:t>
            </w:r>
            <w:r>
              <w:t xml:space="preserve"> </w:t>
            </w:r>
            <w:r>
              <w:t xml:space="preserve">@22M</w:t>
            </w:r>
          </w:p>
        </w:tc>
        <w:tc>
          <w:tcPr/>
          <w:p>
            <w:pPr>
              <w:pStyle w:val="Compact"/>
              <w:jc w:val="left"/>
            </w:pPr>
            <w:r>
              <w:t xml:space="preserve">&gt;1.5 PPL vs rebuilt incumbent; position curve ≤ +0.10</w:t>
            </w:r>
          </w:p>
        </w:tc>
        <w:tc>
          <w:tcPr/>
          <w:p>
            <w:pPr>
              <w:pStyle w:val="Compact"/>
              <w:jc w:val="left"/>
            </w:pPr>
            <w:r>
              <w:t xml:space="preserve">Toy win fails to transfer</w:t>
            </w:r>
          </w:p>
        </w:tc>
        <w:tc>
          <w:tcPr/>
          <w:p>
            <w:pPr>
              <w:pStyle w:val="Compact"/>
              <w:jc w:val="left"/>
            </w:pPr>
            <w:r>
              <w:t xml:space="preserve">~1 wk GPU</w:t>
            </w:r>
          </w:p>
        </w:tc>
        <w:tc>
          <w:tcPr/>
          <w:p>
            <w:pPr>
              <w:pStyle w:val="Compact"/>
              <w:jc w:val="left"/>
            </w:pPr>
            <w:r>
              <w:t xml:space="preserve">MTP improves base models at scale</w:t>
            </w:r>
            <w:r>
              <w:t xml:space="preserve"> </w:t>
            </w:r>
            <w:fldSimple w:instr="NOTEREF _Ref_Footnote_9 \h \f">
              <w:r>
                <w:rPr>
                  <w:vertAlign w:val="superscript"/>
                </w:rPr>
                <w:t>9</w:t>
              </w:r>
            </w:fldSimple>
          </w:p>
        </w:tc>
      </w:tr>
      <w:tr>
        <w:tc>
          <w:tcPr/>
          <w:p>
            <w:pPr>
              <w:pStyle w:val="Compact"/>
              <w:jc w:val="left"/>
            </w:pPr>
            <w:r>
              <w:t xml:space="preserve">T0.4</w:t>
            </w:r>
          </w:p>
        </w:tc>
        <w:tc>
          <w:tcPr/>
          <w:p>
            <w:pPr>
              <w:pStyle w:val="Compact"/>
              <w:jc w:val="left"/>
            </w:pPr>
            <w:r>
              <w:t xml:space="preserve">Multi-state geometric readout (concat + fixed MLP over Fenwick blocks; no softmax)</w:t>
            </w:r>
          </w:p>
        </w:tc>
        <w:tc>
          <w:tcPr/>
          <w:p>
            <w:pPr>
              <w:pStyle w:val="Compact"/>
              <w:jc w:val="left"/>
            </w:pPr>
            <w:r>
              <w:t xml:space="preserve">Mid-band gap −25%; in-length regression &lt;1.5 PPL</w:t>
            </w:r>
          </w:p>
        </w:tc>
        <w:tc>
          <w:tcPr/>
          <w:p>
            <w:pPr>
              <w:pStyle w:val="Compact"/>
              <w:jc w:val="left"/>
            </w:pPr>
            <w:r>
              <w:t xml:space="preserve">Null → sixth readout null; close the line</w:t>
            </w:r>
          </w:p>
        </w:tc>
        <w:tc>
          <w:tcPr/>
          <w:p>
            <w:pPr>
              <w:pStyle w:val="Compact"/>
              <w:jc w:val="left"/>
            </w:pPr>
            <w:r>
              <w:t xml:space="preserve">days</w:t>
            </w:r>
          </w:p>
        </w:tc>
        <w:tc>
          <w:tcPr/>
          <w:p>
            <w:pPr>
              <w:pStyle w:val="Compact"/>
              <w:jc w:val="left"/>
            </w:pPr>
            <w:r>
              <w:t xml:space="preserve">Five readout nulls tested routing, never raw capacity (project record); fixed-state analysis</w:t>
            </w:r>
            <w:r>
              <w:t xml:space="preserve"> </w:t>
            </w:r>
            <w:fldSimple w:instr="NOTEREF _Ref_Footnote_12 \h \f">
              <w:r>
                <w:rPr>
                  <w:vertAlign w:val="superscript"/>
                </w:rPr>
                <w:t>12</w:t>
              </w:r>
            </w:fldSimple>
          </w:p>
        </w:tc>
      </w:tr>
      <w:tr>
        <w:tc>
          <w:tcPr/>
          <w:p>
            <w:pPr>
              <w:pStyle w:val="Compact"/>
              <w:jc w:val="left"/>
            </w:pPr>
            <w:r>
              <w:t xml:space="preserve">T1.1</w:t>
            </w:r>
          </w:p>
        </w:tc>
        <w:tc>
          <w:tcPr/>
          <w:p>
            <w:pPr>
              <w:pStyle w:val="Compact"/>
              <w:jc w:val="left"/>
            </w:pPr>
            <w:r>
              <w:t xml:space="preserve">msup v2 (k=2 targets / level-weighted)</w:t>
            </w:r>
          </w:p>
        </w:tc>
        <w:tc>
          <w:tcPr/>
          <w:p>
            <w:pPr>
              <w:pStyle w:val="Compact"/>
              <w:jc w:val="left"/>
            </w:pPr>
            <w:r>
              <w:t xml:space="preserve">&gt;1.5 PPL vs msup v1</w:t>
            </w:r>
          </w:p>
        </w:tc>
        <w:tc>
          <w:tcPr/>
          <w:p>
            <w:pPr>
              <w:pStyle w:val="Compact"/>
              <w:jc w:val="left"/>
            </w:pPr>
            <w:r>
              <w:t xml:space="preserve">No gain over v1</w:t>
            </w:r>
          </w:p>
        </w:tc>
        <w:tc>
          <w:tcPr/>
          <w:p>
            <w:pPr>
              <w:pStyle w:val="Compact"/>
              <w:jc w:val="left"/>
            </w:pPr>
            <w:r>
              <w:t xml:space="preserve">~1 wk</w:t>
            </w:r>
          </w:p>
        </w:tc>
        <w:tc>
          <w:tcPr/>
          <w:p>
            <w:pPr>
              <w:pStyle w:val="Compact"/>
              <w:jc w:val="left"/>
            </w:pPr>
            <w:r>
              <w:t xml:space="preserve">MTP acceptance 85–90% at production scale</w:t>
            </w:r>
            <w:r>
              <w:t xml:space="preserve"> </w:t>
            </w:r>
            <w:fldSimple w:instr="NOTEREF _Ref_Footnote_9 \h \f">
              <w:r>
                <w:rPr>
                  <w:vertAlign w:val="superscript"/>
                </w:rPr>
                <w:t>9</w:t>
              </w:r>
            </w:fldSimple>
          </w:p>
        </w:tc>
      </w:tr>
      <w:tr>
        <w:tc>
          <w:tcPr/>
          <w:p>
            <w:pPr>
              <w:pStyle w:val="Compact"/>
              <w:jc w:val="left"/>
            </w:pPr>
            <w:r>
              <w:t xml:space="preserve">T1.2</w:t>
            </w:r>
          </w:p>
        </w:tc>
        <w:tc>
          <w:tcPr/>
          <w:p>
            <w:pPr>
              <w:pStyle w:val="Compact"/>
              <w:jc w:val="left"/>
            </w:pPr>
            <w:r>
              <w:t xml:space="preserve">Adaptive per-level fold transport</w:t>
            </w:r>
          </w:p>
        </w:tc>
        <w:tc>
          <w:tcPr/>
          <w:p>
            <w:pPr>
              <w:pStyle w:val="Compact"/>
              <w:jc w:val="left"/>
            </w:pPr>
            <w:r>
              <w:t xml:space="preserve">&gt;1.5 PPL</w:t>
            </w:r>
            <w:r>
              <w:t xml:space="preserve"> </w:t>
            </w:r>
            <w:r>
              <w:rPr>
                <w:bCs/>
                <w:b/>
              </w:rPr>
              <w:t xml:space="preserve">and</w:t>
            </w:r>
            <w:r>
              <w:t xml:space="preserve"> </w:t>
            </w:r>
            <w:r>
              <w:t xml:space="preserve">≥5× MQAR gain</w:t>
            </w:r>
          </w:p>
        </w:tc>
        <w:tc>
          <w:tcPr/>
          <w:p>
            <w:pPr>
              <w:pStyle w:val="Compact"/>
              <w:jc w:val="left"/>
            </w:pPr>
            <w:r>
              <w:t xml:space="preserve">Null on PPL at matched budget</w:t>
            </w:r>
          </w:p>
        </w:tc>
        <w:tc>
          <w:tcPr/>
          <w:p>
            <w:pPr>
              <w:pStyle w:val="Compact"/>
              <w:jc w:val="left"/>
            </w:pPr>
            <w:r>
              <w:t xml:space="preserve">~2 wk</w:t>
            </w:r>
          </w:p>
        </w:tc>
        <w:tc>
          <w:tcPr/>
          <w:p>
            <w:pPr>
              <w:pStyle w:val="Compact"/>
              <w:jc w:val="left"/>
            </w:pPr>
            <w:r>
              <w:t xml:space="preserve">Fixed λ collapses (2.9%), adaptive λ holds (57.9%) on MQAR kv=32</w:t>
            </w:r>
            <w:r>
              <w:t xml:space="preserve"> </w:t>
            </w:r>
            <w:fldSimple w:instr="NOTEREF _Ref_Footnote_4 \h \f">
              <w:r>
                <w:rPr>
                  <w:vertAlign w:val="superscript"/>
                </w:rPr>
                <w:t>4</w:t>
              </w:r>
            </w:fldSimple>
          </w:p>
        </w:tc>
      </w:tr>
      <w:tr>
        <w:tc>
          <w:tcPr/>
          <w:p>
            <w:pPr>
              <w:pStyle w:val="Compact"/>
              <w:jc w:val="left"/>
            </w:pPr>
            <w:r>
              <w:t xml:space="preserve">T1.3</w:t>
            </w:r>
          </w:p>
        </w:tc>
        <w:tc>
          <w:tcPr/>
          <w:p>
            <w:pPr>
              <w:pStyle w:val="Compact"/>
              <w:jc w:val="left"/>
            </w:pPr>
            <w:r>
              <w:t xml:space="preserve">IN2-style early-context objective</w:t>
            </w:r>
          </w:p>
        </w:tc>
        <w:tc>
          <w:tcPr/>
          <w:p>
            <w:pPr>
              <w:pStyle w:val="Compact"/>
              <w:jc w:val="left"/>
            </w:pPr>
            <w:r>
              <w:t xml:space="preserve">pp1/ppLast ≥3×; PPL regression &lt;0.5</w:t>
            </w:r>
          </w:p>
        </w:tc>
        <w:tc>
          <w:tcPr/>
          <w:p>
            <w:pPr>
              <w:pStyle w:val="Compact"/>
              <w:jc w:val="left"/>
            </w:pPr>
            <w:r>
              <w:t xml:space="preserve">Sensitivity/PPL trade-off</w:t>
            </w:r>
          </w:p>
        </w:tc>
        <w:tc>
          <w:tcPr/>
          <w:p>
            <w:pPr>
              <w:pStyle w:val="Compact"/>
              <w:jc w:val="left"/>
            </w:pPr>
            <w:r>
              <w:t xml:space="preserve">~1 wk</w:t>
            </w:r>
          </w:p>
        </w:tc>
        <w:tc>
          <w:tcPr/>
          <w:p>
            <w:pPr>
              <w:pStyle w:val="Compact"/>
              <w:jc w:val="left"/>
            </w:pPr>
            <w:r>
              <w:t xml:space="preserve">FILM-7B robust 32K retrieval</w:t>
            </w:r>
            <w:r>
              <w:t xml:space="preserve"> </w:t>
            </w:r>
            <w:fldSimple w:instr="NOTEREF _Ref_Footnote_28 \h \f">
              <w:r>
                <w:rPr>
                  <w:vertAlign w:val="superscript"/>
                </w:rPr>
                <w:t>28</w:t>
              </w:r>
            </w:fldSimple>
            <w:r>
              <w:t xml:space="preserve">; mixed durability</w:t>
            </w:r>
            <w:r>
              <w:t xml:space="preserve"> </w:t>
            </w:r>
            <w:fldSimple w:instr="NOTEREF _Ref_Footnote_30 \h \f">
              <w:r>
                <w:rPr>
                  <w:vertAlign w:val="superscript"/>
                </w:rPr>
                <w:t>30</w:t>
              </w:r>
            </w:fldSimple>
          </w:p>
        </w:tc>
      </w:tr>
      <w:tr>
        <w:tc>
          <w:tcPr/>
          <w:p>
            <w:pPr>
              <w:pStyle w:val="Compact"/>
              <w:jc w:val="left"/>
            </w:pPr>
            <w:r>
              <w:t xml:space="preserve">T1.4</w:t>
            </w:r>
          </w:p>
        </w:tc>
        <w:tc>
          <w:tcPr/>
          <w:p>
            <w:pPr>
              <w:pStyle w:val="Compact"/>
              <w:jc w:val="left"/>
            </w:pPr>
            <w:r>
              <w:t xml:space="preserve">Delta-rule memory channel (control: product-key / surprise memory)</w:t>
            </w:r>
          </w:p>
        </w:tc>
        <w:tc>
          <w:tcPr/>
          <w:p>
            <w:pPr>
              <w:pStyle w:val="Compact"/>
              <w:jc w:val="left"/>
            </w:pPr>
            <w:r>
              <w:t xml:space="preserve">Mid-band gap −50%; curve ≤ +0.10</w:t>
            </w:r>
          </w:p>
        </w:tc>
        <w:tc>
          <w:tcPr/>
          <w:p>
            <w:pPr>
              <w:pStyle w:val="Compact"/>
              <w:jc w:val="left"/>
            </w:pPr>
            <w:r>
              <w:t xml:space="preserve">Gap unchanged on both variants</w:t>
            </w:r>
          </w:p>
        </w:tc>
        <w:tc>
          <w:tcPr/>
          <w:p>
            <w:pPr>
              <w:pStyle w:val="Compact"/>
              <w:jc w:val="left"/>
            </w:pPr>
            <w:r>
              <w:t xml:space="preserve">~3 wk</w:t>
            </w:r>
          </w:p>
        </w:tc>
        <w:tc>
          <w:tcPr/>
          <w:p>
            <w:pPr>
              <w:pStyle w:val="Compact"/>
              <w:jc w:val="left"/>
            </w:pPr>
            <w:r>
              <w:t xml:space="preserve">Delta-rule recall</w:t>
            </w:r>
            <w:r>
              <w:t xml:space="preserve"> </w:t>
            </w:r>
            <w:fldSimple w:instr="NOTEREF _Ref_Footnote_10 \h \f">
              <w:r>
                <w:rPr>
                  <w:vertAlign w:val="superscript"/>
                </w:rPr>
                <w:t>10</w:t>
              </w:r>
            </w:fldSimple>
            <w:r>
              <w:t xml:space="preserve">; Titans non-hybrid memory wins</w:t>
            </w:r>
            <w:r>
              <w:t xml:space="preserve"> </w:t>
            </w:r>
            <w:fldSimple w:instr="NOTEREF _Ref_Footnote_14 \h \f">
              <w:r>
                <w:rPr>
                  <w:vertAlign w:val="superscript"/>
                </w:rPr>
                <w:t>14</w:t>
              </w:r>
            </w:fldSimple>
            <w:r>
              <w:t xml:space="preserve">; product-key memory</w:t>
            </w:r>
            <w:r>
              <w:t xml:space="preserve"> </w:t>
            </w:r>
            <w:fldSimple w:instr="NOTEREF _Ref_Footnote_11 \h \f">
              <w:r>
                <w:rPr>
                  <w:vertAlign w:val="superscript"/>
                </w:rPr>
                <w:t>11</w:t>
              </w:r>
            </w:fldSimple>
          </w:p>
        </w:tc>
      </w:tr>
      <w:tr>
        <w:tc>
          <w:tcPr/>
          <w:p>
            <w:pPr>
              <w:pStyle w:val="Compact"/>
              <w:jc w:val="left"/>
            </w:pPr>
            <w:r>
              <w:t xml:space="preserve">T1.5</w:t>
            </w:r>
          </w:p>
        </w:tc>
        <w:tc>
          <w:tcPr/>
          <w:p>
            <w:pPr>
              <w:pStyle w:val="Compact"/>
              <w:jc w:val="left"/>
            </w:pPr>
            <w:r>
              <w:t xml:space="preserve">Subword BPE + FineWeb protocol</w:t>
            </w:r>
          </w:p>
        </w:tc>
        <w:tc>
          <w:tcPr/>
          <w:p>
            <w:pPr>
              <w:pStyle w:val="Compact"/>
              <w:jc w:val="left"/>
            </w:pPr>
            <w:r>
              <w:t xml:space="preserve">— (infrastructure)</w:t>
            </w:r>
          </w:p>
        </w:tc>
        <w:tc>
          <w:tcPr/>
          <w:p>
            <w:pPr>
              <w:pStyle w:val="Compact"/>
              <w:jc w:val="left"/>
            </w:pPr>
            <w:r>
              <w:t xml:space="preserve">—</w:t>
            </w:r>
          </w:p>
        </w:tc>
        <w:tc>
          <w:tcPr/>
          <w:p>
            <w:pPr>
              <w:pStyle w:val="Compact"/>
              <w:jc w:val="left"/>
            </w:pPr>
            <w:r>
              <w:t xml:space="preserve">~2 wk</w:t>
            </w:r>
          </w:p>
        </w:tc>
        <w:tc>
          <w:tcPr/>
          <w:p>
            <w:pPr>
              <w:pStyle w:val="Compact"/>
              <w:jc w:val="left"/>
            </w:pPr>
            <w:r>
              <w:t xml:space="preserve">Speedrun/DeltaProduct comparison tables live there</w:t>
            </w:r>
            <w:r>
              <w:t xml:space="preserve"> </w:t>
            </w:r>
            <w:fldSimple w:instr="NOTEREF _Ref_Footnote_33 \h \f">
              <w:r>
                <w:rPr>
                  <w:vertAlign w:val="superscript"/>
                </w:rPr>
                <w:t>33</w:t>
              </w:r>
            </w:fldSimple>
            <w:r>
              <w:t xml:space="preserve"> </w:t>
            </w:r>
            <w:fldSimple w:instr="NOTEREF _Ref_Footnote_5 \h \f">
              <w:r>
                <w:rPr>
                  <w:vertAlign w:val="superscript"/>
                </w:rPr>
                <w:t>5</w:t>
              </w:r>
            </w:fldSimple>
          </w:p>
        </w:tc>
      </w:tr>
      <w:tr>
        <w:tc>
          <w:tcPr/>
          <w:p>
            <w:pPr>
              <w:pStyle w:val="Compact"/>
              <w:jc w:val="left"/>
            </w:pPr>
            <w:r>
              <w:t xml:space="preserve">T2.1</w:t>
            </w:r>
          </w:p>
        </w:tc>
        <w:tc>
          <w:tcPr/>
          <w:p>
            <w:pPr>
              <w:pStyle w:val="Compact"/>
              <w:jc w:val="left"/>
            </w:pPr>
            <w:r>
              <w:t xml:space="preserve">Fused Triton compose kernel</w:t>
            </w:r>
          </w:p>
        </w:tc>
        <w:tc>
          <w:tcPr/>
          <w:p>
            <w:pPr>
              <w:pStyle w:val="Compact"/>
              <w:jc w:val="left"/>
            </w:pPr>
            <w:r>
              <w:t xml:space="preserve">≥2× step time, bitwise gradients</w:t>
            </w:r>
          </w:p>
        </w:tc>
        <w:tc>
          <w:tcPr/>
          <w:p>
            <w:pPr>
              <w:pStyle w:val="Compact"/>
              <w:jc w:val="left"/>
            </w:pPr>
            <w:r>
              <w:t xml:space="preserve">&lt;1.3× after effort</w:t>
            </w:r>
          </w:p>
        </w:tc>
        <w:tc>
          <w:tcPr/>
          <w:p>
            <w:pPr>
              <w:pStyle w:val="Compact"/>
              <w:jc w:val="left"/>
            </w:pPr>
            <w:r>
              <w:t xml:space="preserve">4–6 wk</w:t>
            </w:r>
          </w:p>
        </w:tc>
        <w:tc>
          <w:tcPr/>
          <w:p>
            <w:pPr>
              <w:pStyle w:val="Compact"/>
              <w:jc w:val="left"/>
            </w:pPr>
            <w:r>
              <w:t xml:space="preserve">fla library engineering culture</w:t>
            </w:r>
            <w:r>
              <w:t xml:space="preserve"> </w:t>
            </w:r>
            <w:fldSimple w:instr="NOTEREF _Ref_Footnote_34 \h \f">
              <w:r>
                <w:rPr>
                  <w:vertAlign w:val="superscript"/>
                </w:rPr>
                <w:t>34</w:t>
              </w:r>
            </w:fldSimple>
            <w:r>
              <w:t xml:space="preserve">; DeltaProduct kernels</w:t>
            </w:r>
            <w:r>
              <w:t xml:space="preserve"> </w:t>
            </w:r>
            <w:fldSimple w:instr="NOTEREF _Ref_Footnote_35 \h \f">
              <w:r>
                <w:rPr>
                  <w:vertAlign w:val="superscript"/>
                </w:rPr>
                <w:t>35</w:t>
              </w:r>
            </w:fldSimple>
          </w:p>
        </w:tc>
      </w:tr>
      <w:tr>
        <w:tc>
          <w:tcPr/>
          <w:p>
            <w:pPr>
              <w:pStyle w:val="Compact"/>
              <w:jc w:val="left"/>
            </w:pPr>
            <w:r>
              <w:t xml:space="preserve">T2.2</w:t>
            </w:r>
          </w:p>
        </w:tc>
        <w:tc>
          <w:tcPr/>
          <w:p>
            <w:pPr>
              <w:pStyle w:val="Compact"/>
              <w:jc w:val="left"/>
            </w:pPr>
            <w:r>
              <w:t xml:space="preserve">Crossover timing T∈{512…8192}</w:t>
            </w:r>
          </w:p>
        </w:tc>
        <w:tc>
          <w:tcPr/>
          <w:p>
            <w:pPr>
              <w:pStyle w:val="Compact"/>
              <w:jc w:val="left"/>
            </w:pPr>
            <w:r>
              <w:t xml:space="preserve">— (measurement)</w:t>
            </w:r>
          </w:p>
        </w:tc>
        <w:tc>
          <w:tcPr/>
          <w:p>
            <w:pPr>
              <w:pStyle w:val="Compact"/>
              <w:jc w:val="left"/>
            </w:pPr>
            <w:r>
              <w:t xml:space="preserve">—</w:t>
            </w:r>
          </w:p>
        </w:tc>
        <w:tc>
          <w:tcPr/>
          <w:p>
            <w:pPr>
              <w:pStyle w:val="Compact"/>
              <w:jc w:val="left"/>
            </w:pPr>
            <w:r>
              <w:t xml:space="preserve">~2 wk</w:t>
            </w:r>
          </w:p>
        </w:tc>
        <w:tc>
          <w:tcPr/>
          <w:p>
            <w:pPr>
              <w:pStyle w:val="Compact"/>
              <w:jc w:val="left"/>
            </w:pPr>
            <w:r>
              <w:t xml:space="preserve">Paper’s own [TODO]</w:t>
            </w:r>
          </w:p>
        </w:tc>
      </w:tr>
      <w:tr>
        <w:tc>
          <w:tcPr/>
          <w:p>
            <w:pPr>
              <w:pStyle w:val="Compact"/>
              <w:jc w:val="left"/>
            </w:pPr>
            <w:r>
              <w:t xml:space="preserve">T3.1</w:t>
            </w:r>
          </w:p>
        </w:tc>
        <w:tc>
          <w:tcPr/>
          <w:p>
            <w:pPr>
              <w:pStyle w:val="Compact"/>
              <w:jc w:val="left"/>
            </w:pPr>
            <w:r>
              <w:t xml:space="preserve">µP ladder 22M→100M→350M</w:t>
            </w:r>
          </w:p>
        </w:tc>
        <w:tc>
          <w:tcPr/>
          <w:p>
            <w:pPr>
              <w:pStyle w:val="Compact"/>
              <w:jc w:val="left"/>
            </w:pPr>
            <w:r>
              <w:t xml:space="preserve">Scaling slope ≥ NoPE’s</w:t>
            </w:r>
          </w:p>
        </w:tc>
        <w:tc>
          <w:tcPr/>
          <w:p>
            <w:pPr>
              <w:pStyle w:val="Compact"/>
              <w:jc w:val="left"/>
            </w:pPr>
            <w:r>
              <w:t xml:space="preserve">Gap widens with scale</w:t>
            </w:r>
          </w:p>
        </w:tc>
        <w:tc>
          <w:tcPr/>
          <w:p>
            <w:pPr>
              <w:pStyle w:val="Compact"/>
              <w:jc w:val="left"/>
            </w:pPr>
            <w:r>
              <w:t xml:space="preserve">GPU-bound</w:t>
            </w:r>
          </w:p>
        </w:tc>
        <w:tc>
          <w:tcPr/>
          <w:p>
            <w:pPr>
              <w:pStyle w:val="Compact"/>
              <w:jc w:val="left"/>
            </w:pPr>
            <w:r>
              <w:t xml:space="preserve">350M bake-off protocol exists</w:t>
            </w:r>
            <w:r>
              <w:t xml:space="preserve"> </w:t>
            </w:r>
            <w:fldSimple w:instr="NOTEREF _Ref_Footnote_16 \h \f">
              <w:r>
                <w:rPr>
                  <w:vertAlign w:val="superscript"/>
                </w:rPr>
                <w:t>16</w:t>
              </w:r>
            </w:fldSimple>
            <w:r>
              <w:t xml:space="preserve">; µP transfer</w:t>
            </w:r>
            <w:r>
              <w:t xml:space="preserve"> </w:t>
            </w:r>
            <w:fldSimple w:instr="NOTEREF _Ref_Footnote_25 \h \f">
              <w:r>
                <w:rPr>
                  <w:vertAlign w:val="superscript"/>
                </w:rPr>
                <w:t>25</w:t>
              </w:r>
            </w:fldSimple>
          </w:p>
        </w:tc>
      </w:tr>
      <w:tr>
        <w:tc>
          <w:tcPr/>
          <w:p>
            <w:pPr>
              <w:pStyle w:val="Compact"/>
              <w:jc w:val="left"/>
            </w:pPr>
            <w:r>
              <w:t xml:space="preserve">T3.2</w:t>
            </w:r>
          </w:p>
        </w:tc>
        <w:tc>
          <w:tcPr/>
          <w:p>
            <w:pPr>
              <w:pStyle w:val="Compact"/>
              <w:jc w:val="left"/>
            </w:pPr>
            <w:r>
              <w:t xml:space="preserve">MQAR + state-tracking + curve suite</w:t>
            </w:r>
          </w:p>
        </w:tc>
        <w:tc>
          <w:tcPr/>
          <w:p>
            <w:pPr>
              <w:pStyle w:val="Compact"/>
              <w:jc w:val="left"/>
            </w:pPr>
            <w:r>
              <w:t xml:space="preserve">— (infrastructure)</w:t>
            </w:r>
          </w:p>
        </w:tc>
        <w:tc>
          <w:tcPr/>
          <w:p>
            <w:pPr>
              <w:pStyle w:val="Compact"/>
              <w:jc w:val="left"/>
            </w:pPr>
            <w:r>
              <w:t xml:space="preserve">—</w:t>
            </w:r>
          </w:p>
        </w:tc>
        <w:tc>
          <w:tcPr/>
          <w:p>
            <w:pPr>
              <w:pStyle w:val="Compact"/>
              <w:jc w:val="left"/>
            </w:pPr>
            <w:r>
              <w:t xml:space="preserve">~1 wk</w:t>
            </w:r>
          </w:p>
        </w:tc>
        <w:tc>
          <w:tcPr/>
          <w:p>
            <w:pPr>
              <w:pStyle w:val="Compact"/>
              <w:jc w:val="left"/>
            </w:pPr>
            <w:r>
              <w:t xml:space="preserve">Zoology</w:t>
            </w:r>
            <w:r>
              <w:t xml:space="preserve"> </w:t>
            </w:r>
            <w:fldSimple w:instr="NOTEREF _Ref_Footnote_12 \h \f">
              <w:r>
                <w:rPr>
                  <w:vertAlign w:val="superscript"/>
                </w:rPr>
                <w:t>12</w:t>
              </w:r>
            </w:fldSimple>
            <w:r>
              <w:t xml:space="preserve">; DeltaProduct suite</w:t>
            </w:r>
            <w:r>
              <w:t xml:space="preserve"> </w:t>
            </w:r>
            <w:fldSimple w:instr="NOTEREF _Ref_Footnote_5 \h \f">
              <w:r>
                <w:rPr>
                  <w:vertAlign w:val="superscript"/>
                </w:rPr>
                <w:t>5</w:t>
              </w:r>
            </w:fldSimple>
          </w:p>
        </w:tc>
      </w:tr>
      <w:tr>
        <w:tc>
          <w:tcPr/>
          <w:p>
            <w:pPr>
              <w:pStyle w:val="Compact"/>
              <w:jc w:val="left"/>
            </w:pPr>
            <w:r>
              <w:t xml:space="preserve">T4.1</w:t>
            </w:r>
          </w:p>
        </w:tc>
        <w:tc>
          <w:tcPr/>
          <w:p>
            <w:pPr>
              <w:pStyle w:val="Compact"/>
              <w:jc w:val="left"/>
            </w:pPr>
            <w:r>
              <w:t xml:space="preserve">Log-Linear head-to-head + write-up</w:t>
            </w:r>
          </w:p>
        </w:tc>
        <w:tc>
          <w:tcPr/>
          <w:p>
            <w:pPr>
              <w:pStyle w:val="Compact"/>
              <w:jc w:val="left"/>
            </w:pPr>
            <w:r>
              <w:t xml:space="preserve">Same-protocol comparison shipped</w:t>
            </w:r>
          </w:p>
        </w:tc>
        <w:tc>
          <w:tcPr/>
          <w:p>
            <w:pPr>
              <w:pStyle w:val="Compact"/>
              <w:jc w:val="left"/>
            </w:pPr>
            <w:r>
              <w:t xml:space="preserve">—</w:t>
            </w:r>
          </w:p>
        </w:tc>
        <w:tc>
          <w:tcPr/>
          <w:p>
            <w:pPr>
              <w:pStyle w:val="Compact"/>
              <w:jc w:val="left"/>
            </w:pPr>
            <w:r>
              <w:t xml:space="preserve">~2 wk</w:t>
            </w:r>
          </w:p>
        </w:tc>
        <w:tc>
          <w:tcPr/>
          <w:p>
            <w:pPr>
              <w:pStyle w:val="Compact"/>
              <w:jc w:val="left"/>
            </w:pPr>
            <w:r>
              <w:t xml:space="preserve">Fenwick hierarchy at scale</w:t>
            </w:r>
            <w:r>
              <w:t xml:space="preserve"> </w:t>
            </w:r>
            <w:fldSimple w:instr="NOTEREF _Ref_Footnote_3 \h \f">
              <w:r>
                <w:rPr>
                  <w:vertAlign w:val="superscript"/>
                </w:rPr>
                <w:t>3</w:t>
              </w:r>
            </w:fldSimple>
          </w:p>
        </w:tc>
      </w:tr>
      <w:tr>
        <w:tc>
          <w:tcPr/>
          <w:p>
            <w:pPr>
              <w:pStyle w:val="Compact"/>
              <w:jc w:val="left"/>
            </w:pPr>
            <w:r>
              <w:t xml:space="preserve">T4.2</w:t>
            </w:r>
          </w:p>
        </w:tc>
        <w:tc>
          <w:tcPr/>
          <w:p>
            <w:pPr>
              <w:pStyle w:val="Compact"/>
              <w:jc w:val="left"/>
            </w:pPr>
            <w:r>
              <w:t xml:space="preserve">SO(3) on state-tracking suite</w:t>
            </w:r>
          </w:p>
        </w:tc>
        <w:tc>
          <w:tcPr/>
          <w:p>
            <w:pPr>
              <w:pStyle w:val="Compact"/>
              <w:jc w:val="left"/>
            </w:pPr>
            <w:r>
              <w:t xml:space="preserve">so3 &gt; free on ≥2 group tasks</w:t>
            </w:r>
          </w:p>
        </w:tc>
        <w:tc>
          <w:tcPr/>
          <w:p>
            <w:pPr>
              <w:pStyle w:val="Compact"/>
              <w:jc w:val="left"/>
            </w:pPr>
            <w:r>
              <w:t xml:space="preserve">Null — regime map closes</w:t>
            </w:r>
          </w:p>
        </w:tc>
        <w:tc>
          <w:tcPr/>
          <w:p>
            <w:pPr>
              <w:pStyle w:val="Compact"/>
              <w:jc w:val="left"/>
            </w:pPr>
            <w:r>
              <w:t xml:space="preserve">days</w:t>
            </w:r>
          </w:p>
        </w:tc>
        <w:tc>
          <w:tcPr/>
          <w:p>
            <w:pPr>
              <w:pStyle w:val="Compact"/>
              <w:jc w:val="left"/>
            </w:pPr>
            <w:r>
              <w:t xml:space="preserve">Householder products improve state tracking</w:t>
            </w:r>
            <w:r>
              <w:t xml:space="preserve"> </w:t>
            </w:r>
            <w:fldSimple w:instr="NOTEREF _Ref_Footnote_5 \h \f">
              <w:r>
                <w:rPr>
                  <w:vertAlign w:val="superscript"/>
                </w:rPr>
                <w:t>5</w:t>
              </w:r>
            </w:fldSimple>
          </w:p>
        </w:tc>
      </w:tr>
    </w:tbl>
    <w:p>
      <w:r>
        <w:pict>
          <v:rect style="width:0;height:1.5pt" o:hralign="center" o:hrstd="t" o:hr="t"/>
        </w:pict>
      </w:r>
    </w:p>
    <w:bookmarkEnd w:id="61"/>
    <w:bookmarkEnd w:id="62"/>
    <w:bookmarkStart w:id="63" w:name="risks-and-honest-caveats"/>
    <w:p>
      <w:pPr>
        <w:pStyle w:val="Heading2"/>
      </w:pPr>
      <w:r>
        <w:t xml:space="preserve">9. Risks and Honest Caveats</w:t>
      </w:r>
    </w:p>
    <w:p>
      <w:pPr>
        <w:pStyle w:val="FirstParagraph"/>
      </w:pPr>
      <w:r>
        <w:t xml:space="preserve">The largest program risk is</w:t>
      </w:r>
      <w:r>
        <w:t xml:space="preserve"> </w:t>
      </w:r>
      <w:r>
        <w:rPr>
          <w:bCs/>
          <w:b/>
        </w:rPr>
        <w:t xml:space="preserve">novelty compression</w:t>
      </w:r>
      <w:r>
        <w:t xml:space="preserve">: Log-Linear Attention already took the Fenwick hierarchy to production scale, and if its successors add geometric or non-commutative composition, OPERA’s distinctive core narrows to</w:t>
      </w:r>
      <w:r>
        <w:t xml:space="preserve"> </w:t>
      </w:r>
      <w:r>
        <w:t xml:space="preserve">“</w:t>
      </w:r>
      <w:r>
        <w:t xml:space="preserve">position is structure</w:t>
      </w:r>
      <w:r>
        <w:t xml:space="preserve">”</w:t>
      </w:r>
      <w:r>
        <w:t xml:space="preserve"> </w:t>
      </w:r>
      <w:r>
        <w:t xml:space="preserve">alone</w:t>
      </w:r>
      <w:r>
        <w:t xml:space="preserve"> </w:t>
      </w:r>
      <w:fldSimple w:instr="NOTEREF _Ref_Footnote_3 \h \f">
        <w:r>
          <w:rPr>
            <w:vertAlign w:val="superscript"/>
          </w:rPr>
          <w:t>3</w:t>
        </w:r>
      </w:fldSimple>
      <w:r>
        <w:t xml:space="preserve"> </w:t>
      </w:r>
      <w:fldSimple w:instr="NOTEREF _Ref_Footnote_1 \h \f">
        <w:r>
          <w:rPr>
            <w:vertAlign w:val="superscript"/>
          </w:rPr>
          <w:t>1</w:t>
        </w:r>
      </w:fldSimple>
      <w:r>
        <w:t xml:space="preserve">. The mitigation is speed on T1.2 and T4.1 — the adaptive-transport head-to-head is the experiment that establishes primacy on the hierarchy, and it is cheap. The second risk is</w:t>
      </w:r>
      <w:r>
        <w:t xml:space="preserve"> </w:t>
      </w:r>
      <w:r>
        <w:rPr>
          <w:bCs/>
          <w:b/>
        </w:rPr>
        <w:t xml:space="preserve">the retrieval-classification dispute</w:t>
      </w:r>
      <w:r>
        <w:t xml:space="preserve">: if T1.4 succeeds, some reviewers will argue the delta rule is attention in disguise. The defense is mechanistic and must be written plainly — rank-one writes, no pairwise interactions, no softmax, O(T) sequential form — and the product-key control variant stands ready as the retrieval mechanism nobody can misclassify</w:t>
      </w:r>
      <w:r>
        <w:t xml:space="preserve"> </w:t>
      </w:r>
      <w:fldSimple w:instr="NOTEREF _Ref_Footnote_11 \h \f">
        <w:r>
          <w:rPr>
            <w:vertAlign w:val="superscript"/>
          </w:rPr>
          <w:t>11</w:t>
        </w:r>
      </w:fldSimple>
      <w:r>
        <w:t xml:space="preserve">. If T1.4</w:t>
      </w:r>
      <w:r>
        <w:t xml:space="preserve"> </w:t>
      </w:r>
      <w:r>
        <w:rPr>
          <w:iCs/>
          <w:i/>
        </w:rPr>
        <w:t xml:space="preserve">fails</w:t>
      </w:r>
      <w:r>
        <w:t xml:space="preserve"> </w:t>
      </w:r>
      <w:r>
        <w:t xml:space="preserve">on both variants, OPERA has measured the exact perplexity cost of refusing attention, which is itself the headline negative result the sub-quadratic field is missing.</w:t>
      </w:r>
    </w:p>
    <w:p>
      <w:pPr>
        <w:pStyle w:val="BodyText"/>
      </w:pPr>
      <w:r>
        <w:t xml:space="preserve">Third, the</w:t>
      </w:r>
      <w:r>
        <w:t xml:space="preserve"> </w:t>
      </w:r>
      <w:r>
        <w:rPr>
          <w:bCs/>
          <w:b/>
        </w:rPr>
        <w:t xml:space="preserve">evidence-transport risk</w:t>
      </w:r>
      <w:r>
        <w:t xml:space="preserve">: every Tier-1 lever is an import, and imports fail to transfer more often than they transfer. That is precisely what the project’s pre-registration culture is for — each arm carries a kill criterion that converts failure into record. The falsification record is currently OPERA’s most differentiated scientific asset (two pre-registered reversals, reported verbatim); this roadmap is designed so that even a run of nulls leaves the project with the cleanest regime map of any sub-quadratic architecture: what the tree’s geometry buys, on which axes, at which scales, at which cost. That is a publishable end-state independent of whether OPERA ever beats RoPE in-length — and if the gates break favorably, the same program produces a 350M, subword-tokenized, kernel-fused, memory-augmented OPERA with zero attention in it, measured against the field’s best on the field’s own benchmarks.</w:t>
      </w:r>
    </w:p>
    <w:p>
      <w:r>
        <w:pict>
          <v:rect style="width:0;height:1.5pt" o:hralign="center" o:hrstd="t" o:hr="t"/>
        </w:pic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developersdigest.tech. https://www.developersdigest.tech/blog/kimi-linear-attention-architecture-hn-analysis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https://arxiv.org/pdf/2605.22791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https://arxiv.org/pdf/2506.04761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https://arxiv.org/abs/2605.06946</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https://arxiv.org/html/2502.10297v6</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https://arxiv.org/abs/2505.16381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https://arxiv.org/pdf/2502.16982</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kellerjordan.github.io. https://kellerjordan.github.io/posts/muon/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https://arxiv.org/pdf/2412.19437</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https://arxiv.org/pdf/2102.11174</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https://arxiv.org/abs/1907.05242</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https://arxiv.org/html/2312.04927v1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https://arxiv.org/html/2508.19029v2</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https://arxiv.org/pdf/2501.00663?</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https://arxiv.org/html/2411.13676v1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AI Weekly. https://aiweekly.co/alerts/kimi-delta-attention-muon-tops-linear-attention-study</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example. https://proceedings.iclr.cc/paper_files/paper/2025/file/f32def07618040e540e0a6182e290562-Paper-Conference.pdf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https://arxiv.org/html/2102.11174v3</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NeurIPS Proceedings. https://proceedings.neurips.cc/paper_files/paper/2025/file/a4ca07aa108036f80cbb5b82285fd4b1-Paper-Conference.pdf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arXiv.org. https://arxiv.org/html/2605.06946v1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https://arxiv.org/abs/2502.10297</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https://arxiv.org/pdf/2601.06793</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Academia.edu. https://www.academia.edu/165262577/A_Comprehensive_Review_of_CliffordNet_Geometric_Algebra_as_the_Foundation_for_Efficient_Vision_Architectures_A_Comprehensive_Review_of_CliffordNet_Geometric_Algebra_as_the_Foundation_for_Efficient_Vision_Architectures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samuelstevens.me. https://samuelstevens.me/writing/mup</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https://github.com/microsoft/mup</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https://arxiv.org/abs/2412.19437</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https://github.com/KellerJordan/muon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https://arxiv.org/abs/2404.16811</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arXiv.org. https://arxiv.org/html/2404.16811v2</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arXiv.org. https://arxiv.org/html/2511.13900v1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Proceedings of Machine Learning Research. https://proceedings.mlr.press/v139/schlag21a/schlag21a.pdf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https://arxiv.org/html/2501.00663v1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Github. https://github.com/kellerjordan/modded-nanogpt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https://github.com/fla-org/flash-linear-attention</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Github. https://github.com/automl/DeltaProduct</w:t>
      </w:r>
      <w:bookmarkEnd w:id="1003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2" Target="media/rId22.png"/><Relationship Type="http://schemas.openxmlformats.org/officeDocument/2006/relationships/image" Id="rId53" Target="media/rId53.png"/><Relationship Type="http://schemas.openxmlformats.org/officeDocument/2006/relationships/image" Id="rId57" Target="media/rId57.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2026-07-29T04:05:28Z</dcterms:created>
  <dcterms:modified xsi:type="dcterms:W3CDTF">2026-07-29T04:05:28Z</dcterms:modified>
</cp:coreProperties>
</file>

<file path=docProps/custom.xml><?xml version="1.0" encoding="utf-8"?>
<Properties xmlns="http://schemas.openxmlformats.org/officeDocument/2006/custom-properties" xmlns:vt="http://schemas.openxmlformats.org/officeDocument/2006/docPropsVTypes"/>
</file>