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D97706"/>
          <w:sz w:val="20"/>
        </w:rPr>
        <w:t>CRISP-DM DATA SCIENCE REPORT</w:t>
      </w:r>
    </w:p>
    <w:p>
      <w:pPr>
        <w:spacing w:before="0" w:after="160"/>
        <w:jc w:val="center"/>
      </w:pPr>
      <w:r>
        <w:rPr>
          <w:rFonts w:ascii="Calibri" w:hAnsi="Calibri"/>
          <w:b/>
          <w:color w:val="17324D"/>
          <w:sz w:val="60"/>
        </w:rPr>
        <w:t>Predicting NBA MVP Vote Share</w:t>
      </w:r>
    </w:p>
    <w:p>
      <w:pPr>
        <w:pStyle w:val="Subtitle"/>
        <w:jc w:val="center"/>
      </w:pPr>
      <w:r>
        <w:rPr>
          <w:rFonts w:ascii="Calibri" w:hAnsi="Calibri"/>
          <w:color w:val="1F4D78"/>
          <w:sz w:val="28"/>
        </w:rPr>
        <w:t>Regression, season-level ranking, and era-aware evaluation using player-season data from 1982–2022</w:t>
      </w:r>
    </w:p>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7F2E8"/>
          </w:tcPr>
          <w:p>
            <w:pPr>
              <w:spacing w:after="40"/>
            </w:pPr>
            <w:r>
              <w:rPr>
                <w:rFonts w:ascii="Calibri" w:hAnsi="Calibri"/>
                <w:b/>
                <w:color w:val="D97706"/>
              </w:rPr>
              <w:t xml:space="preserve">Central finding: </w:t>
            </w:r>
            <w:r>
              <w:rPr>
                <w:rFonts w:ascii="Calibri" w:hAnsi="Calibri"/>
                <w:color w:val="202124"/>
              </w:rPr>
              <w:t>Regular-season player and team statistics provide useful predictive signal. The locked Histogram Gradient Boosting model achieved 0.0263 all-player RMSE, 0.8934 NDCG@5, and ranked the actual MVP first in three of four final-test seasons.</w:t>
            </w:r>
          </w:p>
        </w:tc>
      </w:tr>
    </w:tbl>
    <w:p>
      <w:pPr>
        <w:spacing w:after="20"/>
      </w:pPr>
    </w:p>
    <w:p>
      <w:pPr>
        <w:spacing w:before="680"/>
        <w:jc w:val="center"/>
      </w:pPr>
      <w:r>
        <w:rPr>
          <w:rFonts w:ascii="Calibri" w:hAnsi="Calibri"/>
          <w:i/>
          <w:color w:val="5F6874"/>
          <w:sz w:val="21"/>
        </w:rPr>
        <w:t>Final analytical report  |  September 2026</w:t>
      </w:r>
    </w:p>
    <w:p>
      <w:r>
        <w:br w:type="page"/>
      </w:r>
    </w:p>
    <w:p>
      <w:pPr>
        <w:pStyle w:val="Heading1"/>
      </w:pPr>
      <w:r>
        <w:t>Executive summary</w:t>
      </w:r>
    </w:p>
    <w:p>
      <w:r>
        <w:rPr>
          <w:rFonts w:ascii="Calibri" w:hAnsi="Calibri"/>
          <w:color w:val="202124"/>
        </w:rPr>
        <w:t>This project evaluated whether regular-season performance can predict the numerical MVP voting target, award_share, and rank leading candidates within each season. The analysis treated MVP prediction as both a regression problem and a season-level information-retrieval problem because most players receive no votes and the practical question concerns ordering the small group of serious candidates.</w:t>
      </w:r>
    </w:p>
    <w:p>
      <w:r>
        <w:rPr>
          <w:rFonts w:ascii="Calibri" w:hAnsi="Calibri"/>
          <w:color w:val="202124"/>
        </w:rPr>
        <w:t>The final design used chronological development through 2018 and an untouched 2019–2022 test. Histogram Gradient Boosting was locked as the official model before the final test, with an Extra Trees hurdle model retained as the principal structural challenger. The champion passed all six prespecified success criteria.</w:t>
      </w:r>
    </w:p>
    <w:tbl>
      <w:tblPr>
        <w:tblStyle w:val="TableGrid"/>
        <w:tblW w:type="dxa" w:w="9360"/>
        <w:tblLayout w:type="fixed"/>
        <w:tblLook w:firstColumn="1" w:firstRow="1" w:lastColumn="0" w:lastRow="0" w:noHBand="0" w:noVBand="1" w:val="04A0"/>
        <w:jc w:val="left"/>
        <w:tblInd w:w="120" w:type="dxa"/>
      </w:tblPr>
      <w:tblGrid>
        <w:gridCol w:w="3000"/>
        <w:gridCol w:w="1800"/>
        <w:gridCol w:w="4560"/>
      </w:tblGrid>
      <w:tr>
        <w:trPr>
          <w:tblHeader w:val="true"/>
        </w:trPr>
        <w:tc>
          <w:tcPr>
            <w:tcW w:type="dxa" w:w="3000"/>
            <w:vAlign w:val="center"/>
            <w:tcMar>
              <w:top w:w="80" w:type="dxa"/>
              <w:start w:w="120" w:type="dxa"/>
              <w:bottom w:w="80" w:type="dxa"/>
              <w:end w:w="120" w:type="dxa"/>
            </w:tcMar>
            <w:shd w:fill="17324D"/>
          </w:tcPr>
          <w:p>
            <w:pPr>
              <w:spacing w:after="0"/>
              <w:jc w:val="center"/>
            </w:pPr>
            <w:r>
              <w:rPr>
                <w:rFonts w:ascii="Calibri" w:hAnsi="Calibri"/>
                <w:b/>
                <w:color w:val="FFFFFF"/>
                <w:sz w:val="18"/>
              </w:rPr>
              <w:t>Final-test measure</w:t>
            </w:r>
          </w:p>
        </w:tc>
        <w:tc>
          <w:tcPr>
            <w:tcW w:type="dxa" w:w="1800"/>
            <w:vAlign w:val="center"/>
            <w:tcMar>
              <w:top w:w="80" w:type="dxa"/>
              <w:start w:w="120" w:type="dxa"/>
              <w:bottom w:w="80" w:type="dxa"/>
              <w:end w:w="120" w:type="dxa"/>
            </w:tcMar>
            <w:shd w:fill="17324D"/>
          </w:tcPr>
          <w:p>
            <w:pPr>
              <w:spacing w:after="0"/>
              <w:jc w:val="center"/>
            </w:pPr>
            <w:r>
              <w:rPr>
                <w:rFonts w:ascii="Calibri" w:hAnsi="Calibri"/>
                <w:b/>
                <w:color w:val="FFFFFF"/>
                <w:sz w:val="18"/>
              </w:rPr>
              <w:t>Histogram GB</w:t>
            </w:r>
          </w:p>
        </w:tc>
        <w:tc>
          <w:tcPr>
            <w:tcW w:type="dxa" w:w="4560"/>
            <w:vAlign w:val="center"/>
            <w:tcMar>
              <w:top w:w="80" w:type="dxa"/>
              <w:start w:w="120" w:type="dxa"/>
              <w:bottom w:w="80" w:type="dxa"/>
              <w:end w:w="120" w:type="dxa"/>
            </w:tcMar>
            <w:shd w:fill="17324D"/>
          </w:tcPr>
          <w:p>
            <w:pPr>
              <w:spacing w:after="0"/>
              <w:jc w:val="center"/>
            </w:pPr>
            <w:r>
              <w:rPr>
                <w:rFonts w:ascii="Calibri" w:hAnsi="Calibri"/>
                <w:b/>
                <w:color w:val="FFFFFF"/>
                <w:sz w:val="18"/>
              </w:rPr>
              <w:t>Interpretation</w:t>
            </w:r>
          </w:p>
        </w:tc>
      </w:tr>
      <w:tr>
        <w:tc>
          <w:tcPr>
            <w:tcW w:type="dxa" w:w="3000"/>
            <w:vAlign w:val="center"/>
            <w:tcMar>
              <w:top w:w="80" w:type="dxa"/>
              <w:start w:w="120" w:type="dxa"/>
              <w:bottom w:w="80" w:type="dxa"/>
              <w:end w:w="120" w:type="dxa"/>
            </w:tcMar>
          </w:tcPr>
          <w:p>
            <w:pPr>
              <w:spacing w:after="0"/>
              <w:jc w:val="left"/>
            </w:pPr>
            <w:r>
              <w:rPr>
                <w:rFonts w:ascii="Calibri" w:hAnsi="Calibri"/>
                <w:color w:val="202124"/>
                <w:sz w:val="18"/>
              </w:rPr>
              <w:t>All-player RMSE</w:t>
            </w:r>
          </w:p>
        </w:tc>
        <w:tc>
          <w:tcPr>
            <w:tcW w:type="dxa" w:w="1800"/>
            <w:vAlign w:val="center"/>
            <w:tcMar>
              <w:top w:w="80" w:type="dxa"/>
              <w:start w:w="120" w:type="dxa"/>
              <w:bottom w:w="80" w:type="dxa"/>
              <w:end w:w="120" w:type="dxa"/>
            </w:tcMar>
          </w:tcPr>
          <w:p>
            <w:pPr>
              <w:spacing w:after="0"/>
              <w:jc w:val="center"/>
            </w:pPr>
            <w:r>
              <w:rPr>
                <w:rFonts w:ascii="Calibri" w:hAnsi="Calibri"/>
                <w:color w:val="202124"/>
                <w:sz w:val="18"/>
              </w:rPr>
              <w:t>0.0263</w:t>
            </w:r>
          </w:p>
        </w:tc>
        <w:tc>
          <w:tcPr>
            <w:tcW w:type="dxa" w:w="4560"/>
            <w:vAlign w:val="center"/>
            <w:tcMar>
              <w:top w:w="80" w:type="dxa"/>
              <w:start w:w="120" w:type="dxa"/>
              <w:bottom w:w="80" w:type="dxa"/>
              <w:end w:w="120" w:type="dxa"/>
            </w:tcMar>
          </w:tcPr>
          <w:p>
            <w:pPr>
              <w:spacing w:after="0"/>
              <w:jc w:val="left"/>
            </w:pPr>
            <w:r>
              <w:rPr>
                <w:rFonts w:ascii="Calibri" w:hAnsi="Calibri"/>
                <w:color w:val="202124"/>
                <w:sz w:val="18"/>
              </w:rPr>
              <w:t>Best numerical error</w:t>
            </w:r>
          </w:p>
        </w:tc>
      </w:tr>
      <w:tr>
        <w:tc>
          <w:tcPr>
            <w:tcW w:type="dxa" w:w="3000"/>
            <w:shd w:fill="F2F4F7"/>
            <w:vAlign w:val="center"/>
            <w:tcMar>
              <w:top w:w="80" w:type="dxa"/>
              <w:start w:w="120" w:type="dxa"/>
              <w:bottom w:w="80" w:type="dxa"/>
              <w:end w:w="120" w:type="dxa"/>
            </w:tcMar>
          </w:tcPr>
          <w:p>
            <w:pPr>
              <w:spacing w:after="0"/>
              <w:jc w:val="left"/>
            </w:pPr>
            <w:r>
              <w:rPr>
                <w:rFonts w:ascii="Calibri" w:hAnsi="Calibri"/>
                <w:color w:val="202124"/>
                <w:sz w:val="18"/>
              </w:rPr>
              <w:t>Vote-recipient RMSE</w:t>
            </w:r>
          </w:p>
        </w:tc>
        <w:tc>
          <w:tcPr>
            <w:tcW w:type="dxa" w:w="1800"/>
            <w:shd w:fill="F2F4F7"/>
            <w:vAlign w:val="center"/>
            <w:tcMar>
              <w:top w:w="80" w:type="dxa"/>
              <w:start w:w="120" w:type="dxa"/>
              <w:bottom w:w="80" w:type="dxa"/>
              <w:end w:w="120" w:type="dxa"/>
            </w:tcMar>
          </w:tcPr>
          <w:p>
            <w:pPr>
              <w:spacing w:after="0"/>
              <w:jc w:val="center"/>
            </w:pPr>
            <w:r>
              <w:rPr>
                <w:rFonts w:ascii="Calibri" w:hAnsi="Calibri"/>
                <w:color w:val="202124"/>
                <w:sz w:val="18"/>
              </w:rPr>
              <w:t>0.1553</w:t>
            </w:r>
          </w:p>
        </w:tc>
        <w:tc>
          <w:tcPr>
            <w:tcW w:type="dxa" w:w="4560"/>
            <w:shd w:fill="F2F4F7"/>
            <w:vAlign w:val="center"/>
            <w:tcMar>
              <w:top w:w="80" w:type="dxa"/>
              <w:start w:w="120" w:type="dxa"/>
              <w:bottom w:w="80" w:type="dxa"/>
              <w:end w:w="120" w:type="dxa"/>
            </w:tcMar>
          </w:tcPr>
          <w:p>
            <w:pPr>
              <w:spacing w:after="0"/>
              <w:jc w:val="left"/>
            </w:pPr>
            <w:r>
              <w:rPr>
                <w:rFonts w:ascii="Calibri" w:hAnsi="Calibri"/>
                <w:color w:val="202124"/>
                <w:sz w:val="18"/>
              </w:rPr>
              <w:t>Best recipient error</w:t>
            </w:r>
          </w:p>
        </w:tc>
      </w:tr>
      <w:tr>
        <w:tc>
          <w:tcPr>
            <w:tcW w:type="dxa" w:w="3000"/>
            <w:vAlign w:val="center"/>
            <w:tcMar>
              <w:top w:w="80" w:type="dxa"/>
              <w:start w:w="120" w:type="dxa"/>
              <w:bottom w:w="80" w:type="dxa"/>
              <w:end w:w="120" w:type="dxa"/>
            </w:tcMar>
          </w:tcPr>
          <w:p>
            <w:pPr>
              <w:spacing w:after="0"/>
              <w:jc w:val="left"/>
            </w:pPr>
            <w:r>
              <w:rPr>
                <w:rFonts w:ascii="Calibri" w:hAnsi="Calibri"/>
                <w:color w:val="202124"/>
                <w:sz w:val="18"/>
              </w:rPr>
              <w:t>R²</w:t>
            </w:r>
          </w:p>
        </w:tc>
        <w:tc>
          <w:tcPr>
            <w:tcW w:type="dxa" w:w="1800"/>
            <w:vAlign w:val="center"/>
            <w:tcMar>
              <w:top w:w="80" w:type="dxa"/>
              <w:start w:w="120" w:type="dxa"/>
              <w:bottom w:w="80" w:type="dxa"/>
              <w:end w:w="120" w:type="dxa"/>
            </w:tcMar>
          </w:tcPr>
          <w:p>
            <w:pPr>
              <w:spacing w:after="0"/>
              <w:jc w:val="center"/>
            </w:pPr>
            <w:r>
              <w:rPr>
                <w:rFonts w:ascii="Calibri" w:hAnsi="Calibri"/>
                <w:color w:val="202124"/>
                <w:sz w:val="18"/>
              </w:rPr>
              <w:t>0.8033</w:t>
            </w:r>
          </w:p>
        </w:tc>
        <w:tc>
          <w:tcPr>
            <w:tcW w:type="dxa" w:w="4560"/>
            <w:vAlign w:val="center"/>
            <w:tcMar>
              <w:top w:w="80" w:type="dxa"/>
              <w:start w:w="120" w:type="dxa"/>
              <w:bottom w:w="80" w:type="dxa"/>
              <w:end w:w="120" w:type="dxa"/>
            </w:tcMar>
          </w:tcPr>
          <w:p>
            <w:pPr>
              <w:spacing w:after="0"/>
              <w:jc w:val="left"/>
            </w:pPr>
            <w:r>
              <w:rPr>
                <w:rFonts w:ascii="Calibri" w:hAnsi="Calibri"/>
                <w:color w:val="202124"/>
                <w:sz w:val="18"/>
              </w:rPr>
              <w:t>Strong explained variation</w:t>
            </w:r>
          </w:p>
        </w:tc>
      </w:tr>
      <w:tr>
        <w:tc>
          <w:tcPr>
            <w:tcW w:type="dxa" w:w="3000"/>
            <w:shd w:fill="F2F4F7"/>
            <w:vAlign w:val="center"/>
            <w:tcMar>
              <w:top w:w="80" w:type="dxa"/>
              <w:start w:w="120" w:type="dxa"/>
              <w:bottom w:w="80" w:type="dxa"/>
              <w:end w:w="120" w:type="dxa"/>
            </w:tcMar>
          </w:tcPr>
          <w:p>
            <w:pPr>
              <w:spacing w:after="0"/>
              <w:jc w:val="left"/>
            </w:pPr>
            <w:r>
              <w:rPr>
                <w:rFonts w:ascii="Calibri" w:hAnsi="Calibri"/>
                <w:color w:val="202124"/>
                <w:sz w:val="18"/>
              </w:rPr>
              <w:t>NDCG@5</w:t>
            </w:r>
          </w:p>
        </w:tc>
        <w:tc>
          <w:tcPr>
            <w:tcW w:type="dxa" w:w="1800"/>
            <w:shd w:fill="F2F4F7"/>
            <w:vAlign w:val="center"/>
            <w:tcMar>
              <w:top w:w="80" w:type="dxa"/>
              <w:start w:w="120" w:type="dxa"/>
              <w:bottom w:w="80" w:type="dxa"/>
              <w:end w:w="120" w:type="dxa"/>
            </w:tcMar>
          </w:tcPr>
          <w:p>
            <w:pPr>
              <w:spacing w:after="0"/>
              <w:jc w:val="center"/>
            </w:pPr>
            <w:r>
              <w:rPr>
                <w:rFonts w:ascii="Calibri" w:hAnsi="Calibri"/>
                <w:color w:val="202124"/>
                <w:sz w:val="18"/>
              </w:rPr>
              <w:t>0.8934</w:t>
            </w:r>
          </w:p>
        </w:tc>
        <w:tc>
          <w:tcPr>
            <w:tcW w:type="dxa" w:w="4560"/>
            <w:shd w:fill="F2F4F7"/>
            <w:vAlign w:val="center"/>
            <w:tcMar>
              <w:top w:w="80" w:type="dxa"/>
              <w:start w:w="120" w:type="dxa"/>
              <w:bottom w:w="80" w:type="dxa"/>
              <w:end w:w="120" w:type="dxa"/>
            </w:tcMar>
          </w:tcPr>
          <w:p>
            <w:pPr>
              <w:spacing w:after="0"/>
              <w:jc w:val="left"/>
            </w:pPr>
            <w:r>
              <w:rPr>
                <w:rFonts w:ascii="Calibri" w:hAnsi="Calibri"/>
                <w:color w:val="202124"/>
                <w:sz w:val="18"/>
              </w:rPr>
              <w:t>Strong top-candidate ordering</w:t>
            </w:r>
          </w:p>
        </w:tc>
      </w:tr>
      <w:tr>
        <w:tc>
          <w:tcPr>
            <w:tcW w:type="dxa" w:w="3000"/>
            <w:vAlign w:val="center"/>
            <w:tcMar>
              <w:top w:w="80" w:type="dxa"/>
              <w:start w:w="120" w:type="dxa"/>
              <w:bottom w:w="80" w:type="dxa"/>
              <w:end w:w="120" w:type="dxa"/>
            </w:tcMar>
          </w:tcPr>
          <w:p>
            <w:pPr>
              <w:spacing w:after="0"/>
              <w:jc w:val="left"/>
            </w:pPr>
            <w:r>
              <w:rPr>
                <w:rFonts w:ascii="Calibri" w:hAnsi="Calibri"/>
                <w:color w:val="202124"/>
                <w:sz w:val="18"/>
              </w:rPr>
              <w:t>Actual MVP mean rank</w:t>
            </w:r>
          </w:p>
        </w:tc>
        <w:tc>
          <w:tcPr>
            <w:tcW w:type="dxa" w:w="1800"/>
            <w:vAlign w:val="center"/>
            <w:tcMar>
              <w:top w:w="80" w:type="dxa"/>
              <w:start w:w="120" w:type="dxa"/>
              <w:bottom w:w="80" w:type="dxa"/>
              <w:end w:w="120" w:type="dxa"/>
            </w:tcMar>
          </w:tcPr>
          <w:p>
            <w:pPr>
              <w:spacing w:after="0"/>
              <w:jc w:val="center"/>
            </w:pPr>
            <w:r>
              <w:rPr>
                <w:rFonts w:ascii="Calibri" w:hAnsi="Calibri"/>
                <w:color w:val="202124"/>
                <w:sz w:val="18"/>
              </w:rPr>
              <w:t>1.25</w:t>
            </w:r>
          </w:p>
        </w:tc>
        <w:tc>
          <w:tcPr>
            <w:tcW w:type="dxa" w:w="4560"/>
            <w:vAlign w:val="center"/>
            <w:tcMar>
              <w:top w:w="80" w:type="dxa"/>
              <w:start w:w="120" w:type="dxa"/>
              <w:bottom w:w="80" w:type="dxa"/>
              <w:end w:w="120" w:type="dxa"/>
            </w:tcMar>
          </w:tcPr>
          <w:p>
            <w:pPr>
              <w:spacing w:after="0"/>
              <w:jc w:val="left"/>
            </w:pPr>
            <w:r>
              <w:rPr>
                <w:rFonts w:ascii="Calibri" w:hAnsi="Calibri"/>
                <w:color w:val="202124"/>
                <w:sz w:val="18"/>
              </w:rPr>
              <w:t>Winner never below second</w:t>
            </w:r>
          </w:p>
        </w:tc>
      </w:tr>
      <w:tr>
        <w:tc>
          <w:tcPr>
            <w:tcW w:type="dxa" w:w="3000"/>
            <w:shd w:fill="F2F4F7"/>
            <w:vAlign w:val="center"/>
            <w:tcMar>
              <w:top w:w="80" w:type="dxa"/>
              <w:start w:w="120" w:type="dxa"/>
              <w:bottom w:w="80" w:type="dxa"/>
              <w:end w:w="120" w:type="dxa"/>
            </w:tcMar>
          </w:tcPr>
          <w:p>
            <w:pPr>
              <w:spacing w:after="0"/>
              <w:jc w:val="left"/>
            </w:pPr>
            <w:r>
              <w:rPr>
                <w:rFonts w:ascii="Calibri" w:hAnsi="Calibri"/>
                <w:color w:val="202124"/>
                <w:sz w:val="18"/>
              </w:rPr>
              <w:t>Top-1 accuracy</w:t>
            </w:r>
          </w:p>
        </w:tc>
        <w:tc>
          <w:tcPr>
            <w:tcW w:type="dxa" w:w="1800"/>
            <w:shd w:fill="F2F4F7"/>
            <w:vAlign w:val="center"/>
            <w:tcMar>
              <w:top w:w="80" w:type="dxa"/>
              <w:start w:w="120" w:type="dxa"/>
              <w:bottom w:w="80" w:type="dxa"/>
              <w:end w:w="120" w:type="dxa"/>
            </w:tcMar>
          </w:tcPr>
          <w:p>
            <w:pPr>
              <w:spacing w:after="0"/>
              <w:jc w:val="center"/>
            </w:pPr>
            <w:r>
              <w:rPr>
                <w:rFonts w:ascii="Calibri" w:hAnsi="Calibri"/>
                <w:color w:val="202124"/>
                <w:sz w:val="18"/>
              </w:rPr>
              <w:t>75%</w:t>
            </w:r>
          </w:p>
        </w:tc>
        <w:tc>
          <w:tcPr>
            <w:tcW w:type="dxa" w:w="4560"/>
            <w:shd w:fill="F2F4F7"/>
            <w:vAlign w:val="center"/>
            <w:tcMar>
              <w:top w:w="80" w:type="dxa"/>
              <w:start w:w="120" w:type="dxa"/>
              <w:bottom w:w="80" w:type="dxa"/>
              <w:end w:w="120" w:type="dxa"/>
            </w:tcMar>
          </w:tcPr>
          <w:p>
            <w:pPr>
              <w:spacing w:after="0"/>
              <w:jc w:val="left"/>
            </w:pPr>
            <w:r>
              <w:rPr>
                <w:rFonts w:ascii="Calibri" w:hAnsi="Calibri"/>
                <w:color w:val="202124"/>
                <w:sz w:val="18"/>
              </w:rPr>
              <w:t>Three of four winners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40"/>
            </w:pPr>
            <w:r>
              <w:rPr>
                <w:rFonts w:ascii="Calibri" w:hAnsi="Calibri"/>
                <w:b/>
                <w:color w:val="2E74B5"/>
              </w:rPr>
              <w:t xml:space="preserve">Decision: </w:t>
            </w:r>
            <w:r>
              <w:rPr>
                <w:rFonts w:ascii="Calibri" w:hAnsi="Calibri"/>
                <w:color w:val="202124"/>
              </w:rPr>
              <w:t>Use Histogram GB for numerical vote-share forecasts and require the Extra Trees hurdle ranking as a calibration and disagreement check.</w:t>
            </w:r>
          </w:p>
        </w:tc>
      </w:tr>
    </w:tbl>
    <w:p>
      <w:pPr>
        <w:spacing w:after="20"/>
      </w:pPr>
    </w:p>
    <w:p>
      <w:r>
        <w:br w:type="page"/>
      </w:r>
    </w:p>
    <w:p>
      <w:pPr>
        <w:pStyle w:val="Heading1"/>
      </w:pPr>
      <w:r>
        <w:t>1. Business understanding</w:t>
      </w:r>
    </w:p>
    <w:p>
      <w:pPr>
        <w:pStyle w:val="Heading2"/>
      </w:pPr>
      <w:r>
        <w:t>1.1 Research question</w:t>
      </w:r>
    </w:p>
    <w:p>
      <w:r>
        <w:rPr>
          <w:rFonts w:ascii="Calibri" w:hAnsi="Calibri"/>
          <w:color w:val="202124"/>
        </w:rPr>
        <w:t>Can regular-season player statistics and team performance predict MVP vote share and correctly rank the leading MVP candidates within each season?</w:t>
      </w:r>
    </w:p>
    <w:p>
      <w:pPr>
        <w:pStyle w:val="Heading2"/>
      </w:pPr>
      <w:r>
        <w:t>1.2 Analytical framing</w:t>
      </w:r>
    </w:p>
    <w:p>
      <w:pPr>
        <w:pStyle w:val="ListBullet"/>
        <w:spacing w:after="80" w:line="288" w:lineRule="auto"/>
        <w:ind w:left="720" w:hanging="360"/>
      </w:pPr>
      <w:r>
        <w:rPr>
          <w:rFonts w:ascii="Calibri" w:hAnsi="Calibri"/>
          <w:color w:val="202124"/>
        </w:rPr>
        <w:t>Regression: predict the continuous award_share target.</w:t>
      </w:r>
    </w:p>
    <w:p>
      <w:pPr>
        <w:pStyle w:val="ListBullet"/>
        <w:spacing w:after="80" w:line="288" w:lineRule="auto"/>
        <w:ind w:left="720" w:hanging="360"/>
      </w:pPr>
      <w:r>
        <w:rPr>
          <w:rFonts w:ascii="Calibri" w:hAnsi="Calibri"/>
          <w:color w:val="202124"/>
        </w:rPr>
        <w:t>Ranking: order candidates separately within each season.</w:t>
      </w:r>
    </w:p>
    <w:p>
      <w:pPr>
        <w:pStyle w:val="ListBullet"/>
        <w:spacing w:after="80" w:line="288" w:lineRule="auto"/>
        <w:ind w:left="720" w:hanging="360"/>
      </w:pPr>
      <w:r>
        <w:rPr>
          <w:rFonts w:ascii="Calibri" w:hAnsi="Calibri"/>
          <w:color w:val="202124"/>
        </w:rPr>
        <w:t>Chronological generalization: train on the past and evaluate on later seasons.</w:t>
      </w:r>
    </w:p>
    <w:p>
      <w:pPr>
        <w:pStyle w:val="ListBullet"/>
        <w:spacing w:after="80" w:line="288" w:lineRule="auto"/>
        <w:ind w:left="720" w:hanging="360"/>
      </w:pPr>
      <w:r>
        <w:rPr>
          <w:rFonts w:ascii="Calibri" w:hAnsi="Calibri"/>
          <w:color w:val="202124"/>
        </w:rPr>
        <w:t>Decision support: produce forecasts and candidate rankings, not causal judgments about who deserves the award.</w:t>
      </w:r>
    </w:p>
    <w:p>
      <w:pPr>
        <w:pStyle w:val="Heading2"/>
      </w:pPr>
      <w:r>
        <w:t>1.3 Success criteria</w:t>
      </w:r>
    </w:p>
    <w:p>
      <w:r>
        <w:rPr>
          <w:rFonts w:ascii="Calibri" w:hAnsi="Calibri"/>
          <w:color w:val="202124"/>
        </w:rPr>
        <w:t>The champion was required to outperform the Win Shares baseline on all-player RMSE, recipient RMSE, NDCG@5, and season-total calibration; achieve a mean winner rank no worse than third; and obtain at least 50% top-1 accuracy. All six criteria passed on the locked test.</w:t>
      </w:r>
    </w:p>
    <w:p>
      <w:pPr>
        <w:pStyle w:val="Heading1"/>
      </w:pPr>
      <w:r>
        <w:t>2. Data understanding</w:t>
      </w:r>
    </w:p>
    <w:p>
      <w:r>
        <w:rPr>
          <w:rFonts w:ascii="Calibri" w:hAnsi="Calibri"/>
          <w:color w:val="202124"/>
        </w:rPr>
        <w:t>The uploaded dataset contains 17,697 player-team-season rows, 55 columns, and 41 seasons from 1982 through 2022. The target is extremely zero-heavy: meaningful MVP support is concentrated among a small number of candidates each season. Repeated names are expected because players appear across seasons and traded players may have team-specific and combined TOT records.</w:t>
      </w:r>
    </w:p>
    <w:tbl>
      <w:tblPr>
        <w:tblStyle w:val="TableGrid"/>
        <w:tblW w:type="dxa" w:w="9360"/>
        <w:tblLayout w:type="fixed"/>
        <w:tblLook w:firstColumn="1" w:firstRow="1" w:lastColumn="0" w:lastRow="0" w:noHBand="0" w:noVBand="1" w:val="04A0"/>
        <w:jc w:val="left"/>
        <w:tblInd w:w="120" w:type="dxa"/>
      </w:tblPr>
      <w:tblGrid>
        <w:gridCol w:w="2550"/>
        <w:gridCol w:w="2400"/>
        <w:gridCol w:w="4410"/>
      </w:tblGrid>
      <w:tr>
        <w:trPr>
          <w:tblHeader w:val="true"/>
        </w:trPr>
        <w:tc>
          <w:tcPr>
            <w:tcW w:type="dxa" w:w="2550"/>
            <w:vAlign w:val="center"/>
            <w:tcMar>
              <w:top w:w="80" w:type="dxa"/>
              <w:start w:w="120" w:type="dxa"/>
              <w:bottom w:w="80" w:type="dxa"/>
              <w:end w:w="120" w:type="dxa"/>
            </w:tcMar>
            <w:shd w:fill="17324D"/>
          </w:tcPr>
          <w:p>
            <w:pPr>
              <w:spacing w:after="0"/>
              <w:jc w:val="center"/>
            </w:pPr>
            <w:r>
              <w:rPr>
                <w:rFonts w:ascii="Calibri" w:hAnsi="Calibri"/>
                <w:b/>
                <w:color w:val="FFFFFF"/>
                <w:sz w:val="18"/>
              </w:rPr>
              <w:t>Audit item</w:t>
            </w:r>
          </w:p>
        </w:tc>
        <w:tc>
          <w:tcPr>
            <w:tcW w:type="dxa" w:w="2400"/>
            <w:vAlign w:val="center"/>
            <w:tcMar>
              <w:top w:w="80" w:type="dxa"/>
              <w:start w:w="120" w:type="dxa"/>
              <w:bottom w:w="80" w:type="dxa"/>
              <w:end w:w="120" w:type="dxa"/>
            </w:tcMar>
            <w:shd w:fill="17324D"/>
          </w:tcPr>
          <w:p>
            <w:pPr>
              <w:spacing w:after="0"/>
              <w:jc w:val="center"/>
            </w:pPr>
            <w:r>
              <w:rPr>
                <w:rFonts w:ascii="Calibri" w:hAnsi="Calibri"/>
                <w:b/>
                <w:color w:val="FFFFFF"/>
                <w:sz w:val="18"/>
              </w:rPr>
              <w:t>Observed result</w:t>
            </w:r>
          </w:p>
        </w:tc>
        <w:tc>
          <w:tcPr>
            <w:tcW w:type="dxa" w:w="4410"/>
            <w:vAlign w:val="center"/>
            <w:tcMar>
              <w:top w:w="80" w:type="dxa"/>
              <w:start w:w="120" w:type="dxa"/>
              <w:bottom w:w="80" w:type="dxa"/>
              <w:end w:w="120" w:type="dxa"/>
            </w:tcMar>
            <w:shd w:fill="17324D"/>
          </w:tcPr>
          <w:p>
            <w:pPr>
              <w:spacing w:after="0"/>
              <w:jc w:val="center"/>
            </w:pPr>
            <w:r>
              <w:rPr>
                <w:rFonts w:ascii="Calibri" w:hAnsi="Calibri"/>
                <w:b/>
                <w:color w:val="FFFFFF"/>
                <w:sz w:val="18"/>
              </w:rPr>
              <w:t>Treatment</w:t>
            </w:r>
          </w:p>
        </w:tc>
      </w:tr>
      <w:tr>
        <w:tc>
          <w:tcPr>
            <w:tcW w:type="dxa" w:w="2550"/>
            <w:vAlign w:val="center"/>
            <w:tcMar>
              <w:top w:w="80" w:type="dxa"/>
              <w:start w:w="120" w:type="dxa"/>
              <w:bottom w:w="80" w:type="dxa"/>
              <w:end w:w="120" w:type="dxa"/>
            </w:tcMar>
          </w:tcPr>
          <w:p>
            <w:pPr>
              <w:spacing w:after="0"/>
              <w:jc w:val="left"/>
            </w:pPr>
            <w:r>
              <w:rPr>
                <w:rFonts w:ascii="Calibri" w:hAnsi="Calibri"/>
                <w:color w:val="202124"/>
                <w:sz w:val="18"/>
              </w:rPr>
              <w:t>Temporal coverage</w:t>
            </w:r>
          </w:p>
        </w:tc>
        <w:tc>
          <w:tcPr>
            <w:tcW w:type="dxa" w:w="2400"/>
            <w:vAlign w:val="center"/>
            <w:tcMar>
              <w:top w:w="80" w:type="dxa"/>
              <w:start w:w="120" w:type="dxa"/>
              <w:bottom w:w="80" w:type="dxa"/>
              <w:end w:w="120" w:type="dxa"/>
            </w:tcMar>
          </w:tcPr>
          <w:p>
            <w:pPr>
              <w:spacing w:after="0"/>
              <w:jc w:val="left"/>
            </w:pPr>
            <w:r>
              <w:rPr>
                <w:rFonts w:ascii="Calibri" w:hAnsi="Calibri"/>
                <w:color w:val="202124"/>
                <w:sz w:val="18"/>
              </w:rPr>
              <w:t>1982–2022</w:t>
            </w:r>
          </w:p>
        </w:tc>
        <w:tc>
          <w:tcPr>
            <w:tcW w:type="dxa" w:w="4410"/>
            <w:vAlign w:val="center"/>
            <w:tcMar>
              <w:top w:w="80" w:type="dxa"/>
              <w:start w:w="120" w:type="dxa"/>
              <w:bottom w:w="80" w:type="dxa"/>
              <w:end w:w="120" w:type="dxa"/>
            </w:tcMar>
          </w:tcPr>
          <w:p>
            <w:pPr>
              <w:spacing w:after="0"/>
              <w:jc w:val="left"/>
            </w:pPr>
            <w:r>
              <w:rPr>
                <w:rFonts w:ascii="Calibri" w:hAnsi="Calibri"/>
                <w:color w:val="202124"/>
                <w:sz w:val="18"/>
              </w:rPr>
              <w:t>Preserve chronological order</w:t>
            </w:r>
          </w:p>
        </w:tc>
      </w:tr>
      <w:tr>
        <w:tc>
          <w:tcPr>
            <w:tcW w:type="dxa" w:w="2550"/>
            <w:shd w:fill="F2F4F7"/>
            <w:vAlign w:val="center"/>
            <w:tcMar>
              <w:top w:w="80" w:type="dxa"/>
              <w:start w:w="120" w:type="dxa"/>
              <w:bottom w:w="80" w:type="dxa"/>
              <w:end w:w="120" w:type="dxa"/>
            </w:tcMar>
          </w:tcPr>
          <w:p>
            <w:pPr>
              <w:spacing w:after="0"/>
              <w:jc w:val="left"/>
            </w:pPr>
            <w:r>
              <w:rPr>
                <w:rFonts w:ascii="Calibri" w:hAnsi="Calibri"/>
                <w:color w:val="202124"/>
                <w:sz w:val="18"/>
              </w:rPr>
              <w:t>Rows / columns</w:t>
            </w:r>
          </w:p>
        </w:tc>
        <w:tc>
          <w:tcPr>
            <w:tcW w:type="dxa" w:w="2400"/>
            <w:shd w:fill="F2F4F7"/>
            <w:vAlign w:val="center"/>
            <w:tcMar>
              <w:top w:w="80" w:type="dxa"/>
              <w:start w:w="120" w:type="dxa"/>
              <w:bottom w:w="80" w:type="dxa"/>
              <w:end w:w="120" w:type="dxa"/>
            </w:tcMar>
          </w:tcPr>
          <w:p>
            <w:pPr>
              <w:spacing w:after="0"/>
              <w:jc w:val="left"/>
            </w:pPr>
            <w:r>
              <w:rPr>
                <w:rFonts w:ascii="Calibri" w:hAnsi="Calibri"/>
                <w:color w:val="202124"/>
                <w:sz w:val="18"/>
              </w:rPr>
              <w:t>17,697 / 55</w:t>
            </w:r>
          </w:p>
        </w:tc>
        <w:tc>
          <w:tcPr>
            <w:tcW w:type="dxa" w:w="4410"/>
            <w:shd w:fill="F2F4F7"/>
            <w:vAlign w:val="center"/>
            <w:tcMar>
              <w:top w:w="80" w:type="dxa"/>
              <w:start w:w="120" w:type="dxa"/>
              <w:bottom w:w="80" w:type="dxa"/>
              <w:end w:w="120" w:type="dxa"/>
            </w:tcMar>
          </w:tcPr>
          <w:p>
            <w:pPr>
              <w:spacing w:after="0"/>
              <w:jc w:val="left"/>
            </w:pPr>
            <w:r>
              <w:rPr>
                <w:rFonts w:ascii="Calibri" w:hAnsi="Calibri"/>
                <w:color w:val="202124"/>
                <w:sz w:val="18"/>
              </w:rPr>
              <w:t>Retain raw source identity</w:t>
            </w:r>
          </w:p>
        </w:tc>
      </w:tr>
      <w:tr>
        <w:tc>
          <w:tcPr>
            <w:tcW w:type="dxa" w:w="2550"/>
            <w:vAlign w:val="center"/>
            <w:tcMar>
              <w:top w:w="80" w:type="dxa"/>
              <w:start w:w="120" w:type="dxa"/>
              <w:bottom w:w="80" w:type="dxa"/>
              <w:end w:w="120" w:type="dxa"/>
            </w:tcMar>
          </w:tcPr>
          <w:p>
            <w:pPr>
              <w:spacing w:after="0"/>
              <w:jc w:val="left"/>
            </w:pPr>
            <w:r>
              <w:rPr>
                <w:rFonts w:ascii="Calibri" w:hAnsi="Calibri"/>
                <w:color w:val="202124"/>
                <w:sz w:val="18"/>
              </w:rPr>
              <w:t>TOT rows</w:t>
            </w:r>
          </w:p>
        </w:tc>
        <w:tc>
          <w:tcPr>
            <w:tcW w:type="dxa" w:w="2400"/>
            <w:vAlign w:val="center"/>
            <w:tcMar>
              <w:top w:w="80" w:type="dxa"/>
              <w:start w:w="120" w:type="dxa"/>
              <w:bottom w:w="80" w:type="dxa"/>
              <w:end w:w="120" w:type="dxa"/>
            </w:tcMar>
          </w:tcPr>
          <w:p>
            <w:pPr>
              <w:spacing w:after="0"/>
              <w:jc w:val="left"/>
            </w:pPr>
            <w:r>
              <w:rPr>
                <w:rFonts w:ascii="Calibri" w:hAnsi="Calibri"/>
                <w:color w:val="202124"/>
                <w:sz w:val="18"/>
              </w:rPr>
              <w:t>1,954</w:t>
            </w:r>
          </w:p>
        </w:tc>
        <w:tc>
          <w:tcPr>
            <w:tcW w:type="dxa" w:w="4410"/>
            <w:vAlign w:val="center"/>
            <w:tcMar>
              <w:top w:w="80" w:type="dxa"/>
              <w:start w:w="120" w:type="dxa"/>
              <w:bottom w:w="80" w:type="dxa"/>
              <w:end w:w="120" w:type="dxa"/>
            </w:tcMar>
          </w:tcPr>
          <w:p>
            <w:pPr>
              <w:spacing w:after="0"/>
              <w:jc w:val="left"/>
            </w:pPr>
            <w:r>
              <w:rPr>
                <w:rFonts w:ascii="Calibri" w:hAnsi="Calibri"/>
                <w:color w:val="202124"/>
                <w:sz w:val="18"/>
              </w:rPr>
              <w:t>Retain; mark is_tot</w:t>
            </w:r>
          </w:p>
        </w:tc>
      </w:tr>
      <w:tr>
        <w:tc>
          <w:tcPr>
            <w:tcW w:type="dxa" w:w="2550"/>
            <w:shd w:fill="F2F4F7"/>
            <w:vAlign w:val="center"/>
            <w:tcMar>
              <w:top w:w="80" w:type="dxa"/>
              <w:start w:w="120" w:type="dxa"/>
              <w:bottom w:w="80" w:type="dxa"/>
              <w:end w:w="120" w:type="dxa"/>
            </w:tcMar>
          </w:tcPr>
          <w:p>
            <w:pPr>
              <w:spacing w:after="0"/>
              <w:jc w:val="left"/>
            </w:pPr>
            <w:r>
              <w:rPr>
                <w:rFonts w:ascii="Calibri" w:hAnsi="Calibri"/>
                <w:color w:val="202124"/>
                <w:sz w:val="18"/>
              </w:rPr>
              <w:t>Repeated season-player rows</w:t>
            </w:r>
          </w:p>
        </w:tc>
        <w:tc>
          <w:tcPr>
            <w:tcW w:type="dxa" w:w="2400"/>
            <w:shd w:fill="F2F4F7"/>
            <w:vAlign w:val="center"/>
            <w:tcMar>
              <w:top w:w="80" w:type="dxa"/>
              <w:start w:w="120" w:type="dxa"/>
              <w:bottom w:w="80" w:type="dxa"/>
              <w:end w:w="120" w:type="dxa"/>
            </w:tcMar>
          </w:tcPr>
          <w:p>
            <w:pPr>
              <w:spacing w:after="0"/>
              <w:jc w:val="left"/>
            </w:pPr>
            <w:r>
              <w:rPr>
                <w:rFonts w:ascii="Calibri" w:hAnsi="Calibri"/>
                <w:color w:val="202124"/>
                <w:sz w:val="18"/>
              </w:rPr>
              <w:t>44</w:t>
            </w:r>
          </w:p>
        </w:tc>
        <w:tc>
          <w:tcPr>
            <w:tcW w:type="dxa" w:w="4410"/>
            <w:shd w:fill="F2F4F7"/>
            <w:vAlign w:val="center"/>
            <w:tcMar>
              <w:top w:w="80" w:type="dxa"/>
              <w:start w:w="120" w:type="dxa"/>
              <w:bottom w:w="80" w:type="dxa"/>
              <w:end w:w="120" w:type="dxa"/>
            </w:tcMar>
          </w:tcPr>
          <w:p>
            <w:pPr>
              <w:spacing w:after="0"/>
              <w:jc w:val="left"/>
            </w:pPr>
            <w:r>
              <w:rPr>
                <w:rFonts w:ascii="Calibri" w:hAnsi="Calibri"/>
                <w:color w:val="202124"/>
                <w:sz w:val="18"/>
              </w:rPr>
              <w:t>Investigate, do not auto-delete</w:t>
            </w:r>
          </w:p>
        </w:tc>
      </w:tr>
      <w:tr>
        <w:tc>
          <w:tcPr>
            <w:tcW w:type="dxa" w:w="2550"/>
            <w:vAlign w:val="center"/>
            <w:tcMar>
              <w:top w:w="80" w:type="dxa"/>
              <w:start w:w="120" w:type="dxa"/>
              <w:bottom w:w="80" w:type="dxa"/>
              <w:end w:w="120" w:type="dxa"/>
            </w:tcMar>
          </w:tcPr>
          <w:p>
            <w:pPr>
              <w:spacing w:after="0"/>
              <w:jc w:val="left"/>
            </w:pPr>
            <w:r>
              <w:rPr>
                <w:rFonts w:ascii="Calibri" w:hAnsi="Calibri"/>
                <w:color w:val="202124"/>
                <w:sz w:val="18"/>
              </w:rPr>
              <w:t>One repeated season-player-team key</w:t>
            </w:r>
          </w:p>
        </w:tc>
        <w:tc>
          <w:tcPr>
            <w:tcW w:type="dxa" w:w="2400"/>
            <w:vAlign w:val="center"/>
            <w:tcMar>
              <w:top w:w="80" w:type="dxa"/>
              <w:start w:w="120" w:type="dxa"/>
              <w:bottom w:w="80" w:type="dxa"/>
              <w:end w:w="120" w:type="dxa"/>
            </w:tcMar>
          </w:tcPr>
          <w:p>
            <w:pPr>
              <w:spacing w:after="0"/>
              <w:jc w:val="left"/>
            </w:pPr>
            <w:r>
              <w:rPr>
                <w:rFonts w:ascii="Calibri" w:hAnsi="Calibri"/>
                <w:color w:val="202124"/>
                <w:sz w:val="18"/>
              </w:rPr>
              <w:t>1989 Charles Jones, WSB</w:t>
            </w:r>
          </w:p>
        </w:tc>
        <w:tc>
          <w:tcPr>
            <w:tcW w:type="dxa" w:w="4410"/>
            <w:vAlign w:val="center"/>
            <w:tcMar>
              <w:top w:w="80" w:type="dxa"/>
              <w:start w:w="120" w:type="dxa"/>
              <w:bottom w:w="80" w:type="dxa"/>
              <w:end w:w="120" w:type="dxa"/>
            </w:tcMar>
          </w:tcPr>
          <w:p>
            <w:pPr>
              <w:spacing w:after="0"/>
              <w:jc w:val="left"/>
            </w:pPr>
            <w:r>
              <w:rPr>
                <w:rFonts w:ascii="Calibri" w:hAnsi="Calibri"/>
                <w:color w:val="202124"/>
                <w:sz w:val="18"/>
              </w:rPr>
              <w:t>Retain as audited exception</w:t>
            </w:r>
          </w:p>
        </w:tc>
      </w:tr>
      <w:tr>
        <w:tc>
          <w:tcPr>
            <w:tcW w:type="dxa" w:w="2550"/>
            <w:shd w:fill="F2F4F7"/>
            <w:vAlign w:val="center"/>
            <w:tcMar>
              <w:top w:w="80" w:type="dxa"/>
              <w:start w:w="120" w:type="dxa"/>
              <w:bottom w:w="80" w:type="dxa"/>
              <w:end w:w="120" w:type="dxa"/>
            </w:tcMar>
          </w:tcPr>
          <w:p>
            <w:pPr>
              <w:spacing w:after="0"/>
              <w:jc w:val="left"/>
            </w:pPr>
            <w:r>
              <w:rPr>
                <w:rFonts w:ascii="Calibri" w:hAnsi="Calibri"/>
                <w:color w:val="202124"/>
                <w:sz w:val="18"/>
              </w:rPr>
              <w:t>Target distribution</w:t>
            </w:r>
          </w:p>
        </w:tc>
        <w:tc>
          <w:tcPr>
            <w:tcW w:type="dxa" w:w="2400"/>
            <w:shd w:fill="F2F4F7"/>
            <w:vAlign w:val="center"/>
            <w:tcMar>
              <w:top w:w="80" w:type="dxa"/>
              <w:start w:w="120" w:type="dxa"/>
              <w:bottom w:w="80" w:type="dxa"/>
              <w:end w:w="120" w:type="dxa"/>
            </w:tcMar>
          </w:tcPr>
          <w:p>
            <w:pPr>
              <w:spacing w:after="0"/>
              <w:jc w:val="left"/>
            </w:pPr>
            <w:r>
              <w:rPr>
                <w:rFonts w:ascii="Calibri" w:hAnsi="Calibri"/>
                <w:color w:val="202124"/>
                <w:sz w:val="18"/>
              </w:rPr>
              <w:t>Large zero mass</w:t>
            </w:r>
          </w:p>
        </w:tc>
        <w:tc>
          <w:tcPr>
            <w:tcW w:type="dxa" w:w="4410"/>
            <w:shd w:fill="F2F4F7"/>
            <w:vAlign w:val="center"/>
            <w:tcMar>
              <w:top w:w="80" w:type="dxa"/>
              <w:start w:w="120" w:type="dxa"/>
              <w:bottom w:w="80" w:type="dxa"/>
              <w:end w:w="120" w:type="dxa"/>
            </w:tcMar>
          </w:tcPr>
          <w:p>
            <w:pPr>
              <w:spacing w:after="0"/>
              <w:jc w:val="left"/>
            </w:pPr>
            <w:r>
              <w:rPr>
                <w:rFonts w:ascii="Calibri" w:hAnsi="Calibri"/>
                <w:color w:val="202124"/>
                <w:sz w:val="18"/>
              </w:rPr>
              <w:t>Use weighted regression and ranking metrics</w:t>
            </w:r>
          </w:p>
        </w:tc>
      </w:tr>
    </w:tbl>
    <w:p>
      <w:pPr>
        <w:spacing w:after="20"/>
      </w:pPr>
    </w:p>
    <w:p>
      <w:pPr>
        <w:keepNext/>
        <w:jc w:val="center"/>
      </w:pPr>
      <w:r>
        <w:drawing>
          <wp:inline xmlns:a="http://schemas.openxmlformats.org/drawingml/2006/main" xmlns:pic="http://schemas.openxmlformats.org/drawingml/2006/picture">
            <wp:extent cx="5760720" cy="2211054"/>
            <wp:docPr id="1" name="Picture 1" title="Figure 1. The MVP target is dominated by zero-share player-seasons, motivating candidate-sensitive metrics." descr="Figure 1. The MVP target is dominated by zero-share player-seasons, motivating candidate-sensitive metrics."/>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5760720" cy="2211054"/>
                    </a:xfrm>
                    <a:prstGeom prst="rect"/>
                  </pic:spPr>
                </pic:pic>
              </a:graphicData>
            </a:graphic>
          </wp:inline>
        </w:drawing>
      </w:r>
    </w:p>
    <w:p>
      <w:pPr>
        <w:pStyle w:val="Caption"/>
        <w:jc w:val="center"/>
      </w:pPr>
      <w:r>
        <w:t>Figure 1. The MVP target is dominated by zero-share player-seasons, motivating candidate-sensitive metrics.</w:t>
      </w:r>
    </w:p>
    <w:p>
      <w:pPr>
        <w:pStyle w:val="Heading1"/>
      </w:pPr>
      <w:r>
        <w:t>3. Data preparation</w:t>
      </w:r>
    </w:p>
    <w:p>
      <w:r>
        <w:rPr>
          <w:rFonts w:ascii="Calibri" w:hAnsi="Calibri"/>
          <w:color w:val="202124"/>
        </w:rPr>
        <w:t>Preparation decisions were investigated before modification. The analysis retained repeated players, TOT records, and statistical outliers because these can represent legitimate player-season structure or historically exceptional performance.</w:t>
      </w:r>
    </w:p>
    <w:tbl>
      <w:tblPr>
        <w:tblStyle w:val="TableGrid"/>
        <w:tblW w:type="dxa" w:w="9360"/>
        <w:tblLayout w:type="fixed"/>
        <w:tblLook w:firstColumn="1" w:firstRow="1" w:lastColumn="0" w:lastRow="0" w:noHBand="0" w:noVBand="1" w:val="04A0"/>
        <w:jc w:val="left"/>
        <w:tblInd w:w="120" w:type="dxa"/>
      </w:tblPr>
      <w:tblGrid>
        <w:gridCol w:w="2350"/>
        <w:gridCol w:w="2450"/>
        <w:gridCol w:w="4560"/>
      </w:tblGrid>
      <w:tr>
        <w:trPr>
          <w:tblHeader w:val="true"/>
        </w:trPr>
        <w:tc>
          <w:tcPr>
            <w:tcW w:type="dxa" w:w="2350"/>
            <w:vAlign w:val="center"/>
            <w:tcMar>
              <w:top w:w="80" w:type="dxa"/>
              <w:start w:w="120" w:type="dxa"/>
              <w:bottom w:w="80" w:type="dxa"/>
              <w:end w:w="120" w:type="dxa"/>
            </w:tcMar>
            <w:shd w:fill="17324D"/>
          </w:tcPr>
          <w:p>
            <w:pPr>
              <w:spacing w:after="0"/>
              <w:jc w:val="center"/>
            </w:pPr>
            <w:r>
              <w:rPr>
                <w:rFonts w:ascii="Calibri" w:hAnsi="Calibri"/>
                <w:b/>
                <w:color w:val="FFFFFF"/>
                <w:sz w:val="18"/>
              </w:rPr>
              <w:t>Issue</w:t>
            </w:r>
          </w:p>
        </w:tc>
        <w:tc>
          <w:tcPr>
            <w:tcW w:type="dxa" w:w="2450"/>
            <w:vAlign w:val="center"/>
            <w:tcMar>
              <w:top w:w="80" w:type="dxa"/>
              <w:start w:w="120" w:type="dxa"/>
              <w:bottom w:w="80" w:type="dxa"/>
              <w:end w:w="120" w:type="dxa"/>
            </w:tcMar>
            <w:shd w:fill="17324D"/>
          </w:tcPr>
          <w:p>
            <w:pPr>
              <w:spacing w:after="0"/>
              <w:jc w:val="center"/>
            </w:pPr>
            <w:r>
              <w:rPr>
                <w:rFonts w:ascii="Calibri" w:hAnsi="Calibri"/>
                <w:b/>
                <w:color w:val="FFFFFF"/>
                <w:sz w:val="18"/>
              </w:rPr>
              <w:t>Final decision</w:t>
            </w:r>
          </w:p>
        </w:tc>
        <w:tc>
          <w:tcPr>
            <w:tcW w:type="dxa" w:w="4560"/>
            <w:vAlign w:val="center"/>
            <w:tcMar>
              <w:top w:w="80" w:type="dxa"/>
              <w:start w:w="120" w:type="dxa"/>
              <w:bottom w:w="80" w:type="dxa"/>
              <w:end w:w="120" w:type="dxa"/>
            </w:tcMar>
            <w:shd w:fill="17324D"/>
          </w:tcPr>
          <w:p>
            <w:pPr>
              <w:spacing w:after="0"/>
              <w:jc w:val="center"/>
            </w:pPr>
            <w:r>
              <w:rPr>
                <w:rFonts w:ascii="Calibri" w:hAnsi="Calibri"/>
                <w:b/>
                <w:color w:val="FFFFFF"/>
                <w:sz w:val="18"/>
              </w:rPr>
              <w:t>Rationale</w:t>
            </w:r>
          </w:p>
        </w:tc>
      </w:tr>
      <w:tr>
        <w:tc>
          <w:tcPr>
            <w:tcW w:type="dxa" w:w="2350"/>
            <w:vAlign w:val="center"/>
            <w:tcMar>
              <w:top w:w="80" w:type="dxa"/>
              <w:start w:w="120" w:type="dxa"/>
              <w:bottom w:w="80" w:type="dxa"/>
              <w:end w:w="120" w:type="dxa"/>
            </w:tcMar>
          </w:tcPr>
          <w:p>
            <w:pPr>
              <w:spacing w:after="0"/>
              <w:jc w:val="left"/>
            </w:pPr>
            <w:r>
              <w:rPr>
                <w:rFonts w:ascii="Calibri" w:hAnsi="Calibri"/>
                <w:color w:val="202124"/>
                <w:sz w:val="18"/>
              </w:rPr>
              <w:t>Minimum minutes</w:t>
            </w:r>
          </w:p>
        </w:tc>
        <w:tc>
          <w:tcPr>
            <w:tcW w:type="dxa" w:w="2450"/>
            <w:vAlign w:val="center"/>
            <w:tcMar>
              <w:top w:w="80" w:type="dxa"/>
              <w:start w:w="120" w:type="dxa"/>
              <w:bottom w:w="80" w:type="dxa"/>
              <w:end w:w="120" w:type="dxa"/>
            </w:tcMar>
          </w:tcPr>
          <w:p>
            <w:pPr>
              <w:spacing w:after="0"/>
              <w:jc w:val="left"/>
            </w:pPr>
            <w:r>
              <w:rPr>
                <w:rFonts w:ascii="Calibri" w:hAnsi="Calibri"/>
                <w:color w:val="202124"/>
                <w:sz w:val="18"/>
              </w:rPr>
              <w:t>mp ≥ 100</w:t>
            </w:r>
          </w:p>
        </w:tc>
        <w:tc>
          <w:tcPr>
            <w:tcW w:type="dxa" w:w="4560"/>
            <w:vAlign w:val="center"/>
            <w:tcMar>
              <w:top w:w="80" w:type="dxa"/>
              <w:start w:w="120" w:type="dxa"/>
              <w:bottom w:w="80" w:type="dxa"/>
              <w:end w:w="120" w:type="dxa"/>
            </w:tcMar>
          </w:tcPr>
          <w:p>
            <w:pPr>
              <w:spacing w:after="0"/>
              <w:jc w:val="left"/>
            </w:pPr>
            <w:r>
              <w:rPr>
                <w:rFonts w:ascii="Calibri" w:hAnsi="Calibri"/>
                <w:color w:val="202124"/>
                <w:sz w:val="18"/>
              </w:rPr>
              <w:t>Broad coverage; all recipients retained</w:t>
            </w:r>
          </w:p>
        </w:tc>
      </w:tr>
      <w:tr>
        <w:tc>
          <w:tcPr>
            <w:tcW w:type="dxa" w:w="2350"/>
            <w:shd w:fill="F2F4F7"/>
            <w:vAlign w:val="center"/>
            <w:tcMar>
              <w:top w:w="80" w:type="dxa"/>
              <w:start w:w="120" w:type="dxa"/>
              <w:bottom w:w="80" w:type="dxa"/>
              <w:end w:w="120" w:type="dxa"/>
            </w:tcMar>
          </w:tcPr>
          <w:p>
            <w:pPr>
              <w:spacing w:after="0"/>
              <w:jc w:val="left"/>
            </w:pPr>
            <w:r>
              <w:rPr>
                <w:rFonts w:ascii="Calibri" w:hAnsi="Calibri"/>
                <w:color w:val="202124"/>
                <w:sz w:val="18"/>
              </w:rPr>
              <w:t>Sensitivity threshold</w:t>
            </w:r>
          </w:p>
        </w:tc>
        <w:tc>
          <w:tcPr>
            <w:tcW w:type="dxa" w:w="2450"/>
            <w:shd w:fill="F2F4F7"/>
            <w:vAlign w:val="center"/>
            <w:tcMar>
              <w:top w:w="80" w:type="dxa"/>
              <w:start w:w="120" w:type="dxa"/>
              <w:bottom w:w="80" w:type="dxa"/>
              <w:end w:w="120" w:type="dxa"/>
            </w:tcMar>
          </w:tcPr>
          <w:p>
            <w:pPr>
              <w:spacing w:after="0"/>
              <w:jc w:val="left"/>
            </w:pPr>
            <w:r>
              <w:rPr>
                <w:rFonts w:ascii="Calibri" w:hAnsi="Calibri"/>
                <w:color w:val="202124"/>
                <w:sz w:val="18"/>
              </w:rPr>
              <w:t>mp ≥ 500</w:t>
            </w:r>
          </w:p>
        </w:tc>
        <w:tc>
          <w:tcPr>
            <w:tcW w:type="dxa" w:w="4560"/>
            <w:shd w:fill="F2F4F7"/>
            <w:vAlign w:val="center"/>
            <w:tcMar>
              <w:top w:w="80" w:type="dxa"/>
              <w:start w:w="120" w:type="dxa"/>
              <w:bottom w:w="80" w:type="dxa"/>
              <w:end w:w="120" w:type="dxa"/>
            </w:tcMar>
          </w:tcPr>
          <w:p>
            <w:pPr>
              <w:spacing w:after="0"/>
              <w:jc w:val="left"/>
            </w:pPr>
            <w:r>
              <w:rPr>
                <w:rFonts w:ascii="Calibri" w:hAnsi="Calibri"/>
                <w:color w:val="202124"/>
                <w:sz w:val="18"/>
              </w:rPr>
              <w:t>Tests robustness to fringe players</w:t>
            </w:r>
          </w:p>
        </w:tc>
      </w:tr>
      <w:tr>
        <w:tc>
          <w:tcPr>
            <w:tcW w:type="dxa" w:w="2350"/>
            <w:vAlign w:val="center"/>
            <w:tcMar>
              <w:top w:w="80" w:type="dxa"/>
              <w:start w:w="120" w:type="dxa"/>
              <w:bottom w:w="80" w:type="dxa"/>
              <w:end w:w="120" w:type="dxa"/>
            </w:tcMar>
          </w:tcPr>
          <w:p>
            <w:pPr>
              <w:spacing w:after="0"/>
              <w:jc w:val="left"/>
            </w:pPr>
            <w:r>
              <w:rPr>
                <w:rFonts w:ascii="Calibri" w:hAnsi="Calibri"/>
                <w:color w:val="202124"/>
                <w:sz w:val="18"/>
              </w:rPr>
              <w:t>TOT team context</w:t>
            </w:r>
          </w:p>
        </w:tc>
        <w:tc>
          <w:tcPr>
            <w:tcW w:type="dxa" w:w="2450"/>
            <w:vAlign w:val="center"/>
            <w:tcMar>
              <w:top w:w="80" w:type="dxa"/>
              <w:start w:w="120" w:type="dxa"/>
              <w:bottom w:w="80" w:type="dxa"/>
              <w:end w:w="120" w:type="dxa"/>
            </w:tcMar>
          </w:tcPr>
          <w:p>
            <w:pPr>
              <w:spacing w:after="0"/>
              <w:jc w:val="left"/>
            </w:pPr>
            <w:r>
              <w:rPr>
                <w:rFonts w:ascii="Calibri" w:hAnsi="Calibri"/>
                <w:color w:val="202124"/>
                <w:sz w:val="18"/>
              </w:rPr>
              <w:t>Team variables set missing</w:t>
            </w:r>
          </w:p>
        </w:tc>
        <w:tc>
          <w:tcPr>
            <w:tcW w:type="dxa" w:w="4560"/>
            <w:vAlign w:val="center"/>
            <w:tcMar>
              <w:top w:w="80" w:type="dxa"/>
              <w:start w:w="120" w:type="dxa"/>
              <w:bottom w:w="80" w:type="dxa"/>
              <w:end w:w="120" w:type="dxa"/>
            </w:tcMar>
          </w:tcPr>
          <w:p>
            <w:pPr>
              <w:spacing w:after="0"/>
              <w:jc w:val="left"/>
            </w:pPr>
            <w:r>
              <w:rPr>
                <w:rFonts w:ascii="Calibri" w:hAnsi="Calibri"/>
                <w:color w:val="202124"/>
                <w:sz w:val="18"/>
              </w:rPr>
              <w:t>Combined row has no single team context</w:t>
            </w:r>
          </w:p>
        </w:tc>
      </w:tr>
      <w:tr>
        <w:tc>
          <w:tcPr>
            <w:tcW w:type="dxa" w:w="2350"/>
            <w:shd w:fill="F2F4F7"/>
            <w:vAlign w:val="center"/>
            <w:tcMar>
              <w:top w:w="80" w:type="dxa"/>
              <w:start w:w="120" w:type="dxa"/>
              <w:bottom w:w="80" w:type="dxa"/>
              <w:end w:w="120" w:type="dxa"/>
            </w:tcMar>
          </w:tcPr>
          <w:p>
            <w:pPr>
              <w:spacing w:after="0"/>
              <w:jc w:val="left"/>
            </w:pPr>
            <w:r>
              <w:rPr>
                <w:rFonts w:ascii="Calibri" w:hAnsi="Calibri"/>
                <w:color w:val="202124"/>
                <w:sz w:val="18"/>
              </w:rPr>
              <w:t>Missing shooting percentages</w:t>
            </w:r>
          </w:p>
        </w:tc>
        <w:tc>
          <w:tcPr>
            <w:tcW w:type="dxa" w:w="2450"/>
            <w:shd w:fill="F2F4F7"/>
            <w:vAlign w:val="center"/>
            <w:tcMar>
              <w:top w:w="80" w:type="dxa"/>
              <w:start w:w="120" w:type="dxa"/>
              <w:bottom w:w="80" w:type="dxa"/>
              <w:end w:w="120" w:type="dxa"/>
            </w:tcMar>
          </w:tcPr>
          <w:p>
            <w:pPr>
              <w:spacing w:after="0"/>
              <w:jc w:val="left"/>
            </w:pPr>
            <w:r>
              <w:rPr>
                <w:rFonts w:ascii="Calibri" w:hAnsi="Calibri"/>
                <w:color w:val="202124"/>
                <w:sz w:val="18"/>
              </w:rPr>
              <w:t>Zero plus indicator</w:t>
            </w:r>
          </w:p>
        </w:tc>
        <w:tc>
          <w:tcPr>
            <w:tcW w:type="dxa" w:w="4560"/>
            <w:shd w:fill="F2F4F7"/>
            <w:vAlign w:val="center"/>
            <w:tcMar>
              <w:top w:w="80" w:type="dxa"/>
              <w:start w:w="120" w:type="dxa"/>
              <w:bottom w:w="80" w:type="dxa"/>
              <w:end w:w="120" w:type="dxa"/>
            </w:tcMar>
          </w:tcPr>
          <w:p>
            <w:pPr>
              <w:spacing w:after="0"/>
              <w:jc w:val="left"/>
            </w:pPr>
            <w:r>
              <w:rPr>
                <w:rFonts w:ascii="Calibri" w:hAnsi="Calibri"/>
                <w:color w:val="202124"/>
                <w:sz w:val="18"/>
              </w:rPr>
              <w:t>Represents no attempts without hiding structure</w:t>
            </w:r>
          </w:p>
        </w:tc>
      </w:tr>
      <w:tr>
        <w:tc>
          <w:tcPr>
            <w:tcW w:type="dxa" w:w="2350"/>
            <w:vAlign w:val="center"/>
            <w:tcMar>
              <w:top w:w="80" w:type="dxa"/>
              <w:start w:w="120" w:type="dxa"/>
              <w:bottom w:w="80" w:type="dxa"/>
              <w:end w:w="120" w:type="dxa"/>
            </w:tcMar>
          </w:tcPr>
          <w:p>
            <w:pPr>
              <w:spacing w:after="0"/>
              <w:jc w:val="left"/>
            </w:pPr>
            <w:r>
              <w:rPr>
                <w:rFonts w:ascii="Calibri" w:hAnsi="Calibri"/>
                <w:color w:val="202124"/>
                <w:sz w:val="18"/>
              </w:rPr>
              <w:t>Remaining numerical missingness</w:t>
            </w:r>
          </w:p>
        </w:tc>
        <w:tc>
          <w:tcPr>
            <w:tcW w:type="dxa" w:w="2450"/>
            <w:vAlign w:val="center"/>
            <w:tcMar>
              <w:top w:w="80" w:type="dxa"/>
              <w:start w:w="120" w:type="dxa"/>
              <w:bottom w:w="80" w:type="dxa"/>
              <w:end w:w="120" w:type="dxa"/>
            </w:tcMar>
          </w:tcPr>
          <w:p>
            <w:pPr>
              <w:spacing w:after="0"/>
              <w:jc w:val="left"/>
            </w:pPr>
            <w:r>
              <w:rPr>
                <w:rFonts w:ascii="Calibri" w:hAnsi="Calibri"/>
                <w:color w:val="202124"/>
                <w:sz w:val="18"/>
              </w:rPr>
              <w:t>Training median</w:t>
            </w:r>
          </w:p>
        </w:tc>
        <w:tc>
          <w:tcPr>
            <w:tcW w:type="dxa" w:w="4560"/>
            <w:vAlign w:val="center"/>
            <w:tcMar>
              <w:top w:w="80" w:type="dxa"/>
              <w:start w:w="120" w:type="dxa"/>
              <w:bottom w:w="80" w:type="dxa"/>
              <w:end w:w="120" w:type="dxa"/>
            </w:tcMar>
          </w:tcPr>
          <w:p>
            <w:pPr>
              <w:spacing w:after="0"/>
              <w:jc w:val="left"/>
            </w:pPr>
            <w:r>
              <w:rPr>
                <w:rFonts w:ascii="Calibri" w:hAnsi="Calibri"/>
                <w:color w:val="202124"/>
                <w:sz w:val="18"/>
              </w:rPr>
              <w:t>Prevents future-information leakage</w:t>
            </w:r>
          </w:p>
        </w:tc>
      </w:tr>
      <w:tr>
        <w:tc>
          <w:tcPr>
            <w:tcW w:type="dxa" w:w="2350"/>
            <w:shd w:fill="F2F4F7"/>
            <w:vAlign w:val="center"/>
            <w:tcMar>
              <w:top w:w="80" w:type="dxa"/>
              <w:start w:w="120" w:type="dxa"/>
              <w:bottom w:w="80" w:type="dxa"/>
              <w:end w:w="120" w:type="dxa"/>
            </w:tcMar>
          </w:tcPr>
          <w:p>
            <w:pPr>
              <w:spacing w:after="0"/>
              <w:jc w:val="left"/>
            </w:pPr>
            <w:r>
              <w:rPr>
                <w:rFonts w:ascii="Calibri" w:hAnsi="Calibri"/>
                <w:color w:val="202124"/>
                <w:sz w:val="18"/>
              </w:rPr>
              <w:t>Outliers</w:t>
            </w:r>
          </w:p>
        </w:tc>
        <w:tc>
          <w:tcPr>
            <w:tcW w:type="dxa" w:w="2450"/>
            <w:shd w:fill="F2F4F7"/>
            <w:vAlign w:val="center"/>
            <w:tcMar>
              <w:top w:w="80" w:type="dxa"/>
              <w:start w:w="120" w:type="dxa"/>
              <w:bottom w:w="80" w:type="dxa"/>
              <w:end w:w="120" w:type="dxa"/>
            </w:tcMar>
          </w:tcPr>
          <w:p>
            <w:pPr>
              <w:spacing w:after="0"/>
              <w:jc w:val="left"/>
            </w:pPr>
            <w:r>
              <w:rPr>
                <w:rFonts w:ascii="Calibri" w:hAnsi="Calibri"/>
                <w:color w:val="202124"/>
                <w:sz w:val="18"/>
              </w:rPr>
              <w:t>Retain</w:t>
            </w:r>
          </w:p>
        </w:tc>
        <w:tc>
          <w:tcPr>
            <w:tcW w:type="dxa" w:w="4560"/>
            <w:shd w:fill="F2F4F7"/>
            <w:vAlign w:val="center"/>
            <w:tcMar>
              <w:top w:w="80" w:type="dxa"/>
              <w:start w:w="120" w:type="dxa"/>
              <w:bottom w:w="80" w:type="dxa"/>
              <w:end w:w="120" w:type="dxa"/>
            </w:tcMar>
          </w:tcPr>
          <w:p>
            <w:pPr>
              <w:spacing w:after="0"/>
              <w:jc w:val="left"/>
            </w:pPr>
            <w:r>
              <w:rPr>
                <w:rFonts w:ascii="Calibri" w:hAnsi="Calibri"/>
                <w:color w:val="202124"/>
                <w:sz w:val="18"/>
              </w:rPr>
              <w:t>Extreme excellence is central to MVP prediction</w:t>
            </w:r>
          </w:p>
        </w:tc>
      </w:tr>
      <w:tr>
        <w:tc>
          <w:tcPr>
            <w:tcW w:type="dxa" w:w="2350"/>
            <w:vAlign w:val="center"/>
            <w:tcMar>
              <w:top w:w="80" w:type="dxa"/>
              <w:start w:w="120" w:type="dxa"/>
              <w:bottom w:w="80" w:type="dxa"/>
              <w:end w:w="120" w:type="dxa"/>
            </w:tcMar>
          </w:tcPr>
          <w:p>
            <w:pPr>
              <w:spacing w:after="0"/>
              <w:jc w:val="left"/>
            </w:pPr>
            <w:r>
              <w:rPr>
                <w:rFonts w:ascii="Calibri" w:hAnsi="Calibri"/>
                <w:color w:val="202124"/>
                <w:sz w:val="18"/>
              </w:rPr>
              <w:t>Position</w:t>
            </w:r>
          </w:p>
        </w:tc>
        <w:tc>
          <w:tcPr>
            <w:tcW w:type="dxa" w:w="2450"/>
            <w:vAlign w:val="center"/>
            <w:tcMar>
              <w:top w:w="80" w:type="dxa"/>
              <w:start w:w="120" w:type="dxa"/>
              <w:bottom w:w="80" w:type="dxa"/>
              <w:end w:w="120" w:type="dxa"/>
            </w:tcMar>
          </w:tcPr>
          <w:p>
            <w:pPr>
              <w:spacing w:after="0"/>
              <w:jc w:val="left"/>
            </w:pPr>
            <w:r>
              <w:rPr>
                <w:rFonts w:ascii="Calibri" w:hAnsi="Calibri"/>
                <w:color w:val="202124"/>
                <w:sz w:val="18"/>
              </w:rPr>
              <w:t>Primary position; one-hot</w:t>
            </w:r>
          </w:p>
        </w:tc>
        <w:tc>
          <w:tcPr>
            <w:tcW w:type="dxa" w:w="4560"/>
            <w:vAlign w:val="center"/>
            <w:tcMar>
              <w:top w:w="80" w:type="dxa"/>
              <w:start w:w="120" w:type="dxa"/>
              <w:bottom w:w="80" w:type="dxa"/>
              <w:end w:w="120" w:type="dxa"/>
            </w:tcMar>
          </w:tcPr>
          <w:p>
            <w:pPr>
              <w:spacing w:after="0"/>
              <w:jc w:val="left"/>
            </w:pPr>
            <w:r>
              <w:rPr>
                <w:rFonts w:ascii="Calibri" w:hAnsi="Calibri"/>
                <w:color w:val="202124"/>
                <w:sz w:val="18"/>
              </w:rPr>
              <w:t>Stable categorical representation</w:t>
            </w:r>
          </w:p>
        </w:tc>
      </w:tr>
    </w:tbl>
    <w:p>
      <w:pPr>
        <w:spacing w:after="20"/>
      </w:pPr>
    </w:p>
    <w:p>
      <w:pPr>
        <w:pStyle w:val="Heading1"/>
      </w:pPr>
      <w:r>
        <w:t>4. Era-aware feature engineering</w:t>
      </w:r>
    </w:p>
    <w:p>
      <w:r>
        <w:rPr>
          <w:rFonts w:ascii="Calibri" w:hAnsi="Calibri"/>
          <w:color w:val="202124"/>
        </w:rPr>
        <w:t>Raw NBA statistics are not directly comparable across eras because pace, role specialization, shooting efficiency, schedule structure, and league strategy change. The final pipeline therefore combines raw measurements with within-season percentile ranks.</w:t>
      </w:r>
    </w:p>
    <w:p>
      <w:r>
        <w:rPr>
          <w:rFonts w:ascii="Calibri" w:hAnsi="Calibri"/>
          <w:color w:val="202124"/>
        </w:rPr>
        <w:t>Season percentiles were generated for points, minutes, true shooting, PER, Win Shares, WS/48, BPM, VORP, and team winning percentage. The target was removed before these features were computed, preventing target leakage.</w:t>
      </w:r>
    </w:p>
    <w:p>
      <w:pPr>
        <w:keepNext/>
        <w:jc w:val="center"/>
      </w:pPr>
      <w:r>
        <w:drawing>
          <wp:inline xmlns:a="http://schemas.openxmlformats.org/drawingml/2006/main" xmlns:pic="http://schemas.openxmlformats.org/drawingml/2006/picture">
            <wp:extent cx="5760720" cy="3743796"/>
            <wp:docPr id="2" name="Picture 2" title="Figure 2. Selected league statistics change materially over time, supporting era-aware feature engineering." descr="Figure 2. Selected league statistics change materially over time, supporting era-aware feature engineering."/>
            <wp:cNvGraphicFramePr>
              <a:graphicFrameLocks noChangeAspect="1"/>
            </wp:cNvGraphicFramePr>
            <a:graphic>
              <a:graphicData uri="http://schemas.openxmlformats.org/drawingml/2006/picture">
                <pic:pic>
                  <pic:nvPicPr>
                    <pic:cNvPr id="0" name="era_shift_trends.png"/>
                    <pic:cNvPicPr/>
                  </pic:nvPicPr>
                  <pic:blipFill>
                    <a:blip r:embed="rId12"/>
                    <a:stretch>
                      <a:fillRect/>
                    </a:stretch>
                  </pic:blipFill>
                  <pic:spPr>
                    <a:xfrm>
                      <a:off x="0" y="0"/>
                      <a:ext cx="5760720" cy="3743796"/>
                    </a:xfrm>
                    <a:prstGeom prst="rect"/>
                  </pic:spPr>
                </pic:pic>
              </a:graphicData>
            </a:graphic>
          </wp:inline>
        </w:drawing>
      </w:r>
    </w:p>
    <w:p>
      <w:pPr>
        <w:pStyle w:val="Caption"/>
        <w:jc w:val="center"/>
      </w:pPr>
      <w:r>
        <w:t>Figure 2. Selected league statistics change materially over time, supporting era-aware feature engineering.</w:t>
      </w:r>
    </w:p>
    <w:p>
      <w:pPr>
        <w:pStyle w:val="Heading1"/>
      </w:pPr>
      <w:r>
        <w:t>5. Validation design and leakage control</w:t>
      </w:r>
    </w:p>
    <w:p>
      <w:r>
        <w:rPr>
          <w:rFonts w:ascii="Calibri" w:hAnsi="Calibri"/>
          <w:color w:val="202124"/>
        </w:rPr>
        <w:t>All modeling decisions were made chronologically. Development used seasons through 2014, validation used 2015–2018, and final testing used 2019–2022. The locked final model was not altered after test outcomes were viewed.</w:t>
      </w:r>
    </w:p>
    <w:p>
      <w:pPr>
        <w:pStyle w:val="ListBullet"/>
        <w:spacing w:after="80" w:line="288" w:lineRule="auto"/>
        <w:ind w:left="720" w:hanging="360"/>
      </w:pPr>
      <w:r>
        <w:rPr>
          <w:rFonts w:ascii="Calibri" w:hAnsi="Calibri"/>
          <w:color w:val="202124"/>
        </w:rPr>
        <w:t>Player identity was excluded to prevent reputation memorization.</w:t>
      </w:r>
    </w:p>
    <w:p>
      <w:pPr>
        <w:pStyle w:val="ListBullet"/>
        <w:spacing w:after="80" w:line="288" w:lineRule="auto"/>
        <w:ind w:left="720" w:hanging="360"/>
      </w:pPr>
      <w:r>
        <w:rPr>
          <w:rFonts w:ascii="Calibri" w:hAnsi="Calibri"/>
          <w:color w:val="202124"/>
        </w:rPr>
        <w:t>Calendar season was excluded; era information entered through within-season comparisons.</w:t>
      </w:r>
    </w:p>
    <w:p>
      <w:pPr>
        <w:pStyle w:val="ListBullet"/>
        <w:spacing w:after="80" w:line="288" w:lineRule="auto"/>
        <w:ind w:left="720" w:hanging="360"/>
      </w:pPr>
      <w:r>
        <w:rPr>
          <w:rFonts w:ascii="Calibri" w:hAnsi="Calibri"/>
          <w:color w:val="202124"/>
        </w:rPr>
        <w:t>Imputation and categorical encoding were fitted on training data only.</w:t>
      </w:r>
    </w:p>
    <w:p>
      <w:pPr>
        <w:pStyle w:val="ListBullet"/>
        <w:spacing w:after="80" w:line="288" w:lineRule="auto"/>
        <w:ind w:left="720" w:hanging="360"/>
      </w:pPr>
      <w:r>
        <w:rPr>
          <w:rFonts w:ascii="Calibri" w:hAnsi="Calibri"/>
          <w:color w:val="202124"/>
        </w:rPr>
        <w:t>award_share was excluded from every predictor transformation.</w:t>
      </w:r>
    </w:p>
    <w:p>
      <w:pPr>
        <w:pStyle w:val="ListBullet"/>
        <w:spacing w:after="80" w:line="288" w:lineRule="auto"/>
        <w:ind w:left="720" w:hanging="360"/>
      </w:pPr>
      <w:r>
        <w:rPr>
          <w:rFonts w:ascii="Calibri" w:hAnsi="Calibri"/>
          <w:color w:val="202124"/>
        </w:rPr>
        <w:t>No model or hyperparameter was changed after the final test was opened.</w:t>
      </w:r>
    </w:p>
    <w:p>
      <w:pPr>
        <w:keepNext/>
        <w:jc w:val="center"/>
      </w:pPr>
      <w:r>
        <w:drawing>
          <wp:inline xmlns:a="http://schemas.openxmlformats.org/drawingml/2006/main" xmlns:pic="http://schemas.openxmlformats.org/drawingml/2006/picture">
            <wp:extent cx="5760720" cy="2717031"/>
            <wp:docPr id="3" name="Picture 3" title="Figure 3. Chronological separation used for development, validation, and final testing." descr="Figure 3. Chronological separation used for development, validation, and final testing."/>
            <wp:cNvGraphicFramePr>
              <a:graphicFrameLocks noChangeAspect="1"/>
            </wp:cNvGraphicFramePr>
            <a:graphic>
              <a:graphicData uri="http://schemas.openxmlformats.org/drawingml/2006/picture">
                <pic:pic>
                  <pic:nvPicPr>
                    <pic:cNvPr id="0" name="chronological_evaluation_design.png"/>
                    <pic:cNvPicPr/>
                  </pic:nvPicPr>
                  <pic:blipFill>
                    <a:blip r:embed="rId13"/>
                    <a:stretch>
                      <a:fillRect/>
                    </a:stretch>
                  </pic:blipFill>
                  <pic:spPr>
                    <a:xfrm>
                      <a:off x="0" y="0"/>
                      <a:ext cx="5760720" cy="2717031"/>
                    </a:xfrm>
                    <a:prstGeom prst="rect"/>
                  </pic:spPr>
                </pic:pic>
              </a:graphicData>
            </a:graphic>
          </wp:inline>
        </w:drawing>
      </w:r>
    </w:p>
    <w:p>
      <w:pPr>
        <w:pStyle w:val="Caption"/>
        <w:jc w:val="center"/>
      </w:pPr>
      <w:r>
        <w:t>Figure 3. Chronological separation used for development, validation, and final testing.</w:t>
      </w:r>
    </w:p>
    <w:p>
      <w:pPr>
        <w:pStyle w:val="Heading1"/>
      </w:pPr>
      <w:r>
        <w:t>6. Modeling</w:t>
      </w:r>
    </w:p>
    <w:p>
      <w:r>
        <w:rPr>
          <w:rFonts w:ascii="Calibri" w:hAnsi="Calibri"/>
          <w:color w:val="202124"/>
        </w:rPr>
        <w:t>The candidate set progressed from trivial and domain baselines to regularized linear models, nonlinear ensembles, and explicit hurdle structures. Cluster assignments were evaluated but excluded from the final predictor because they did not provide stable incremental value.</w:t>
      </w:r>
    </w:p>
    <w:tbl>
      <w:tblPr>
        <w:tblStyle w:val="TableGrid"/>
        <w:tblW w:type="dxa" w:w="9360"/>
        <w:tblLayout w:type="fixed"/>
        <w:tblLook w:firstColumn="1" w:firstRow="1" w:lastColumn="0" w:lastRow="0" w:noHBand="0" w:noVBand="1" w:val="04A0"/>
        <w:jc w:val="left"/>
        <w:tblInd w:w="120" w:type="dxa"/>
      </w:tblPr>
      <w:tblGrid>
        <w:gridCol w:w="2100"/>
        <w:gridCol w:w="1750"/>
        <w:gridCol w:w="2510"/>
        <w:gridCol w:w="3000"/>
      </w:tblGrid>
      <w:tr>
        <w:trPr>
          <w:tblHeader w:val="true"/>
        </w:trPr>
        <w:tc>
          <w:tcPr>
            <w:tcW w:type="dxa" w:w="2100"/>
            <w:vAlign w:val="center"/>
            <w:tcMar>
              <w:top w:w="80" w:type="dxa"/>
              <w:start w:w="120" w:type="dxa"/>
              <w:bottom w:w="80" w:type="dxa"/>
              <w:end w:w="120" w:type="dxa"/>
            </w:tcMar>
            <w:shd w:fill="17324D"/>
          </w:tcPr>
          <w:p>
            <w:pPr>
              <w:spacing w:after="0"/>
              <w:jc w:val="center"/>
            </w:pPr>
            <w:r>
              <w:rPr>
                <w:rFonts w:ascii="Calibri" w:hAnsi="Calibri"/>
                <w:b/>
                <w:color w:val="FFFFFF"/>
                <w:sz w:val="18"/>
              </w:rPr>
              <w:t>Model</w:t>
            </w:r>
          </w:p>
        </w:tc>
        <w:tc>
          <w:tcPr>
            <w:tcW w:type="dxa" w:w="1750"/>
            <w:vAlign w:val="center"/>
            <w:tcMar>
              <w:top w:w="80" w:type="dxa"/>
              <w:start w:w="120" w:type="dxa"/>
              <w:bottom w:w="80" w:type="dxa"/>
              <w:end w:w="120" w:type="dxa"/>
            </w:tcMar>
            <w:shd w:fill="17324D"/>
          </w:tcPr>
          <w:p>
            <w:pPr>
              <w:spacing w:after="0"/>
              <w:jc w:val="center"/>
            </w:pPr>
            <w:r>
              <w:rPr>
                <w:rFonts w:ascii="Calibri" w:hAnsi="Calibri"/>
                <w:b/>
                <w:color w:val="FFFFFF"/>
                <w:sz w:val="18"/>
              </w:rPr>
              <w:t>Role</w:t>
            </w:r>
          </w:p>
        </w:tc>
        <w:tc>
          <w:tcPr>
            <w:tcW w:type="dxa" w:w="2510"/>
            <w:vAlign w:val="center"/>
            <w:tcMar>
              <w:top w:w="80" w:type="dxa"/>
              <w:start w:w="120" w:type="dxa"/>
              <w:bottom w:w="80" w:type="dxa"/>
              <w:end w:w="120" w:type="dxa"/>
            </w:tcMar>
            <w:shd w:fill="17324D"/>
          </w:tcPr>
          <w:p>
            <w:pPr>
              <w:spacing w:after="0"/>
              <w:jc w:val="center"/>
            </w:pPr>
            <w:r>
              <w:rPr>
                <w:rFonts w:ascii="Calibri" w:hAnsi="Calibri"/>
                <w:b/>
                <w:color w:val="FFFFFF"/>
                <w:sz w:val="18"/>
              </w:rPr>
              <w:t>Benefit</w:t>
            </w:r>
          </w:p>
        </w:tc>
        <w:tc>
          <w:tcPr>
            <w:tcW w:type="dxa" w:w="3000"/>
            <w:vAlign w:val="center"/>
            <w:tcMar>
              <w:top w:w="80" w:type="dxa"/>
              <w:start w:w="120" w:type="dxa"/>
              <w:bottom w:w="80" w:type="dxa"/>
              <w:end w:w="120" w:type="dxa"/>
            </w:tcMar>
            <w:shd w:fill="17324D"/>
          </w:tcPr>
          <w:p>
            <w:pPr>
              <w:spacing w:after="0"/>
              <w:jc w:val="center"/>
            </w:pPr>
            <w:r>
              <w:rPr>
                <w:rFonts w:ascii="Calibri" w:hAnsi="Calibri"/>
                <w:b/>
                <w:color w:val="FFFFFF"/>
                <w:sz w:val="18"/>
              </w:rPr>
              <w:t>Main risk</w:t>
            </w:r>
          </w:p>
        </w:tc>
      </w:tr>
      <w:tr>
        <w:tc>
          <w:tcPr>
            <w:tcW w:type="dxa" w:w="2100"/>
            <w:vAlign w:val="center"/>
            <w:tcMar>
              <w:top w:w="80" w:type="dxa"/>
              <w:start w:w="120" w:type="dxa"/>
              <w:bottom w:w="80" w:type="dxa"/>
              <w:end w:w="120" w:type="dxa"/>
            </w:tcMar>
          </w:tcPr>
          <w:p>
            <w:pPr>
              <w:spacing w:after="0"/>
              <w:jc w:val="left"/>
            </w:pPr>
            <w:r>
              <w:rPr>
                <w:rFonts w:ascii="Calibri" w:hAnsi="Calibri"/>
                <w:color w:val="202124"/>
                <w:sz w:val="18"/>
              </w:rPr>
              <w:t>Zero / historical mean</w:t>
            </w:r>
          </w:p>
        </w:tc>
        <w:tc>
          <w:tcPr>
            <w:tcW w:type="dxa" w:w="1750"/>
            <w:vAlign w:val="center"/>
            <w:tcMar>
              <w:top w:w="80" w:type="dxa"/>
              <w:start w:w="120" w:type="dxa"/>
              <w:bottom w:w="80" w:type="dxa"/>
              <w:end w:w="120" w:type="dxa"/>
            </w:tcMar>
          </w:tcPr>
          <w:p>
            <w:pPr>
              <w:spacing w:after="0"/>
              <w:jc w:val="left"/>
            </w:pPr>
            <w:r>
              <w:rPr>
                <w:rFonts w:ascii="Calibri" w:hAnsi="Calibri"/>
                <w:color w:val="202124"/>
                <w:sz w:val="18"/>
              </w:rPr>
              <w:t>Trivial baselines</w:t>
            </w:r>
          </w:p>
        </w:tc>
        <w:tc>
          <w:tcPr>
            <w:tcW w:type="dxa" w:w="2510"/>
            <w:vAlign w:val="center"/>
            <w:tcMar>
              <w:top w:w="80" w:type="dxa"/>
              <w:start w:w="120" w:type="dxa"/>
              <w:bottom w:w="80" w:type="dxa"/>
              <w:end w:w="120" w:type="dxa"/>
            </w:tcMar>
          </w:tcPr>
          <w:p>
            <w:pPr>
              <w:spacing w:after="0"/>
              <w:jc w:val="left"/>
            </w:pPr>
            <w:r>
              <w:rPr>
                <w:rFonts w:ascii="Calibri" w:hAnsi="Calibri"/>
                <w:color w:val="202124"/>
                <w:sz w:val="18"/>
              </w:rPr>
              <w:t>Sanity checks</w:t>
            </w:r>
          </w:p>
        </w:tc>
        <w:tc>
          <w:tcPr>
            <w:tcW w:type="dxa" w:w="3000"/>
            <w:vAlign w:val="center"/>
            <w:tcMar>
              <w:top w:w="80" w:type="dxa"/>
              <w:start w:w="120" w:type="dxa"/>
              <w:bottom w:w="80" w:type="dxa"/>
              <w:end w:w="120" w:type="dxa"/>
            </w:tcMar>
          </w:tcPr>
          <w:p>
            <w:pPr>
              <w:spacing w:after="0"/>
              <w:jc w:val="left"/>
            </w:pPr>
            <w:r>
              <w:rPr>
                <w:rFonts w:ascii="Calibri" w:hAnsi="Calibri"/>
                <w:color w:val="202124"/>
                <w:sz w:val="18"/>
              </w:rPr>
              <w:t>No useful ranking</w:t>
            </w:r>
          </w:p>
        </w:tc>
      </w:tr>
      <w:tr>
        <w:tc>
          <w:tcPr>
            <w:tcW w:type="dxa" w:w="2100"/>
            <w:shd w:fill="F2F4F7"/>
            <w:vAlign w:val="center"/>
            <w:tcMar>
              <w:top w:w="80" w:type="dxa"/>
              <w:start w:w="120" w:type="dxa"/>
              <w:bottom w:w="80" w:type="dxa"/>
              <w:end w:w="120" w:type="dxa"/>
            </w:tcMar>
          </w:tcPr>
          <w:p>
            <w:pPr>
              <w:spacing w:after="0"/>
              <w:jc w:val="left"/>
            </w:pPr>
            <w:r>
              <w:rPr>
                <w:rFonts w:ascii="Calibri" w:hAnsi="Calibri"/>
                <w:color w:val="202124"/>
                <w:sz w:val="18"/>
              </w:rPr>
              <w:t>WS OLS</w:t>
            </w:r>
          </w:p>
        </w:tc>
        <w:tc>
          <w:tcPr>
            <w:tcW w:type="dxa" w:w="1750"/>
            <w:shd w:fill="F2F4F7"/>
            <w:vAlign w:val="center"/>
            <w:tcMar>
              <w:top w:w="80" w:type="dxa"/>
              <w:start w:w="120" w:type="dxa"/>
              <w:bottom w:w="80" w:type="dxa"/>
              <w:end w:w="120" w:type="dxa"/>
            </w:tcMar>
          </w:tcPr>
          <w:p>
            <w:pPr>
              <w:spacing w:after="0"/>
              <w:jc w:val="left"/>
            </w:pPr>
            <w:r>
              <w:rPr>
                <w:rFonts w:ascii="Calibri" w:hAnsi="Calibri"/>
                <w:color w:val="202124"/>
                <w:sz w:val="18"/>
              </w:rPr>
              <w:t>Domain baseline</w:t>
            </w:r>
          </w:p>
        </w:tc>
        <w:tc>
          <w:tcPr>
            <w:tcW w:type="dxa" w:w="2510"/>
            <w:shd w:fill="F2F4F7"/>
            <w:vAlign w:val="center"/>
            <w:tcMar>
              <w:top w:w="80" w:type="dxa"/>
              <w:start w:w="120" w:type="dxa"/>
              <w:bottom w:w="80" w:type="dxa"/>
              <w:end w:w="120" w:type="dxa"/>
            </w:tcMar>
          </w:tcPr>
          <w:p>
            <w:pPr>
              <w:spacing w:after="0"/>
              <w:jc w:val="left"/>
            </w:pPr>
            <w:r>
              <w:rPr>
                <w:rFonts w:ascii="Calibri" w:hAnsi="Calibri"/>
                <w:color w:val="202124"/>
                <w:sz w:val="18"/>
              </w:rPr>
              <w:t>Transparent</w:t>
            </w:r>
          </w:p>
        </w:tc>
        <w:tc>
          <w:tcPr>
            <w:tcW w:type="dxa" w:w="3000"/>
            <w:shd w:fill="F2F4F7"/>
            <w:vAlign w:val="center"/>
            <w:tcMar>
              <w:top w:w="80" w:type="dxa"/>
              <w:start w:w="120" w:type="dxa"/>
              <w:bottom w:w="80" w:type="dxa"/>
              <w:end w:w="120" w:type="dxa"/>
            </w:tcMar>
          </w:tcPr>
          <w:p>
            <w:pPr>
              <w:spacing w:after="0"/>
              <w:jc w:val="left"/>
            </w:pPr>
            <w:r>
              <w:rPr>
                <w:rFonts w:ascii="Calibri" w:hAnsi="Calibri"/>
                <w:color w:val="202124"/>
                <w:sz w:val="18"/>
              </w:rPr>
              <w:t>Weak numerical calibration</w:t>
            </w:r>
          </w:p>
        </w:tc>
      </w:tr>
      <w:tr>
        <w:tc>
          <w:tcPr>
            <w:tcW w:type="dxa" w:w="2100"/>
            <w:vAlign w:val="center"/>
            <w:tcMar>
              <w:top w:w="80" w:type="dxa"/>
              <w:start w:w="120" w:type="dxa"/>
              <w:bottom w:w="80" w:type="dxa"/>
              <w:end w:w="120" w:type="dxa"/>
            </w:tcMar>
          </w:tcPr>
          <w:p>
            <w:pPr>
              <w:spacing w:after="0"/>
              <w:jc w:val="left"/>
            </w:pPr>
            <w:r>
              <w:rPr>
                <w:rFonts w:ascii="Calibri" w:hAnsi="Calibri"/>
                <w:color w:val="202124"/>
                <w:sz w:val="18"/>
              </w:rPr>
              <w:t>Weighted Ridge</w:t>
            </w:r>
          </w:p>
        </w:tc>
        <w:tc>
          <w:tcPr>
            <w:tcW w:type="dxa" w:w="1750"/>
            <w:vAlign w:val="center"/>
            <w:tcMar>
              <w:top w:w="80" w:type="dxa"/>
              <w:start w:w="120" w:type="dxa"/>
              <w:bottom w:w="80" w:type="dxa"/>
              <w:end w:w="120" w:type="dxa"/>
            </w:tcMar>
          </w:tcPr>
          <w:p>
            <w:pPr>
              <w:spacing w:after="0"/>
              <w:jc w:val="left"/>
            </w:pPr>
            <w:r>
              <w:rPr>
                <w:rFonts w:ascii="Calibri" w:hAnsi="Calibri"/>
                <w:color w:val="202124"/>
                <w:sz w:val="18"/>
              </w:rPr>
              <w:t>Ranking comparator</w:t>
            </w:r>
          </w:p>
        </w:tc>
        <w:tc>
          <w:tcPr>
            <w:tcW w:type="dxa" w:w="2510"/>
            <w:vAlign w:val="center"/>
            <w:tcMar>
              <w:top w:w="80" w:type="dxa"/>
              <w:start w:w="120" w:type="dxa"/>
              <w:bottom w:w="80" w:type="dxa"/>
              <w:end w:w="120" w:type="dxa"/>
            </w:tcMar>
          </w:tcPr>
          <w:p>
            <w:pPr>
              <w:spacing w:after="0"/>
              <w:jc w:val="left"/>
            </w:pPr>
            <w:r>
              <w:rPr>
                <w:rFonts w:ascii="Calibri" w:hAnsi="Calibri"/>
                <w:color w:val="202124"/>
                <w:sz w:val="18"/>
              </w:rPr>
              <w:t>Interpretable</w:t>
            </w:r>
          </w:p>
        </w:tc>
        <w:tc>
          <w:tcPr>
            <w:tcW w:type="dxa" w:w="3000"/>
            <w:vAlign w:val="center"/>
            <w:tcMar>
              <w:top w:w="80" w:type="dxa"/>
              <w:start w:w="120" w:type="dxa"/>
              <w:bottom w:w="80" w:type="dxa"/>
              <w:end w:w="120" w:type="dxa"/>
            </w:tcMar>
          </w:tcPr>
          <w:p>
            <w:pPr>
              <w:spacing w:after="0"/>
              <w:jc w:val="left"/>
            </w:pPr>
            <w:r>
              <w:rPr>
                <w:rFonts w:ascii="Calibri" w:hAnsi="Calibri"/>
                <w:color w:val="202124"/>
                <w:sz w:val="18"/>
              </w:rPr>
              <w:t>Overallocates vote share</w:t>
            </w:r>
          </w:p>
        </w:tc>
      </w:tr>
      <w:tr>
        <w:tc>
          <w:tcPr>
            <w:tcW w:type="dxa" w:w="2100"/>
            <w:shd w:fill="F2F4F7"/>
            <w:vAlign w:val="center"/>
            <w:tcMar>
              <w:top w:w="80" w:type="dxa"/>
              <w:start w:w="120" w:type="dxa"/>
              <w:bottom w:w="80" w:type="dxa"/>
              <w:end w:w="120" w:type="dxa"/>
            </w:tcMar>
          </w:tcPr>
          <w:p>
            <w:pPr>
              <w:spacing w:after="0"/>
              <w:jc w:val="left"/>
            </w:pPr>
            <w:r>
              <w:rPr>
                <w:rFonts w:ascii="Calibri" w:hAnsi="Calibri"/>
                <w:color w:val="202124"/>
                <w:sz w:val="18"/>
              </w:rPr>
              <w:t>Histogram GB</w:t>
            </w:r>
          </w:p>
        </w:tc>
        <w:tc>
          <w:tcPr>
            <w:tcW w:type="dxa" w:w="1750"/>
            <w:shd w:fill="F2F4F7"/>
            <w:vAlign w:val="center"/>
            <w:tcMar>
              <w:top w:w="80" w:type="dxa"/>
              <w:start w:w="120" w:type="dxa"/>
              <w:bottom w:w="80" w:type="dxa"/>
              <w:end w:w="120" w:type="dxa"/>
            </w:tcMar>
          </w:tcPr>
          <w:p>
            <w:pPr>
              <w:spacing w:after="0"/>
              <w:jc w:val="left"/>
            </w:pPr>
            <w:r>
              <w:rPr>
                <w:rFonts w:ascii="Calibri" w:hAnsi="Calibri"/>
                <w:color w:val="202124"/>
                <w:sz w:val="18"/>
              </w:rPr>
              <w:t>Official model</w:t>
            </w:r>
          </w:p>
        </w:tc>
        <w:tc>
          <w:tcPr>
            <w:tcW w:type="dxa" w:w="2510"/>
            <w:shd w:fill="F2F4F7"/>
            <w:vAlign w:val="center"/>
            <w:tcMar>
              <w:top w:w="80" w:type="dxa"/>
              <w:start w:w="120" w:type="dxa"/>
              <w:bottom w:w="80" w:type="dxa"/>
              <w:end w:w="120" w:type="dxa"/>
            </w:tcMar>
          </w:tcPr>
          <w:p>
            <w:pPr>
              <w:spacing w:after="0"/>
              <w:jc w:val="left"/>
            </w:pPr>
            <w:r>
              <w:rPr>
                <w:rFonts w:ascii="Calibri" w:hAnsi="Calibri"/>
                <w:color w:val="202124"/>
                <w:sz w:val="18"/>
              </w:rPr>
              <w:t>Best RMSE and R²</w:t>
            </w:r>
          </w:p>
        </w:tc>
        <w:tc>
          <w:tcPr>
            <w:tcW w:type="dxa" w:w="3000"/>
            <w:shd w:fill="F2F4F7"/>
            <w:vAlign w:val="center"/>
            <w:tcMar>
              <w:top w:w="80" w:type="dxa"/>
              <w:start w:w="120" w:type="dxa"/>
              <w:bottom w:w="80" w:type="dxa"/>
              <w:end w:w="120" w:type="dxa"/>
            </w:tcMar>
          </w:tcPr>
          <w:p>
            <w:pPr>
              <w:spacing w:after="0"/>
              <w:jc w:val="left"/>
            </w:pPr>
            <w:r>
              <w:rPr>
                <w:rFonts w:ascii="Calibri" w:hAnsi="Calibri"/>
                <w:color w:val="202124"/>
                <w:sz w:val="18"/>
              </w:rPr>
              <w:t>High zero-boundary clipping</w:t>
            </w:r>
          </w:p>
        </w:tc>
      </w:tr>
      <w:tr>
        <w:tc>
          <w:tcPr>
            <w:tcW w:type="dxa" w:w="2100"/>
            <w:vAlign w:val="center"/>
            <w:tcMar>
              <w:top w:w="80" w:type="dxa"/>
              <w:start w:w="120" w:type="dxa"/>
              <w:bottom w:w="80" w:type="dxa"/>
              <w:end w:w="120" w:type="dxa"/>
            </w:tcMar>
          </w:tcPr>
          <w:p>
            <w:pPr>
              <w:spacing w:after="0"/>
              <w:jc w:val="left"/>
            </w:pPr>
            <w:r>
              <w:rPr>
                <w:rFonts w:ascii="Calibri" w:hAnsi="Calibri"/>
                <w:color w:val="202124"/>
                <w:sz w:val="18"/>
              </w:rPr>
              <w:t>Extra Trees hurdle</w:t>
            </w:r>
          </w:p>
        </w:tc>
        <w:tc>
          <w:tcPr>
            <w:tcW w:type="dxa" w:w="1750"/>
            <w:vAlign w:val="center"/>
            <w:tcMar>
              <w:top w:w="80" w:type="dxa"/>
              <w:start w:w="120" w:type="dxa"/>
              <w:bottom w:w="80" w:type="dxa"/>
              <w:end w:w="120" w:type="dxa"/>
            </w:tcMar>
          </w:tcPr>
          <w:p>
            <w:pPr>
              <w:spacing w:after="0"/>
              <w:jc w:val="left"/>
            </w:pPr>
            <w:r>
              <w:rPr>
                <w:rFonts w:ascii="Calibri" w:hAnsi="Calibri"/>
                <w:color w:val="202124"/>
                <w:sz w:val="18"/>
              </w:rPr>
              <w:t>Required challenger</w:t>
            </w:r>
          </w:p>
        </w:tc>
        <w:tc>
          <w:tcPr>
            <w:tcW w:type="dxa" w:w="2510"/>
            <w:vAlign w:val="center"/>
            <w:tcMar>
              <w:top w:w="80" w:type="dxa"/>
              <w:start w:w="120" w:type="dxa"/>
              <w:bottom w:w="80" w:type="dxa"/>
              <w:end w:w="120" w:type="dxa"/>
            </w:tcMar>
          </w:tcPr>
          <w:p>
            <w:pPr>
              <w:spacing w:after="0"/>
              <w:jc w:val="left"/>
            </w:pPr>
            <w:r>
              <w:rPr>
                <w:rFonts w:ascii="Calibri" w:hAnsi="Calibri"/>
                <w:color w:val="202124"/>
                <w:sz w:val="18"/>
              </w:rPr>
              <w:t>Best NDCG and totals</w:t>
            </w:r>
          </w:p>
        </w:tc>
        <w:tc>
          <w:tcPr>
            <w:tcW w:type="dxa" w:w="3000"/>
            <w:vAlign w:val="center"/>
            <w:tcMar>
              <w:top w:w="80" w:type="dxa"/>
              <w:start w:w="120" w:type="dxa"/>
              <w:bottom w:w="80" w:type="dxa"/>
              <w:end w:w="120" w:type="dxa"/>
            </w:tcMar>
          </w:tcPr>
          <w:p>
            <w:pPr>
              <w:spacing w:after="0"/>
              <w:jc w:val="left"/>
            </w:pPr>
            <w:r>
              <w:rPr>
                <w:rFonts w:ascii="Calibri" w:hAnsi="Calibri"/>
                <w:color w:val="202124"/>
                <w:sz w:val="18"/>
              </w:rPr>
              <w:t>More complex; lower numerical accuracy</w:t>
            </w:r>
          </w:p>
        </w:tc>
      </w:tr>
    </w:tbl>
    <w:p>
      <w:pPr>
        <w:spacing w:after="20"/>
      </w:pPr>
    </w:p>
    <w:p>
      <w:r>
        <w:rPr>
          <w:rFonts w:ascii="Calibri" w:hAnsi="Calibri"/>
          <w:color w:val="202124"/>
        </w:rPr>
        <w:t>The Histogram GB training weight was w = 1 + 5 × award_share. This preserves all zero-share players while giving progressively more influence to serious candidates. Predictions were bounded to [0,1].</w:t>
      </w:r>
    </w:p>
    <w:p>
      <w:r>
        <w:br w:type="page"/>
      </w:r>
    </w:p>
    <w:p>
      <w:pPr>
        <w:pStyle w:val="Heading1"/>
      </w:pPr>
      <w:r>
        <w:t>7. Locked final-test results</w:t>
      </w:r>
    </w:p>
    <w:tbl>
      <w:tblPr>
        <w:tblStyle w:val="TableGrid"/>
        <w:tblW w:type="dxa" w:w="9360"/>
        <w:tblLayout w:type="fixed"/>
        <w:tblLook w:firstColumn="1" w:firstRow="1" w:lastColumn="0" w:lastRow="0" w:noHBand="0" w:noVBand="1" w:val="04A0"/>
        <w:jc w:val="left"/>
        <w:tblInd w:w="120" w:type="dxa"/>
      </w:tblPr>
      <w:tblGrid>
        <w:gridCol w:w="2250"/>
        <w:gridCol w:w="1250"/>
        <w:gridCol w:w="1750"/>
        <w:gridCol w:w="1400"/>
        <w:gridCol w:w="1400"/>
        <w:gridCol w:w="1310"/>
      </w:tblGrid>
      <w:tr>
        <w:trPr>
          <w:tblHeader w:val="true"/>
        </w:trPr>
        <w:tc>
          <w:tcPr>
            <w:tcW w:type="dxa" w:w="2250"/>
            <w:vAlign w:val="center"/>
            <w:tcMar>
              <w:top w:w="80" w:type="dxa"/>
              <w:start w:w="120" w:type="dxa"/>
              <w:bottom w:w="80" w:type="dxa"/>
              <w:end w:w="120" w:type="dxa"/>
            </w:tcMar>
            <w:shd w:fill="17324D"/>
          </w:tcPr>
          <w:p>
            <w:pPr>
              <w:spacing w:after="0"/>
              <w:jc w:val="center"/>
            </w:pPr>
            <w:r>
              <w:rPr>
                <w:rFonts w:ascii="Calibri" w:hAnsi="Calibri"/>
                <w:b/>
                <w:color w:val="FFFFFF"/>
                <w:sz w:val="18"/>
              </w:rPr>
              <w:t>Model</w:t>
            </w:r>
          </w:p>
        </w:tc>
        <w:tc>
          <w:tcPr>
            <w:tcW w:type="dxa" w:w="1250"/>
            <w:vAlign w:val="center"/>
            <w:tcMar>
              <w:top w:w="80" w:type="dxa"/>
              <w:start w:w="120" w:type="dxa"/>
              <w:bottom w:w="80" w:type="dxa"/>
              <w:end w:w="120" w:type="dxa"/>
            </w:tcMar>
            <w:shd w:fill="17324D"/>
          </w:tcPr>
          <w:p>
            <w:pPr>
              <w:spacing w:after="0"/>
              <w:jc w:val="center"/>
            </w:pPr>
            <w:r>
              <w:rPr>
                <w:rFonts w:ascii="Calibri" w:hAnsi="Calibri"/>
                <w:b/>
                <w:color w:val="FFFFFF"/>
                <w:sz w:val="18"/>
              </w:rPr>
              <w:t>RMSE</w:t>
            </w:r>
          </w:p>
        </w:tc>
        <w:tc>
          <w:tcPr>
            <w:tcW w:type="dxa" w:w="1750"/>
            <w:vAlign w:val="center"/>
            <w:tcMar>
              <w:top w:w="80" w:type="dxa"/>
              <w:start w:w="120" w:type="dxa"/>
              <w:bottom w:w="80" w:type="dxa"/>
              <w:end w:w="120" w:type="dxa"/>
            </w:tcMar>
            <w:shd w:fill="17324D"/>
          </w:tcPr>
          <w:p>
            <w:pPr>
              <w:spacing w:after="0"/>
              <w:jc w:val="center"/>
            </w:pPr>
            <w:r>
              <w:rPr>
                <w:rFonts w:ascii="Calibri" w:hAnsi="Calibri"/>
                <w:b/>
                <w:color w:val="FFFFFF"/>
                <w:sz w:val="18"/>
              </w:rPr>
              <w:t>Recipient RMSE</w:t>
            </w:r>
          </w:p>
        </w:tc>
        <w:tc>
          <w:tcPr>
            <w:tcW w:type="dxa" w:w="1400"/>
            <w:vAlign w:val="center"/>
            <w:tcMar>
              <w:top w:w="80" w:type="dxa"/>
              <w:start w:w="120" w:type="dxa"/>
              <w:bottom w:w="80" w:type="dxa"/>
              <w:end w:w="120" w:type="dxa"/>
            </w:tcMar>
            <w:shd w:fill="17324D"/>
          </w:tcPr>
          <w:p>
            <w:pPr>
              <w:spacing w:after="0"/>
              <w:jc w:val="center"/>
            </w:pPr>
            <w:r>
              <w:rPr>
                <w:rFonts w:ascii="Calibri" w:hAnsi="Calibri"/>
                <w:b/>
                <w:color w:val="FFFFFF"/>
                <w:sz w:val="18"/>
              </w:rPr>
              <w:t>NDCG@5</w:t>
            </w:r>
          </w:p>
        </w:tc>
        <w:tc>
          <w:tcPr>
            <w:tcW w:type="dxa" w:w="1400"/>
            <w:vAlign w:val="center"/>
            <w:tcMar>
              <w:top w:w="80" w:type="dxa"/>
              <w:start w:w="120" w:type="dxa"/>
              <w:bottom w:w="80" w:type="dxa"/>
              <w:end w:w="120" w:type="dxa"/>
            </w:tcMar>
            <w:shd w:fill="17324D"/>
          </w:tcPr>
          <w:p>
            <w:pPr>
              <w:spacing w:after="0"/>
              <w:jc w:val="center"/>
            </w:pPr>
            <w:r>
              <w:rPr>
                <w:rFonts w:ascii="Calibri" w:hAnsi="Calibri"/>
                <w:b/>
                <w:color w:val="FFFFFF"/>
                <w:sz w:val="18"/>
              </w:rPr>
              <w:t>Winner rank</w:t>
            </w:r>
          </w:p>
        </w:tc>
        <w:tc>
          <w:tcPr>
            <w:tcW w:type="dxa" w:w="1310"/>
            <w:vAlign w:val="center"/>
            <w:tcMar>
              <w:top w:w="80" w:type="dxa"/>
              <w:start w:w="120" w:type="dxa"/>
              <w:bottom w:w="80" w:type="dxa"/>
              <w:end w:w="120" w:type="dxa"/>
            </w:tcMar>
            <w:shd w:fill="17324D"/>
          </w:tcPr>
          <w:p>
            <w:pPr>
              <w:spacing w:after="0"/>
              <w:jc w:val="center"/>
            </w:pPr>
            <w:r>
              <w:rPr>
                <w:rFonts w:ascii="Calibri" w:hAnsi="Calibri"/>
                <w:b/>
                <w:color w:val="FFFFFF"/>
                <w:sz w:val="18"/>
              </w:rPr>
              <w:t>Top-1</w:t>
            </w:r>
          </w:p>
        </w:tc>
      </w:tr>
      <w:tr>
        <w:tc>
          <w:tcPr>
            <w:tcW w:type="dxa" w:w="2250"/>
            <w:vAlign w:val="center"/>
            <w:tcMar>
              <w:top w:w="80" w:type="dxa"/>
              <w:start w:w="120" w:type="dxa"/>
              <w:bottom w:w="80" w:type="dxa"/>
              <w:end w:w="120" w:type="dxa"/>
            </w:tcMar>
          </w:tcPr>
          <w:p>
            <w:pPr>
              <w:spacing w:after="0"/>
              <w:jc w:val="left"/>
            </w:pPr>
            <w:r>
              <w:rPr>
                <w:rFonts w:ascii="Calibri" w:hAnsi="Calibri"/>
                <w:color w:val="202124"/>
                <w:sz w:val="18"/>
              </w:rPr>
              <w:t>Histogram GB</w:t>
            </w:r>
          </w:p>
        </w:tc>
        <w:tc>
          <w:tcPr>
            <w:tcW w:type="dxa" w:w="1250"/>
            <w:vAlign w:val="center"/>
            <w:tcMar>
              <w:top w:w="80" w:type="dxa"/>
              <w:start w:w="120" w:type="dxa"/>
              <w:bottom w:w="80" w:type="dxa"/>
              <w:end w:w="120" w:type="dxa"/>
            </w:tcMar>
          </w:tcPr>
          <w:p>
            <w:pPr>
              <w:spacing w:after="0"/>
              <w:jc w:val="center"/>
            </w:pPr>
            <w:r>
              <w:rPr>
                <w:rFonts w:ascii="Calibri" w:hAnsi="Calibri"/>
                <w:color w:val="202124"/>
                <w:sz w:val="18"/>
              </w:rPr>
              <w:t>0.0263</w:t>
            </w:r>
          </w:p>
        </w:tc>
        <w:tc>
          <w:tcPr>
            <w:tcW w:type="dxa" w:w="1750"/>
            <w:vAlign w:val="center"/>
            <w:tcMar>
              <w:top w:w="80" w:type="dxa"/>
              <w:start w:w="120" w:type="dxa"/>
              <w:bottom w:w="80" w:type="dxa"/>
              <w:end w:w="120" w:type="dxa"/>
            </w:tcMar>
          </w:tcPr>
          <w:p>
            <w:pPr>
              <w:spacing w:after="0"/>
              <w:jc w:val="center"/>
            </w:pPr>
            <w:r>
              <w:rPr>
                <w:rFonts w:ascii="Calibri" w:hAnsi="Calibri"/>
                <w:color w:val="202124"/>
                <w:sz w:val="18"/>
              </w:rPr>
              <w:t>0.1553</w:t>
            </w:r>
          </w:p>
        </w:tc>
        <w:tc>
          <w:tcPr>
            <w:tcW w:type="dxa" w:w="1400"/>
            <w:vAlign w:val="center"/>
            <w:tcMar>
              <w:top w:w="80" w:type="dxa"/>
              <w:start w:w="120" w:type="dxa"/>
              <w:bottom w:w="80" w:type="dxa"/>
              <w:end w:w="120" w:type="dxa"/>
            </w:tcMar>
          </w:tcPr>
          <w:p>
            <w:pPr>
              <w:spacing w:after="0"/>
              <w:jc w:val="center"/>
            </w:pPr>
            <w:r>
              <w:rPr>
                <w:rFonts w:ascii="Calibri" w:hAnsi="Calibri"/>
                <w:color w:val="202124"/>
                <w:sz w:val="18"/>
              </w:rPr>
              <w:t>0.8934</w:t>
            </w:r>
          </w:p>
        </w:tc>
        <w:tc>
          <w:tcPr>
            <w:tcW w:type="dxa" w:w="1400"/>
            <w:vAlign w:val="center"/>
            <w:tcMar>
              <w:top w:w="80" w:type="dxa"/>
              <w:start w:w="120" w:type="dxa"/>
              <w:bottom w:w="80" w:type="dxa"/>
              <w:end w:w="120" w:type="dxa"/>
            </w:tcMar>
          </w:tcPr>
          <w:p>
            <w:pPr>
              <w:spacing w:after="0"/>
              <w:jc w:val="center"/>
            </w:pPr>
            <w:r>
              <w:rPr>
                <w:rFonts w:ascii="Calibri" w:hAnsi="Calibri"/>
                <w:color w:val="202124"/>
                <w:sz w:val="18"/>
              </w:rPr>
              <w:t>1.25</w:t>
            </w:r>
          </w:p>
        </w:tc>
        <w:tc>
          <w:tcPr>
            <w:tcW w:type="dxa" w:w="1310"/>
            <w:vAlign w:val="center"/>
            <w:tcMar>
              <w:top w:w="80" w:type="dxa"/>
              <w:start w:w="120" w:type="dxa"/>
              <w:bottom w:w="80" w:type="dxa"/>
              <w:end w:w="120" w:type="dxa"/>
            </w:tcMar>
          </w:tcPr>
          <w:p>
            <w:pPr>
              <w:spacing w:after="0"/>
              <w:jc w:val="center"/>
            </w:pPr>
            <w:r>
              <w:rPr>
                <w:rFonts w:ascii="Calibri" w:hAnsi="Calibri"/>
                <w:color w:val="202124"/>
                <w:sz w:val="18"/>
              </w:rPr>
              <w:t>75%</w:t>
            </w:r>
          </w:p>
        </w:tc>
      </w:tr>
      <w:tr>
        <w:tc>
          <w:tcPr>
            <w:tcW w:type="dxa" w:w="2250"/>
            <w:shd w:fill="F2F4F7"/>
            <w:vAlign w:val="center"/>
            <w:tcMar>
              <w:top w:w="80" w:type="dxa"/>
              <w:start w:w="120" w:type="dxa"/>
              <w:bottom w:w="80" w:type="dxa"/>
              <w:end w:w="120" w:type="dxa"/>
            </w:tcMar>
          </w:tcPr>
          <w:p>
            <w:pPr>
              <w:spacing w:after="0"/>
              <w:jc w:val="left"/>
            </w:pPr>
            <w:r>
              <w:rPr>
                <w:rFonts w:ascii="Calibri" w:hAnsi="Calibri"/>
                <w:color w:val="202124"/>
                <w:sz w:val="18"/>
              </w:rPr>
              <w:t>Extra Trees hurdle</w:t>
            </w:r>
          </w:p>
        </w:tc>
        <w:tc>
          <w:tcPr>
            <w:tcW w:type="dxa" w:w="1250"/>
            <w:shd w:fill="F2F4F7"/>
            <w:vAlign w:val="center"/>
            <w:tcMar>
              <w:top w:w="80" w:type="dxa"/>
              <w:start w:w="120" w:type="dxa"/>
              <w:bottom w:w="80" w:type="dxa"/>
              <w:end w:w="120" w:type="dxa"/>
            </w:tcMar>
          </w:tcPr>
          <w:p>
            <w:pPr>
              <w:spacing w:after="0"/>
              <w:jc w:val="center"/>
            </w:pPr>
            <w:r>
              <w:rPr>
                <w:rFonts w:ascii="Calibri" w:hAnsi="Calibri"/>
                <w:color w:val="202124"/>
                <w:sz w:val="18"/>
              </w:rPr>
              <w:t>0.0284</w:t>
            </w:r>
          </w:p>
        </w:tc>
        <w:tc>
          <w:tcPr>
            <w:tcW w:type="dxa" w:w="1750"/>
            <w:shd w:fill="F2F4F7"/>
            <w:vAlign w:val="center"/>
            <w:tcMar>
              <w:top w:w="80" w:type="dxa"/>
              <w:start w:w="120" w:type="dxa"/>
              <w:bottom w:w="80" w:type="dxa"/>
              <w:end w:w="120" w:type="dxa"/>
            </w:tcMar>
          </w:tcPr>
          <w:p>
            <w:pPr>
              <w:spacing w:after="0"/>
              <w:jc w:val="center"/>
            </w:pPr>
            <w:r>
              <w:rPr>
                <w:rFonts w:ascii="Calibri" w:hAnsi="Calibri"/>
                <w:color w:val="202124"/>
                <w:sz w:val="18"/>
              </w:rPr>
              <w:t>0.1688</w:t>
            </w:r>
          </w:p>
        </w:tc>
        <w:tc>
          <w:tcPr>
            <w:tcW w:type="dxa" w:w="1400"/>
            <w:shd w:fill="F2F4F7"/>
            <w:vAlign w:val="center"/>
            <w:tcMar>
              <w:top w:w="80" w:type="dxa"/>
              <w:start w:w="120" w:type="dxa"/>
              <w:bottom w:w="80" w:type="dxa"/>
              <w:end w:w="120" w:type="dxa"/>
            </w:tcMar>
          </w:tcPr>
          <w:p>
            <w:pPr>
              <w:spacing w:after="0"/>
              <w:jc w:val="center"/>
            </w:pPr>
            <w:r>
              <w:rPr>
                <w:rFonts w:ascii="Calibri" w:hAnsi="Calibri"/>
                <w:color w:val="202124"/>
                <w:sz w:val="18"/>
              </w:rPr>
              <w:t>0.9219</w:t>
            </w:r>
          </w:p>
        </w:tc>
        <w:tc>
          <w:tcPr>
            <w:tcW w:type="dxa" w:w="1400"/>
            <w:shd w:fill="F2F4F7"/>
            <w:vAlign w:val="center"/>
            <w:tcMar>
              <w:top w:w="80" w:type="dxa"/>
              <w:start w:w="120" w:type="dxa"/>
              <w:bottom w:w="80" w:type="dxa"/>
              <w:end w:w="120" w:type="dxa"/>
            </w:tcMar>
          </w:tcPr>
          <w:p>
            <w:pPr>
              <w:spacing w:after="0"/>
              <w:jc w:val="center"/>
            </w:pPr>
            <w:r>
              <w:rPr>
                <w:rFonts w:ascii="Calibri" w:hAnsi="Calibri"/>
                <w:color w:val="202124"/>
                <w:sz w:val="18"/>
              </w:rPr>
              <w:t>1.25</w:t>
            </w:r>
          </w:p>
        </w:tc>
        <w:tc>
          <w:tcPr>
            <w:tcW w:type="dxa" w:w="1310"/>
            <w:shd w:fill="F2F4F7"/>
            <w:vAlign w:val="center"/>
            <w:tcMar>
              <w:top w:w="80" w:type="dxa"/>
              <w:start w:w="120" w:type="dxa"/>
              <w:bottom w:w="80" w:type="dxa"/>
              <w:end w:w="120" w:type="dxa"/>
            </w:tcMar>
          </w:tcPr>
          <w:p>
            <w:pPr>
              <w:spacing w:after="0"/>
              <w:jc w:val="center"/>
            </w:pPr>
            <w:r>
              <w:rPr>
                <w:rFonts w:ascii="Calibri" w:hAnsi="Calibri"/>
                <w:color w:val="202124"/>
                <w:sz w:val="18"/>
              </w:rPr>
              <w:t>75%</w:t>
            </w:r>
          </w:p>
        </w:tc>
      </w:tr>
      <w:tr>
        <w:tc>
          <w:tcPr>
            <w:tcW w:type="dxa" w:w="2250"/>
            <w:vAlign w:val="center"/>
            <w:tcMar>
              <w:top w:w="80" w:type="dxa"/>
              <w:start w:w="120" w:type="dxa"/>
              <w:bottom w:w="80" w:type="dxa"/>
              <w:end w:w="120" w:type="dxa"/>
            </w:tcMar>
          </w:tcPr>
          <w:p>
            <w:pPr>
              <w:spacing w:after="0"/>
              <w:jc w:val="left"/>
            </w:pPr>
            <w:r>
              <w:rPr>
                <w:rFonts w:ascii="Calibri" w:hAnsi="Calibri"/>
                <w:color w:val="202124"/>
                <w:sz w:val="18"/>
              </w:rPr>
              <w:t>Weighted Ridge</w:t>
            </w:r>
          </w:p>
        </w:tc>
        <w:tc>
          <w:tcPr>
            <w:tcW w:type="dxa" w:w="1250"/>
            <w:vAlign w:val="center"/>
            <w:tcMar>
              <w:top w:w="80" w:type="dxa"/>
              <w:start w:w="120" w:type="dxa"/>
              <w:bottom w:w="80" w:type="dxa"/>
              <w:end w:w="120" w:type="dxa"/>
            </w:tcMar>
          </w:tcPr>
          <w:p>
            <w:pPr>
              <w:spacing w:after="0"/>
              <w:jc w:val="center"/>
            </w:pPr>
            <w:r>
              <w:rPr>
                <w:rFonts w:ascii="Calibri" w:hAnsi="Calibri"/>
                <w:color w:val="202124"/>
                <w:sz w:val="18"/>
              </w:rPr>
              <w:t>0.0478</w:t>
            </w:r>
          </w:p>
        </w:tc>
        <w:tc>
          <w:tcPr>
            <w:tcW w:type="dxa" w:w="1750"/>
            <w:vAlign w:val="center"/>
            <w:tcMar>
              <w:top w:w="80" w:type="dxa"/>
              <w:start w:w="120" w:type="dxa"/>
              <w:bottom w:w="80" w:type="dxa"/>
              <w:end w:w="120" w:type="dxa"/>
            </w:tcMar>
          </w:tcPr>
          <w:p>
            <w:pPr>
              <w:spacing w:after="0"/>
              <w:jc w:val="center"/>
            </w:pPr>
            <w:r>
              <w:rPr>
                <w:rFonts w:ascii="Calibri" w:hAnsi="Calibri"/>
                <w:color w:val="202124"/>
                <w:sz w:val="18"/>
              </w:rPr>
              <w:t>0.2108</w:t>
            </w:r>
          </w:p>
        </w:tc>
        <w:tc>
          <w:tcPr>
            <w:tcW w:type="dxa" w:w="1400"/>
            <w:vAlign w:val="center"/>
            <w:tcMar>
              <w:top w:w="80" w:type="dxa"/>
              <w:start w:w="120" w:type="dxa"/>
              <w:bottom w:w="80" w:type="dxa"/>
              <w:end w:w="120" w:type="dxa"/>
            </w:tcMar>
          </w:tcPr>
          <w:p>
            <w:pPr>
              <w:spacing w:after="0"/>
              <w:jc w:val="center"/>
            </w:pPr>
            <w:r>
              <w:rPr>
                <w:rFonts w:ascii="Calibri" w:hAnsi="Calibri"/>
                <w:color w:val="202124"/>
                <w:sz w:val="18"/>
              </w:rPr>
              <w:t>0.8739</w:t>
            </w:r>
          </w:p>
        </w:tc>
        <w:tc>
          <w:tcPr>
            <w:tcW w:type="dxa" w:w="1400"/>
            <w:vAlign w:val="center"/>
            <w:tcMar>
              <w:top w:w="80" w:type="dxa"/>
              <w:start w:w="120" w:type="dxa"/>
              <w:bottom w:w="80" w:type="dxa"/>
              <w:end w:w="120" w:type="dxa"/>
            </w:tcMar>
          </w:tcPr>
          <w:p>
            <w:pPr>
              <w:spacing w:after="0"/>
              <w:jc w:val="center"/>
            </w:pPr>
            <w:r>
              <w:rPr>
                <w:rFonts w:ascii="Calibri" w:hAnsi="Calibri"/>
                <w:color w:val="202124"/>
                <w:sz w:val="18"/>
              </w:rPr>
              <w:t>1.25</w:t>
            </w:r>
          </w:p>
        </w:tc>
        <w:tc>
          <w:tcPr>
            <w:tcW w:type="dxa" w:w="1310"/>
            <w:vAlign w:val="center"/>
            <w:tcMar>
              <w:top w:w="80" w:type="dxa"/>
              <w:start w:w="120" w:type="dxa"/>
              <w:bottom w:w="80" w:type="dxa"/>
              <w:end w:w="120" w:type="dxa"/>
            </w:tcMar>
          </w:tcPr>
          <w:p>
            <w:pPr>
              <w:spacing w:after="0"/>
              <w:jc w:val="center"/>
            </w:pPr>
            <w:r>
              <w:rPr>
                <w:rFonts w:ascii="Calibri" w:hAnsi="Calibri"/>
                <w:color w:val="202124"/>
                <w:sz w:val="18"/>
              </w:rPr>
              <w:t>75%</w:t>
            </w:r>
          </w:p>
        </w:tc>
      </w:tr>
      <w:tr>
        <w:tc>
          <w:tcPr>
            <w:tcW w:type="dxa" w:w="2250"/>
            <w:shd w:fill="F2F4F7"/>
            <w:vAlign w:val="center"/>
            <w:tcMar>
              <w:top w:w="80" w:type="dxa"/>
              <w:start w:w="120" w:type="dxa"/>
              <w:bottom w:w="80" w:type="dxa"/>
              <w:end w:w="120" w:type="dxa"/>
            </w:tcMar>
          </w:tcPr>
          <w:p>
            <w:pPr>
              <w:spacing w:after="0"/>
              <w:jc w:val="left"/>
            </w:pPr>
            <w:r>
              <w:rPr>
                <w:rFonts w:ascii="Calibri" w:hAnsi="Calibri"/>
                <w:color w:val="202124"/>
                <w:sz w:val="18"/>
              </w:rPr>
              <w:t>WS OLS</w:t>
            </w:r>
          </w:p>
        </w:tc>
        <w:tc>
          <w:tcPr>
            <w:tcW w:type="dxa" w:w="1250"/>
            <w:shd w:fill="F2F4F7"/>
            <w:vAlign w:val="center"/>
            <w:tcMar>
              <w:top w:w="80" w:type="dxa"/>
              <w:start w:w="120" w:type="dxa"/>
              <w:bottom w:w="80" w:type="dxa"/>
              <w:end w:w="120" w:type="dxa"/>
            </w:tcMar>
          </w:tcPr>
          <w:p>
            <w:pPr>
              <w:spacing w:after="0"/>
              <w:jc w:val="center"/>
            </w:pPr>
            <w:r>
              <w:rPr>
                <w:rFonts w:ascii="Calibri" w:hAnsi="Calibri"/>
                <w:color w:val="202124"/>
                <w:sz w:val="18"/>
              </w:rPr>
              <w:t>0.0583</w:t>
            </w:r>
          </w:p>
        </w:tc>
        <w:tc>
          <w:tcPr>
            <w:tcW w:type="dxa" w:w="1750"/>
            <w:shd w:fill="F2F4F7"/>
            <w:vAlign w:val="center"/>
            <w:tcMar>
              <w:top w:w="80" w:type="dxa"/>
              <w:start w:w="120" w:type="dxa"/>
              <w:bottom w:w="80" w:type="dxa"/>
              <w:end w:w="120" w:type="dxa"/>
            </w:tcMar>
          </w:tcPr>
          <w:p>
            <w:pPr>
              <w:spacing w:after="0"/>
              <w:jc w:val="center"/>
            </w:pPr>
            <w:r>
              <w:rPr>
                <w:rFonts w:ascii="Calibri" w:hAnsi="Calibri"/>
                <w:color w:val="202124"/>
                <w:sz w:val="18"/>
              </w:rPr>
              <w:t>0.3460</w:t>
            </w:r>
          </w:p>
        </w:tc>
        <w:tc>
          <w:tcPr>
            <w:tcW w:type="dxa" w:w="1400"/>
            <w:shd w:fill="F2F4F7"/>
            <w:vAlign w:val="center"/>
            <w:tcMar>
              <w:top w:w="80" w:type="dxa"/>
              <w:start w:w="120" w:type="dxa"/>
              <w:bottom w:w="80" w:type="dxa"/>
              <w:end w:w="120" w:type="dxa"/>
            </w:tcMar>
          </w:tcPr>
          <w:p>
            <w:pPr>
              <w:spacing w:after="0"/>
              <w:jc w:val="center"/>
            </w:pPr>
            <w:r>
              <w:rPr>
                <w:rFonts w:ascii="Calibri" w:hAnsi="Calibri"/>
                <w:color w:val="202124"/>
                <w:sz w:val="18"/>
              </w:rPr>
              <w:t>0.7195</w:t>
            </w:r>
          </w:p>
        </w:tc>
        <w:tc>
          <w:tcPr>
            <w:tcW w:type="dxa" w:w="1400"/>
            <w:shd w:fill="F2F4F7"/>
            <w:vAlign w:val="center"/>
            <w:tcMar>
              <w:top w:w="80" w:type="dxa"/>
              <w:start w:w="120" w:type="dxa"/>
              <w:bottom w:w="80" w:type="dxa"/>
              <w:end w:w="120" w:type="dxa"/>
            </w:tcMar>
          </w:tcPr>
          <w:p>
            <w:pPr>
              <w:spacing w:after="0"/>
              <w:jc w:val="center"/>
            </w:pPr>
            <w:r>
              <w:rPr>
                <w:rFonts w:ascii="Calibri" w:hAnsi="Calibri"/>
                <w:color w:val="202124"/>
                <w:sz w:val="18"/>
              </w:rPr>
              <w:t>2.00</w:t>
            </w:r>
          </w:p>
        </w:tc>
        <w:tc>
          <w:tcPr>
            <w:tcW w:type="dxa" w:w="1310"/>
            <w:shd w:fill="F2F4F7"/>
            <w:vAlign w:val="center"/>
            <w:tcMar>
              <w:top w:w="80" w:type="dxa"/>
              <w:start w:w="120" w:type="dxa"/>
              <w:bottom w:w="80" w:type="dxa"/>
              <w:end w:w="120" w:type="dxa"/>
            </w:tcMar>
          </w:tcPr>
          <w:p>
            <w:pPr>
              <w:spacing w:after="0"/>
              <w:jc w:val="center"/>
            </w:pPr>
            <w:r>
              <w:rPr>
                <w:rFonts w:ascii="Calibri" w:hAnsi="Calibri"/>
                <w:color w:val="202124"/>
                <w:sz w:val="18"/>
              </w:rPr>
              <w:t>50%</w:t>
            </w:r>
          </w:p>
        </w:tc>
      </w:tr>
      <w:tr>
        <w:tc>
          <w:tcPr>
            <w:tcW w:type="dxa" w:w="2250"/>
            <w:vAlign w:val="center"/>
            <w:tcMar>
              <w:top w:w="80" w:type="dxa"/>
              <w:start w:w="120" w:type="dxa"/>
              <w:bottom w:w="80" w:type="dxa"/>
              <w:end w:w="120" w:type="dxa"/>
            </w:tcMar>
          </w:tcPr>
          <w:p>
            <w:pPr>
              <w:spacing w:after="0"/>
              <w:jc w:val="left"/>
            </w:pPr>
            <w:r>
              <w:rPr>
                <w:rFonts w:ascii="Calibri" w:hAnsi="Calibri"/>
                <w:color w:val="202124"/>
                <w:sz w:val="18"/>
              </w:rPr>
              <w:t>Historical mean</w:t>
            </w:r>
          </w:p>
        </w:tc>
        <w:tc>
          <w:tcPr>
            <w:tcW w:type="dxa" w:w="1250"/>
            <w:vAlign w:val="center"/>
            <w:tcMar>
              <w:top w:w="80" w:type="dxa"/>
              <w:start w:w="120" w:type="dxa"/>
              <w:bottom w:w="80" w:type="dxa"/>
              <w:end w:w="120" w:type="dxa"/>
            </w:tcMar>
          </w:tcPr>
          <w:p>
            <w:pPr>
              <w:spacing w:after="0"/>
              <w:jc w:val="center"/>
            </w:pPr>
            <w:r>
              <w:rPr>
                <w:rFonts w:ascii="Calibri" w:hAnsi="Calibri"/>
                <w:color w:val="202124"/>
                <w:sz w:val="18"/>
              </w:rPr>
              <w:t>0.0592</w:t>
            </w:r>
          </w:p>
        </w:tc>
        <w:tc>
          <w:tcPr>
            <w:tcW w:type="dxa" w:w="1750"/>
            <w:vAlign w:val="center"/>
            <w:tcMar>
              <w:top w:w="80" w:type="dxa"/>
              <w:start w:w="120" w:type="dxa"/>
              <w:bottom w:w="80" w:type="dxa"/>
              <w:end w:w="120" w:type="dxa"/>
            </w:tcMar>
          </w:tcPr>
          <w:p>
            <w:pPr>
              <w:spacing w:after="0"/>
              <w:jc w:val="center"/>
            </w:pPr>
            <w:r>
              <w:rPr>
                <w:rFonts w:ascii="Calibri" w:hAnsi="Calibri"/>
                <w:color w:val="202124"/>
                <w:sz w:val="18"/>
              </w:rPr>
              <w:t>0.3566</w:t>
            </w:r>
          </w:p>
        </w:tc>
        <w:tc>
          <w:tcPr>
            <w:tcW w:type="dxa" w:w="1400"/>
            <w:vAlign w:val="center"/>
            <w:tcMar>
              <w:top w:w="80" w:type="dxa"/>
              <w:start w:w="120" w:type="dxa"/>
              <w:bottom w:w="80" w:type="dxa"/>
              <w:end w:w="120" w:type="dxa"/>
            </w:tcMar>
          </w:tcPr>
          <w:p>
            <w:pPr>
              <w:spacing w:after="0"/>
              <w:jc w:val="center"/>
            </w:pPr>
            <w:r>
              <w:rPr>
                <w:rFonts w:ascii="Calibri" w:hAnsi="Calibri"/>
                <w:color w:val="202124"/>
                <w:sz w:val="18"/>
              </w:rPr>
              <w:t>0.0093</w:t>
            </w:r>
          </w:p>
        </w:tc>
        <w:tc>
          <w:tcPr>
            <w:tcW w:type="dxa" w:w="1400"/>
            <w:vAlign w:val="center"/>
            <w:tcMar>
              <w:top w:w="80" w:type="dxa"/>
              <w:start w:w="120" w:type="dxa"/>
              <w:bottom w:w="80" w:type="dxa"/>
              <w:end w:w="120" w:type="dxa"/>
            </w:tcMar>
          </w:tcPr>
          <w:p>
            <w:pPr>
              <w:spacing w:after="0"/>
              <w:jc w:val="center"/>
            </w:pPr>
            <w:r>
              <w:rPr>
                <w:rFonts w:ascii="Calibri" w:hAnsi="Calibri"/>
                <w:color w:val="202124"/>
                <w:sz w:val="18"/>
              </w:rPr>
              <w:t>234.75</w:t>
            </w:r>
          </w:p>
        </w:tc>
        <w:tc>
          <w:tcPr>
            <w:tcW w:type="dxa" w:w="1310"/>
            <w:vAlign w:val="center"/>
            <w:tcMar>
              <w:top w:w="80" w:type="dxa"/>
              <w:start w:w="120" w:type="dxa"/>
              <w:bottom w:w="80" w:type="dxa"/>
              <w:end w:w="120" w:type="dxa"/>
            </w:tcMar>
          </w:tcPr>
          <w:p>
            <w:pPr>
              <w:spacing w:after="0"/>
              <w:jc w:val="center"/>
            </w:pPr>
            <w:r>
              <w:rPr>
                <w:rFonts w:ascii="Calibri" w:hAnsi="Calibri"/>
                <w:color w:val="202124"/>
                <w:sz w:val="18"/>
              </w:rPr>
              <w:t>≈0%</w:t>
            </w:r>
          </w:p>
        </w:tc>
      </w:tr>
      <w:tr>
        <w:tc>
          <w:tcPr>
            <w:tcW w:type="dxa" w:w="2250"/>
            <w:shd w:fill="F2F4F7"/>
            <w:vAlign w:val="center"/>
            <w:tcMar>
              <w:top w:w="80" w:type="dxa"/>
              <w:start w:w="120" w:type="dxa"/>
              <w:bottom w:w="80" w:type="dxa"/>
              <w:end w:w="120" w:type="dxa"/>
            </w:tcMar>
          </w:tcPr>
          <w:p>
            <w:pPr>
              <w:spacing w:after="0"/>
              <w:jc w:val="left"/>
            </w:pPr>
            <w:r>
              <w:rPr>
                <w:rFonts w:ascii="Calibri" w:hAnsi="Calibri"/>
                <w:color w:val="202124"/>
                <w:sz w:val="18"/>
              </w:rPr>
              <w:t>Zero</w:t>
            </w:r>
          </w:p>
        </w:tc>
        <w:tc>
          <w:tcPr>
            <w:tcW w:type="dxa" w:w="1250"/>
            <w:shd w:fill="F2F4F7"/>
            <w:vAlign w:val="center"/>
            <w:tcMar>
              <w:top w:w="80" w:type="dxa"/>
              <w:start w:w="120" w:type="dxa"/>
              <w:bottom w:w="80" w:type="dxa"/>
              <w:end w:w="120" w:type="dxa"/>
            </w:tcMar>
          </w:tcPr>
          <w:p>
            <w:pPr>
              <w:spacing w:after="0"/>
              <w:jc w:val="center"/>
            </w:pPr>
            <w:r>
              <w:rPr>
                <w:rFonts w:ascii="Calibri" w:hAnsi="Calibri"/>
                <w:color w:val="202124"/>
                <w:sz w:val="18"/>
              </w:rPr>
              <w:t>0.0595</w:t>
            </w:r>
          </w:p>
        </w:tc>
        <w:tc>
          <w:tcPr>
            <w:tcW w:type="dxa" w:w="1750"/>
            <w:shd w:fill="F2F4F7"/>
            <w:vAlign w:val="center"/>
            <w:tcMar>
              <w:top w:w="80" w:type="dxa"/>
              <w:start w:w="120" w:type="dxa"/>
              <w:bottom w:w="80" w:type="dxa"/>
              <w:end w:w="120" w:type="dxa"/>
            </w:tcMar>
          </w:tcPr>
          <w:p>
            <w:pPr>
              <w:spacing w:after="0"/>
              <w:jc w:val="center"/>
            </w:pPr>
            <w:r>
              <w:rPr>
                <w:rFonts w:ascii="Calibri" w:hAnsi="Calibri"/>
                <w:color w:val="202124"/>
                <w:sz w:val="18"/>
              </w:rPr>
              <w:t>0.3604</w:t>
            </w:r>
          </w:p>
        </w:tc>
        <w:tc>
          <w:tcPr>
            <w:tcW w:type="dxa" w:w="1400"/>
            <w:shd w:fill="F2F4F7"/>
            <w:vAlign w:val="center"/>
            <w:tcMar>
              <w:top w:w="80" w:type="dxa"/>
              <w:start w:w="120" w:type="dxa"/>
              <w:bottom w:w="80" w:type="dxa"/>
              <w:end w:w="120" w:type="dxa"/>
            </w:tcMar>
          </w:tcPr>
          <w:p>
            <w:pPr>
              <w:spacing w:after="0"/>
              <w:jc w:val="center"/>
            </w:pPr>
            <w:r>
              <w:rPr>
                <w:rFonts w:ascii="Calibri" w:hAnsi="Calibri"/>
                <w:color w:val="202124"/>
                <w:sz w:val="18"/>
              </w:rPr>
              <w:t>0.0093</w:t>
            </w:r>
          </w:p>
        </w:tc>
        <w:tc>
          <w:tcPr>
            <w:tcW w:type="dxa" w:w="1400"/>
            <w:shd w:fill="F2F4F7"/>
            <w:vAlign w:val="center"/>
            <w:tcMar>
              <w:top w:w="80" w:type="dxa"/>
              <w:start w:w="120" w:type="dxa"/>
              <w:bottom w:w="80" w:type="dxa"/>
              <w:end w:w="120" w:type="dxa"/>
            </w:tcMar>
          </w:tcPr>
          <w:p>
            <w:pPr>
              <w:spacing w:after="0"/>
              <w:jc w:val="center"/>
            </w:pPr>
            <w:r>
              <w:rPr>
                <w:rFonts w:ascii="Calibri" w:hAnsi="Calibri"/>
                <w:color w:val="202124"/>
                <w:sz w:val="18"/>
              </w:rPr>
              <w:t>234.75</w:t>
            </w:r>
          </w:p>
        </w:tc>
        <w:tc>
          <w:tcPr>
            <w:tcW w:type="dxa" w:w="1310"/>
            <w:shd w:fill="F2F4F7"/>
            <w:vAlign w:val="center"/>
            <w:tcMar>
              <w:top w:w="80" w:type="dxa"/>
              <w:start w:w="120" w:type="dxa"/>
              <w:bottom w:w="80" w:type="dxa"/>
              <w:end w:w="120" w:type="dxa"/>
            </w:tcMar>
          </w:tcPr>
          <w:p>
            <w:pPr>
              <w:spacing w:after="0"/>
              <w:jc w:val="center"/>
            </w:pPr>
            <w:r>
              <w:rPr>
                <w:rFonts w:ascii="Calibri" w:hAnsi="Calibri"/>
                <w:color w:val="202124"/>
                <w:sz w:val="18"/>
              </w:rPr>
              <w:t>≈0%</w:t>
            </w:r>
          </w:p>
        </w:tc>
      </w:tr>
    </w:tbl>
    <w:p>
      <w:pPr>
        <w:spacing w:after="20"/>
      </w:pPr>
    </w:p>
    <w:p>
      <w:pPr>
        <w:keepNext/>
        <w:jc w:val="center"/>
      </w:pPr>
      <w:r>
        <w:drawing>
          <wp:inline xmlns:a="http://schemas.openxmlformats.org/drawingml/2006/main" xmlns:pic="http://schemas.openxmlformats.org/drawingml/2006/picture">
            <wp:extent cx="5760720" cy="2631194"/>
            <wp:docPr id="4" name="Picture 4" title="Figure 4. Locked 2019–2022 vote-share error comparison. Lower RMSE is better." descr="Figure 4. Locked 2019–2022 vote-share error comparison. Lower RMSE is better."/>
            <wp:cNvGraphicFramePr>
              <a:graphicFrameLocks noChangeAspect="1"/>
            </wp:cNvGraphicFramePr>
            <a:graphic>
              <a:graphicData uri="http://schemas.openxmlformats.org/drawingml/2006/picture">
                <pic:pic>
                  <pic:nvPicPr>
                    <pic:cNvPr id="0" name="locked_test_regression.png"/>
                    <pic:cNvPicPr/>
                  </pic:nvPicPr>
                  <pic:blipFill>
                    <a:blip r:embed="rId14"/>
                    <a:stretch>
                      <a:fillRect/>
                    </a:stretch>
                  </pic:blipFill>
                  <pic:spPr>
                    <a:xfrm>
                      <a:off x="0" y="0"/>
                      <a:ext cx="5760720" cy="2631194"/>
                    </a:xfrm>
                    <a:prstGeom prst="rect"/>
                  </pic:spPr>
                </pic:pic>
              </a:graphicData>
            </a:graphic>
          </wp:inline>
        </w:drawing>
      </w:r>
    </w:p>
    <w:p>
      <w:pPr>
        <w:pStyle w:val="Caption"/>
        <w:jc w:val="center"/>
      </w:pPr>
      <w:r>
        <w:t>Figure 4. Locked 2019–2022 vote-share error comparison. Lower RMSE is better.</w:t>
      </w:r>
    </w:p>
    <w:p>
      <w:pPr>
        <w:keepNext/>
        <w:jc w:val="center"/>
      </w:pPr>
      <w:r>
        <w:drawing>
          <wp:inline xmlns:a="http://schemas.openxmlformats.org/drawingml/2006/main" xmlns:pic="http://schemas.openxmlformats.org/drawingml/2006/picture">
            <wp:extent cx="5760720" cy="2628079"/>
            <wp:docPr id="5" name="Picture 5" title="Figure 5. Locked season-level ranking results. Higher NDCG and lower winner rank are better." descr="Figure 5. Locked season-level ranking results. Higher NDCG and lower winner rank are better."/>
            <wp:cNvGraphicFramePr>
              <a:graphicFrameLocks noChangeAspect="1"/>
            </wp:cNvGraphicFramePr>
            <a:graphic>
              <a:graphicData uri="http://schemas.openxmlformats.org/drawingml/2006/picture">
                <pic:pic>
                  <pic:nvPicPr>
                    <pic:cNvPr id="0" name="locked_test_ranking.png"/>
                    <pic:cNvPicPr/>
                  </pic:nvPicPr>
                  <pic:blipFill>
                    <a:blip r:embed="rId15"/>
                    <a:stretch>
                      <a:fillRect/>
                    </a:stretch>
                  </pic:blipFill>
                  <pic:spPr>
                    <a:xfrm>
                      <a:off x="0" y="0"/>
                      <a:ext cx="5760720" cy="2628079"/>
                    </a:xfrm>
                    <a:prstGeom prst="rect"/>
                  </pic:spPr>
                </pic:pic>
              </a:graphicData>
            </a:graphic>
          </wp:inline>
        </w:drawing>
      </w:r>
    </w:p>
    <w:p>
      <w:pPr>
        <w:pStyle w:val="Caption"/>
        <w:jc w:val="center"/>
      </w:pPr>
      <w:r>
        <w:t>Figure 5. Locked season-level ranking results. Higher NDCG and lower winner rank are better.</w:t>
      </w:r>
    </w:p>
    <w:p>
      <w:pPr>
        <w:pStyle w:val="Heading2"/>
      </w:pPr>
      <w:r>
        <w:t>7.1 Winner audit</w:t>
      </w:r>
    </w:p>
    <w:tbl>
      <w:tblPr>
        <w:tblStyle w:val="TableGrid"/>
        <w:tblW w:type="dxa" w:w="9360"/>
        <w:tblLayout w:type="fixed"/>
        <w:tblLook w:firstColumn="1" w:firstRow="1" w:lastColumn="0" w:lastRow="0" w:noHBand="0" w:noVBand="1" w:val="04A0"/>
        <w:jc w:val="left"/>
        <w:tblInd w:w="120" w:type="dxa"/>
      </w:tblPr>
      <w:tblGrid>
        <w:gridCol w:w="1050"/>
        <w:gridCol w:w="2550"/>
        <w:gridCol w:w="2550"/>
        <w:gridCol w:w="1500"/>
        <w:gridCol w:w="1710"/>
      </w:tblGrid>
      <w:tr>
        <w:trPr>
          <w:tblHeader w:val="true"/>
        </w:trPr>
        <w:tc>
          <w:tcPr>
            <w:tcW w:type="dxa" w:w="1050"/>
            <w:vAlign w:val="center"/>
            <w:tcMar>
              <w:top w:w="80" w:type="dxa"/>
              <w:start w:w="120" w:type="dxa"/>
              <w:bottom w:w="80" w:type="dxa"/>
              <w:end w:w="120" w:type="dxa"/>
            </w:tcMar>
            <w:shd w:fill="17324D"/>
          </w:tcPr>
          <w:p>
            <w:pPr>
              <w:spacing w:after="0"/>
              <w:jc w:val="center"/>
            </w:pPr>
            <w:r>
              <w:rPr>
                <w:rFonts w:ascii="Calibri" w:hAnsi="Calibri"/>
                <w:b/>
                <w:color w:val="FFFFFF"/>
                <w:sz w:val="18"/>
              </w:rPr>
              <w:t>Season</w:t>
            </w:r>
          </w:p>
        </w:tc>
        <w:tc>
          <w:tcPr>
            <w:tcW w:type="dxa" w:w="2550"/>
            <w:vAlign w:val="center"/>
            <w:tcMar>
              <w:top w:w="80" w:type="dxa"/>
              <w:start w:w="120" w:type="dxa"/>
              <w:bottom w:w="80" w:type="dxa"/>
              <w:end w:w="120" w:type="dxa"/>
            </w:tcMar>
            <w:shd w:fill="17324D"/>
          </w:tcPr>
          <w:p>
            <w:pPr>
              <w:spacing w:after="0"/>
              <w:jc w:val="center"/>
            </w:pPr>
            <w:r>
              <w:rPr>
                <w:rFonts w:ascii="Calibri" w:hAnsi="Calibri"/>
                <w:b/>
                <w:color w:val="FFFFFF"/>
                <w:sz w:val="18"/>
              </w:rPr>
              <w:t>Actual MVP</w:t>
            </w:r>
          </w:p>
        </w:tc>
        <w:tc>
          <w:tcPr>
            <w:tcW w:type="dxa" w:w="2550"/>
            <w:vAlign w:val="center"/>
            <w:tcMar>
              <w:top w:w="80" w:type="dxa"/>
              <w:start w:w="120" w:type="dxa"/>
              <w:bottom w:w="80" w:type="dxa"/>
              <w:end w:w="120" w:type="dxa"/>
            </w:tcMar>
            <w:shd w:fill="17324D"/>
          </w:tcPr>
          <w:p>
            <w:pPr>
              <w:spacing w:after="0"/>
              <w:jc w:val="center"/>
            </w:pPr>
            <w:r>
              <w:rPr>
                <w:rFonts w:ascii="Calibri" w:hAnsi="Calibri"/>
                <w:b/>
                <w:color w:val="FFFFFF"/>
                <w:sz w:val="18"/>
              </w:rPr>
              <w:t>HGB leader</w:t>
            </w:r>
          </w:p>
        </w:tc>
        <w:tc>
          <w:tcPr>
            <w:tcW w:type="dxa" w:w="1500"/>
            <w:vAlign w:val="center"/>
            <w:tcMar>
              <w:top w:w="80" w:type="dxa"/>
              <w:start w:w="120" w:type="dxa"/>
              <w:bottom w:w="80" w:type="dxa"/>
              <w:end w:w="120" w:type="dxa"/>
            </w:tcMar>
            <w:shd w:fill="17324D"/>
          </w:tcPr>
          <w:p>
            <w:pPr>
              <w:spacing w:after="0"/>
              <w:jc w:val="center"/>
            </w:pPr>
            <w:r>
              <w:rPr>
                <w:rFonts w:ascii="Calibri" w:hAnsi="Calibri"/>
                <w:b/>
                <w:color w:val="FFFFFF"/>
                <w:sz w:val="18"/>
              </w:rPr>
              <w:t>Winner rank</w:t>
            </w:r>
          </w:p>
        </w:tc>
        <w:tc>
          <w:tcPr>
            <w:tcW w:type="dxa" w:w="1710"/>
            <w:vAlign w:val="center"/>
            <w:tcMar>
              <w:top w:w="80" w:type="dxa"/>
              <w:start w:w="120" w:type="dxa"/>
              <w:bottom w:w="80" w:type="dxa"/>
              <w:end w:w="120" w:type="dxa"/>
            </w:tcMar>
            <w:shd w:fill="17324D"/>
          </w:tcPr>
          <w:p>
            <w:pPr>
              <w:spacing w:after="0"/>
              <w:jc w:val="center"/>
            </w:pPr>
            <w:r>
              <w:rPr>
                <w:rFonts w:ascii="Calibri" w:hAnsi="Calibri"/>
                <w:b/>
                <w:color w:val="FFFFFF"/>
                <w:sz w:val="18"/>
              </w:rPr>
              <w:t>NDCG@5</w:t>
            </w:r>
          </w:p>
        </w:tc>
      </w:tr>
      <w:tr>
        <w:tc>
          <w:tcPr>
            <w:tcW w:type="dxa" w:w="1050"/>
            <w:vAlign w:val="center"/>
            <w:tcMar>
              <w:top w:w="80" w:type="dxa"/>
              <w:start w:w="120" w:type="dxa"/>
              <w:bottom w:w="80" w:type="dxa"/>
              <w:end w:w="120" w:type="dxa"/>
            </w:tcMar>
          </w:tcPr>
          <w:p>
            <w:pPr>
              <w:spacing w:after="0"/>
              <w:jc w:val="center"/>
            </w:pPr>
            <w:r>
              <w:rPr>
                <w:rFonts w:ascii="Calibri" w:hAnsi="Calibri"/>
                <w:color w:val="202124"/>
                <w:sz w:val="18"/>
              </w:rPr>
              <w:t>2019</w:t>
            </w:r>
          </w:p>
        </w:tc>
        <w:tc>
          <w:tcPr>
            <w:tcW w:type="dxa" w:w="2550"/>
            <w:vAlign w:val="center"/>
            <w:tcMar>
              <w:top w:w="80" w:type="dxa"/>
              <w:start w:w="120" w:type="dxa"/>
              <w:bottom w:w="80" w:type="dxa"/>
              <w:end w:w="120" w:type="dxa"/>
            </w:tcMar>
          </w:tcPr>
          <w:p>
            <w:pPr>
              <w:spacing w:after="0"/>
              <w:jc w:val="left"/>
            </w:pPr>
            <w:r>
              <w:rPr>
                <w:rFonts w:ascii="Calibri" w:hAnsi="Calibri"/>
                <w:color w:val="202124"/>
                <w:sz w:val="18"/>
              </w:rPr>
              <w:t>Giannis Antetokounmpo</w:t>
            </w:r>
          </w:p>
        </w:tc>
        <w:tc>
          <w:tcPr>
            <w:tcW w:type="dxa" w:w="2550"/>
            <w:vAlign w:val="center"/>
            <w:tcMar>
              <w:top w:w="80" w:type="dxa"/>
              <w:start w:w="120" w:type="dxa"/>
              <w:bottom w:w="80" w:type="dxa"/>
              <w:end w:w="120" w:type="dxa"/>
            </w:tcMar>
          </w:tcPr>
          <w:p>
            <w:pPr>
              <w:spacing w:after="0"/>
              <w:jc w:val="left"/>
            </w:pPr>
            <w:r>
              <w:rPr>
                <w:rFonts w:ascii="Calibri" w:hAnsi="Calibri"/>
                <w:color w:val="202124"/>
                <w:sz w:val="18"/>
              </w:rPr>
              <w:t>Giannis Antetokounmpo</w:t>
            </w:r>
          </w:p>
        </w:tc>
        <w:tc>
          <w:tcPr>
            <w:tcW w:type="dxa" w:w="1500"/>
            <w:vAlign w:val="center"/>
            <w:tcMar>
              <w:top w:w="80" w:type="dxa"/>
              <w:start w:w="120" w:type="dxa"/>
              <w:bottom w:w="80" w:type="dxa"/>
              <w:end w:w="120" w:type="dxa"/>
            </w:tcMar>
          </w:tcPr>
          <w:p>
            <w:pPr>
              <w:spacing w:after="0"/>
              <w:jc w:val="center"/>
            </w:pPr>
            <w:r>
              <w:rPr>
                <w:rFonts w:ascii="Calibri" w:hAnsi="Calibri"/>
                <w:color w:val="202124"/>
                <w:sz w:val="18"/>
              </w:rPr>
              <w:t>1</w:t>
            </w:r>
          </w:p>
        </w:tc>
        <w:tc>
          <w:tcPr>
            <w:tcW w:type="dxa" w:w="1710"/>
            <w:vAlign w:val="center"/>
            <w:tcMar>
              <w:top w:w="80" w:type="dxa"/>
              <w:start w:w="120" w:type="dxa"/>
              <w:bottom w:w="80" w:type="dxa"/>
              <w:end w:w="120" w:type="dxa"/>
            </w:tcMar>
          </w:tcPr>
          <w:p>
            <w:pPr>
              <w:spacing w:after="0"/>
              <w:jc w:val="center"/>
            </w:pPr>
            <w:r>
              <w:rPr>
                <w:rFonts w:ascii="Calibri" w:hAnsi="Calibri"/>
                <w:color w:val="202124"/>
                <w:sz w:val="18"/>
              </w:rPr>
              <w:t>0.9590</w:t>
            </w:r>
          </w:p>
        </w:tc>
      </w:tr>
      <w:tr>
        <w:tc>
          <w:tcPr>
            <w:tcW w:type="dxa" w:w="1050"/>
            <w:shd w:fill="F2F4F7"/>
            <w:vAlign w:val="center"/>
            <w:tcMar>
              <w:top w:w="80" w:type="dxa"/>
              <w:start w:w="120" w:type="dxa"/>
              <w:bottom w:w="80" w:type="dxa"/>
              <w:end w:w="120" w:type="dxa"/>
            </w:tcMar>
          </w:tcPr>
          <w:p>
            <w:pPr>
              <w:spacing w:after="0"/>
              <w:jc w:val="center"/>
            </w:pPr>
            <w:r>
              <w:rPr>
                <w:rFonts w:ascii="Calibri" w:hAnsi="Calibri"/>
                <w:color w:val="202124"/>
                <w:sz w:val="18"/>
              </w:rPr>
              <w:t>2020</w:t>
            </w:r>
          </w:p>
        </w:tc>
        <w:tc>
          <w:tcPr>
            <w:tcW w:type="dxa" w:w="2550"/>
            <w:shd w:fill="F2F4F7"/>
            <w:vAlign w:val="center"/>
            <w:tcMar>
              <w:top w:w="80" w:type="dxa"/>
              <w:start w:w="120" w:type="dxa"/>
              <w:bottom w:w="80" w:type="dxa"/>
              <w:end w:w="120" w:type="dxa"/>
            </w:tcMar>
          </w:tcPr>
          <w:p>
            <w:pPr>
              <w:spacing w:after="0"/>
              <w:jc w:val="left"/>
            </w:pPr>
            <w:r>
              <w:rPr>
                <w:rFonts w:ascii="Calibri" w:hAnsi="Calibri"/>
                <w:color w:val="202124"/>
                <w:sz w:val="18"/>
              </w:rPr>
              <w:t>Giannis Antetokounmpo</w:t>
            </w:r>
          </w:p>
        </w:tc>
        <w:tc>
          <w:tcPr>
            <w:tcW w:type="dxa" w:w="2550"/>
            <w:shd w:fill="F2F4F7"/>
            <w:vAlign w:val="center"/>
            <w:tcMar>
              <w:top w:w="80" w:type="dxa"/>
              <w:start w:w="120" w:type="dxa"/>
              <w:bottom w:w="80" w:type="dxa"/>
              <w:end w:w="120" w:type="dxa"/>
            </w:tcMar>
          </w:tcPr>
          <w:p>
            <w:pPr>
              <w:spacing w:after="0"/>
              <w:jc w:val="left"/>
            </w:pPr>
            <w:r>
              <w:rPr>
                <w:rFonts w:ascii="Calibri" w:hAnsi="Calibri"/>
                <w:color w:val="202124"/>
                <w:sz w:val="18"/>
              </w:rPr>
              <w:t>Giannis Antetokounmpo</w:t>
            </w:r>
          </w:p>
        </w:tc>
        <w:tc>
          <w:tcPr>
            <w:tcW w:type="dxa" w:w="1500"/>
            <w:shd w:fill="F2F4F7"/>
            <w:vAlign w:val="center"/>
            <w:tcMar>
              <w:top w:w="80" w:type="dxa"/>
              <w:start w:w="120" w:type="dxa"/>
              <w:bottom w:w="80" w:type="dxa"/>
              <w:end w:w="120" w:type="dxa"/>
            </w:tcMar>
          </w:tcPr>
          <w:p>
            <w:pPr>
              <w:spacing w:after="0"/>
              <w:jc w:val="center"/>
            </w:pPr>
            <w:r>
              <w:rPr>
                <w:rFonts w:ascii="Calibri" w:hAnsi="Calibri"/>
                <w:color w:val="202124"/>
                <w:sz w:val="18"/>
              </w:rPr>
              <w:t>1</w:t>
            </w:r>
          </w:p>
        </w:tc>
        <w:tc>
          <w:tcPr>
            <w:tcW w:type="dxa" w:w="1710"/>
            <w:shd w:fill="F2F4F7"/>
            <w:vAlign w:val="center"/>
            <w:tcMar>
              <w:top w:w="80" w:type="dxa"/>
              <w:start w:w="120" w:type="dxa"/>
              <w:bottom w:w="80" w:type="dxa"/>
              <w:end w:w="120" w:type="dxa"/>
            </w:tcMar>
          </w:tcPr>
          <w:p>
            <w:pPr>
              <w:spacing w:after="0"/>
              <w:jc w:val="center"/>
            </w:pPr>
            <w:r>
              <w:rPr>
                <w:rFonts w:ascii="Calibri" w:hAnsi="Calibri"/>
                <w:color w:val="202124"/>
                <w:sz w:val="18"/>
              </w:rPr>
              <w:t>0.9284</w:t>
            </w:r>
          </w:p>
        </w:tc>
      </w:tr>
      <w:tr>
        <w:tc>
          <w:tcPr>
            <w:tcW w:type="dxa" w:w="1050"/>
            <w:vAlign w:val="center"/>
            <w:tcMar>
              <w:top w:w="80" w:type="dxa"/>
              <w:start w:w="120" w:type="dxa"/>
              <w:bottom w:w="80" w:type="dxa"/>
              <w:end w:w="120" w:type="dxa"/>
            </w:tcMar>
          </w:tcPr>
          <w:p>
            <w:pPr>
              <w:spacing w:after="0"/>
              <w:jc w:val="center"/>
            </w:pPr>
            <w:r>
              <w:rPr>
                <w:rFonts w:ascii="Calibri" w:hAnsi="Calibri"/>
                <w:color w:val="202124"/>
                <w:sz w:val="18"/>
              </w:rPr>
              <w:t>2021</w:t>
            </w:r>
          </w:p>
        </w:tc>
        <w:tc>
          <w:tcPr>
            <w:tcW w:type="dxa" w:w="2550"/>
            <w:vAlign w:val="center"/>
            <w:tcMar>
              <w:top w:w="80" w:type="dxa"/>
              <w:start w:w="120" w:type="dxa"/>
              <w:bottom w:w="80" w:type="dxa"/>
              <w:end w:w="120" w:type="dxa"/>
            </w:tcMar>
          </w:tcPr>
          <w:p>
            <w:pPr>
              <w:spacing w:after="0"/>
              <w:jc w:val="left"/>
            </w:pPr>
            <w:r>
              <w:rPr>
                <w:rFonts w:ascii="Calibri" w:hAnsi="Calibri"/>
                <w:color w:val="202124"/>
                <w:sz w:val="18"/>
              </w:rPr>
              <w:t>Nikola Jokić</w:t>
            </w:r>
          </w:p>
        </w:tc>
        <w:tc>
          <w:tcPr>
            <w:tcW w:type="dxa" w:w="2550"/>
            <w:vAlign w:val="center"/>
            <w:tcMar>
              <w:top w:w="80" w:type="dxa"/>
              <w:start w:w="120" w:type="dxa"/>
              <w:bottom w:w="80" w:type="dxa"/>
              <w:end w:w="120" w:type="dxa"/>
            </w:tcMar>
          </w:tcPr>
          <w:p>
            <w:pPr>
              <w:spacing w:after="0"/>
              <w:jc w:val="left"/>
            </w:pPr>
            <w:r>
              <w:rPr>
                <w:rFonts w:ascii="Calibri" w:hAnsi="Calibri"/>
                <w:color w:val="202124"/>
                <w:sz w:val="18"/>
              </w:rPr>
              <w:t>Nikola Jokić</w:t>
            </w:r>
          </w:p>
        </w:tc>
        <w:tc>
          <w:tcPr>
            <w:tcW w:type="dxa" w:w="1500"/>
            <w:vAlign w:val="center"/>
            <w:tcMar>
              <w:top w:w="80" w:type="dxa"/>
              <w:start w:w="120" w:type="dxa"/>
              <w:bottom w:w="80" w:type="dxa"/>
              <w:end w:w="120" w:type="dxa"/>
            </w:tcMar>
          </w:tcPr>
          <w:p>
            <w:pPr>
              <w:spacing w:after="0"/>
              <w:jc w:val="center"/>
            </w:pPr>
            <w:r>
              <w:rPr>
                <w:rFonts w:ascii="Calibri" w:hAnsi="Calibri"/>
                <w:color w:val="202124"/>
                <w:sz w:val="18"/>
              </w:rPr>
              <w:t>1</w:t>
            </w:r>
          </w:p>
        </w:tc>
        <w:tc>
          <w:tcPr>
            <w:tcW w:type="dxa" w:w="1710"/>
            <w:vAlign w:val="center"/>
            <w:tcMar>
              <w:top w:w="80" w:type="dxa"/>
              <w:start w:w="120" w:type="dxa"/>
              <w:bottom w:w="80" w:type="dxa"/>
              <w:end w:w="120" w:type="dxa"/>
            </w:tcMar>
          </w:tcPr>
          <w:p>
            <w:pPr>
              <w:spacing w:after="0"/>
              <w:jc w:val="center"/>
            </w:pPr>
            <w:r>
              <w:rPr>
                <w:rFonts w:ascii="Calibri" w:hAnsi="Calibri"/>
                <w:color w:val="202124"/>
                <w:sz w:val="18"/>
              </w:rPr>
              <w:t>0.8050</w:t>
            </w:r>
          </w:p>
        </w:tc>
      </w:tr>
      <w:tr>
        <w:tc>
          <w:tcPr>
            <w:tcW w:type="dxa" w:w="1050"/>
            <w:shd w:fill="F2F4F7"/>
            <w:vAlign w:val="center"/>
            <w:tcMar>
              <w:top w:w="80" w:type="dxa"/>
              <w:start w:w="120" w:type="dxa"/>
              <w:bottom w:w="80" w:type="dxa"/>
              <w:end w:w="120" w:type="dxa"/>
            </w:tcMar>
          </w:tcPr>
          <w:p>
            <w:pPr>
              <w:spacing w:after="0"/>
              <w:jc w:val="center"/>
            </w:pPr>
            <w:r>
              <w:rPr>
                <w:rFonts w:ascii="Calibri" w:hAnsi="Calibri"/>
                <w:color w:val="202124"/>
                <w:sz w:val="18"/>
              </w:rPr>
              <w:t>2022</w:t>
            </w:r>
          </w:p>
        </w:tc>
        <w:tc>
          <w:tcPr>
            <w:tcW w:type="dxa" w:w="2550"/>
            <w:shd w:fill="F2F4F7"/>
            <w:vAlign w:val="center"/>
            <w:tcMar>
              <w:top w:w="80" w:type="dxa"/>
              <w:start w:w="120" w:type="dxa"/>
              <w:bottom w:w="80" w:type="dxa"/>
              <w:end w:w="120" w:type="dxa"/>
            </w:tcMar>
          </w:tcPr>
          <w:p>
            <w:pPr>
              <w:spacing w:after="0"/>
              <w:jc w:val="left"/>
            </w:pPr>
            <w:r>
              <w:rPr>
                <w:rFonts w:ascii="Calibri" w:hAnsi="Calibri"/>
                <w:color w:val="202124"/>
                <w:sz w:val="18"/>
              </w:rPr>
              <w:t>Nikola Jokić</w:t>
            </w:r>
          </w:p>
        </w:tc>
        <w:tc>
          <w:tcPr>
            <w:tcW w:type="dxa" w:w="2550"/>
            <w:shd w:fill="F2F4F7"/>
            <w:vAlign w:val="center"/>
            <w:tcMar>
              <w:top w:w="80" w:type="dxa"/>
              <w:start w:w="120" w:type="dxa"/>
              <w:bottom w:w="80" w:type="dxa"/>
              <w:end w:w="120" w:type="dxa"/>
            </w:tcMar>
          </w:tcPr>
          <w:p>
            <w:pPr>
              <w:spacing w:after="0"/>
              <w:jc w:val="left"/>
            </w:pPr>
            <w:r>
              <w:rPr>
                <w:rFonts w:ascii="Calibri" w:hAnsi="Calibri"/>
                <w:color w:val="202124"/>
                <w:sz w:val="18"/>
              </w:rPr>
              <w:t>Giannis Antetokounmpo</w:t>
            </w:r>
          </w:p>
        </w:tc>
        <w:tc>
          <w:tcPr>
            <w:tcW w:type="dxa" w:w="1500"/>
            <w:shd w:fill="F2F4F7"/>
            <w:vAlign w:val="center"/>
            <w:tcMar>
              <w:top w:w="80" w:type="dxa"/>
              <w:start w:w="120" w:type="dxa"/>
              <w:bottom w:w="80" w:type="dxa"/>
              <w:end w:w="120" w:type="dxa"/>
            </w:tcMar>
          </w:tcPr>
          <w:p>
            <w:pPr>
              <w:spacing w:after="0"/>
              <w:jc w:val="center"/>
            </w:pPr>
            <w:r>
              <w:rPr>
                <w:rFonts w:ascii="Calibri" w:hAnsi="Calibri"/>
                <w:color w:val="202124"/>
                <w:sz w:val="18"/>
              </w:rPr>
              <w:t>2</w:t>
            </w:r>
          </w:p>
        </w:tc>
        <w:tc>
          <w:tcPr>
            <w:tcW w:type="dxa" w:w="1710"/>
            <w:shd w:fill="F2F4F7"/>
            <w:vAlign w:val="center"/>
            <w:tcMar>
              <w:top w:w="80" w:type="dxa"/>
              <w:start w:w="120" w:type="dxa"/>
              <w:bottom w:w="80" w:type="dxa"/>
              <w:end w:w="120" w:type="dxa"/>
            </w:tcMar>
          </w:tcPr>
          <w:p>
            <w:pPr>
              <w:spacing w:after="0"/>
              <w:jc w:val="center"/>
            </w:pPr>
            <w:r>
              <w:rPr>
                <w:rFonts w:ascii="Calibri" w:hAnsi="Calibri"/>
                <w:color w:val="202124"/>
                <w:sz w:val="18"/>
              </w:rPr>
              <w:t>0.8812</w:t>
            </w:r>
          </w:p>
        </w:tc>
      </w:tr>
    </w:tbl>
    <w:p>
      <w:pPr>
        <w:spacing w:after="20"/>
      </w:pPr>
    </w:p>
    <w:p>
      <w:pPr>
        <w:keepNext/>
        <w:jc w:val="center"/>
      </w:pPr>
      <w:r>
        <w:drawing>
          <wp:inline xmlns:a="http://schemas.openxmlformats.org/drawingml/2006/main" xmlns:pic="http://schemas.openxmlformats.org/drawingml/2006/picture">
            <wp:extent cx="5760720" cy="3133173"/>
            <wp:docPr id="6" name="Picture 6" title="Figure 6. Actual MVP rank by season for the domain baseline and three learned models." descr="Figure 6. Actual MVP rank by season for the domain baseline and three learned models."/>
            <wp:cNvGraphicFramePr>
              <a:graphicFrameLocks noChangeAspect="1"/>
            </wp:cNvGraphicFramePr>
            <a:graphic>
              <a:graphicData uri="http://schemas.openxmlformats.org/drawingml/2006/picture">
                <pic:pic>
                  <pic:nvPicPr>
                    <pic:cNvPr id="0" name="locked_test_winner_rank_heatmap.png"/>
                    <pic:cNvPicPr/>
                  </pic:nvPicPr>
                  <pic:blipFill>
                    <a:blip r:embed="rId16"/>
                    <a:stretch>
                      <a:fillRect/>
                    </a:stretch>
                  </pic:blipFill>
                  <pic:spPr>
                    <a:xfrm>
                      <a:off x="0" y="0"/>
                      <a:ext cx="5760720" cy="3133173"/>
                    </a:xfrm>
                    <a:prstGeom prst="rect"/>
                  </pic:spPr>
                </pic:pic>
              </a:graphicData>
            </a:graphic>
          </wp:inline>
        </w:drawing>
      </w:r>
    </w:p>
    <w:p>
      <w:pPr>
        <w:pStyle w:val="Caption"/>
        <w:jc w:val="center"/>
      </w:pPr>
      <w:r>
        <w:t>Figure 6. Actual MVP rank by season for the domain baseline and three learned models.</w:t>
      </w:r>
    </w:p>
    <w:p>
      <w:pPr>
        <w:pStyle w:val="Heading1"/>
      </w:pPr>
      <w:r>
        <w:t>8. Calibration and imbalance</w:t>
      </w:r>
    </w:p>
    <w:p>
      <w:r>
        <w:rPr>
          <w:rFonts w:ascii="Calibri" w:hAnsi="Calibri"/>
          <w:color w:val="202124"/>
        </w:rPr>
        <w:t>The official model’s numerical accuracy is strong, but its boundary behavior requires explicit disclosure. Histogram GB clipped 84.31% of raw predictions, mainly small negative values among zero-share players, and underestimated winning shares by 0.217 on average. The hurdle model required no final clipping and produced the best season-total calibration.</w:t>
      </w:r>
    </w:p>
    <w:tbl>
      <w:tblPr>
        <w:tblStyle w:val="TableGrid"/>
        <w:tblW w:type="dxa" w:w="9360"/>
        <w:tblLayout w:type="fixed"/>
        <w:tblLook w:firstColumn="1" w:firstRow="1" w:lastColumn="0" w:lastRow="0" w:noHBand="0" w:noVBand="1" w:val="04A0"/>
        <w:jc w:val="left"/>
        <w:tblInd w:w="120" w:type="dxa"/>
      </w:tblPr>
      <w:tblGrid>
        <w:gridCol w:w="3150"/>
        <w:gridCol w:w="2150"/>
        <w:gridCol w:w="1900"/>
        <w:gridCol w:w="2160"/>
      </w:tblGrid>
      <w:tr>
        <w:trPr>
          <w:tblHeader w:val="true"/>
        </w:trPr>
        <w:tc>
          <w:tcPr>
            <w:tcW w:type="dxa" w:w="3150"/>
            <w:vAlign w:val="center"/>
            <w:tcMar>
              <w:top w:w="80" w:type="dxa"/>
              <w:start w:w="120" w:type="dxa"/>
              <w:bottom w:w="80" w:type="dxa"/>
              <w:end w:w="120" w:type="dxa"/>
            </w:tcMar>
            <w:shd w:fill="17324D"/>
          </w:tcPr>
          <w:p>
            <w:pPr>
              <w:spacing w:after="0"/>
              <w:jc w:val="center"/>
            </w:pPr>
            <w:r>
              <w:rPr>
                <w:rFonts w:ascii="Calibri" w:hAnsi="Calibri"/>
                <w:b/>
                <w:color w:val="FFFFFF"/>
                <w:sz w:val="18"/>
              </w:rPr>
              <w:t>Model</w:t>
            </w:r>
          </w:p>
        </w:tc>
        <w:tc>
          <w:tcPr>
            <w:tcW w:type="dxa" w:w="2150"/>
            <w:vAlign w:val="center"/>
            <w:tcMar>
              <w:top w:w="80" w:type="dxa"/>
              <w:start w:w="120" w:type="dxa"/>
              <w:bottom w:w="80" w:type="dxa"/>
              <w:end w:w="120" w:type="dxa"/>
            </w:tcMar>
            <w:shd w:fill="17324D"/>
          </w:tcPr>
          <w:p>
            <w:pPr>
              <w:spacing w:after="0"/>
              <w:jc w:val="center"/>
            </w:pPr>
            <w:r>
              <w:rPr>
                <w:rFonts w:ascii="Calibri" w:hAnsi="Calibri"/>
                <w:b/>
                <w:color w:val="FFFFFF"/>
                <w:sz w:val="18"/>
              </w:rPr>
              <w:t>Season-total MAE</w:t>
            </w:r>
          </w:p>
        </w:tc>
        <w:tc>
          <w:tcPr>
            <w:tcW w:type="dxa" w:w="1900"/>
            <w:vAlign w:val="center"/>
            <w:tcMar>
              <w:top w:w="80" w:type="dxa"/>
              <w:start w:w="120" w:type="dxa"/>
              <w:bottom w:w="80" w:type="dxa"/>
              <w:end w:w="120" w:type="dxa"/>
            </w:tcMar>
            <w:shd w:fill="17324D"/>
          </w:tcPr>
          <w:p>
            <w:pPr>
              <w:spacing w:after="0"/>
              <w:jc w:val="center"/>
            </w:pPr>
            <w:r>
              <w:rPr>
                <w:rFonts w:ascii="Calibri" w:hAnsi="Calibri"/>
                <w:b/>
                <w:color w:val="FFFFFF"/>
                <w:sz w:val="18"/>
              </w:rPr>
              <w:t>Winner bias</w:t>
            </w:r>
          </w:p>
        </w:tc>
        <w:tc>
          <w:tcPr>
            <w:tcW w:type="dxa" w:w="2160"/>
            <w:vAlign w:val="center"/>
            <w:tcMar>
              <w:top w:w="80" w:type="dxa"/>
              <w:start w:w="120" w:type="dxa"/>
              <w:bottom w:w="80" w:type="dxa"/>
              <w:end w:w="120" w:type="dxa"/>
            </w:tcMar>
            <w:shd w:fill="17324D"/>
          </w:tcPr>
          <w:p>
            <w:pPr>
              <w:spacing w:after="0"/>
              <w:jc w:val="center"/>
            </w:pPr>
            <w:r>
              <w:rPr>
                <w:rFonts w:ascii="Calibri" w:hAnsi="Calibri"/>
                <w:b/>
                <w:color w:val="FFFFFF"/>
                <w:sz w:val="18"/>
              </w:rPr>
              <w:t>Clipped</w:t>
            </w:r>
          </w:p>
        </w:tc>
      </w:tr>
      <w:tr>
        <w:tc>
          <w:tcPr>
            <w:tcW w:type="dxa" w:w="3150"/>
            <w:vAlign w:val="center"/>
            <w:tcMar>
              <w:top w:w="80" w:type="dxa"/>
              <w:start w:w="120" w:type="dxa"/>
              <w:bottom w:w="80" w:type="dxa"/>
              <w:end w:w="120" w:type="dxa"/>
            </w:tcMar>
          </w:tcPr>
          <w:p>
            <w:pPr>
              <w:spacing w:after="0"/>
              <w:jc w:val="left"/>
            </w:pPr>
            <w:r>
              <w:rPr>
                <w:rFonts w:ascii="Calibri" w:hAnsi="Calibri"/>
                <w:color w:val="202124"/>
                <w:sz w:val="18"/>
              </w:rPr>
              <w:t>Histogram GB</w:t>
            </w:r>
          </w:p>
        </w:tc>
        <w:tc>
          <w:tcPr>
            <w:tcW w:type="dxa" w:w="2150"/>
            <w:vAlign w:val="center"/>
            <w:tcMar>
              <w:top w:w="80" w:type="dxa"/>
              <w:start w:w="120" w:type="dxa"/>
              <w:bottom w:w="80" w:type="dxa"/>
              <w:end w:w="120" w:type="dxa"/>
            </w:tcMar>
          </w:tcPr>
          <w:p>
            <w:pPr>
              <w:spacing w:after="0"/>
              <w:jc w:val="center"/>
            </w:pPr>
            <w:r>
              <w:rPr>
                <w:rFonts w:ascii="Calibri" w:hAnsi="Calibri"/>
                <w:color w:val="202124"/>
                <w:sz w:val="18"/>
              </w:rPr>
              <w:t>0.4143</w:t>
            </w:r>
          </w:p>
        </w:tc>
        <w:tc>
          <w:tcPr>
            <w:tcW w:type="dxa" w:w="1900"/>
            <w:vAlign w:val="center"/>
            <w:tcMar>
              <w:top w:w="80" w:type="dxa"/>
              <w:start w:w="120" w:type="dxa"/>
              <w:bottom w:w="80" w:type="dxa"/>
              <w:end w:w="120" w:type="dxa"/>
            </w:tcMar>
          </w:tcPr>
          <w:p>
            <w:pPr>
              <w:spacing w:after="0"/>
              <w:jc w:val="center"/>
            </w:pPr>
            <w:r>
              <w:rPr>
                <w:rFonts w:ascii="Calibri" w:hAnsi="Calibri"/>
                <w:color w:val="202124"/>
                <w:sz w:val="18"/>
              </w:rPr>
              <w:t>−0.2170</w:t>
            </w:r>
          </w:p>
        </w:tc>
        <w:tc>
          <w:tcPr>
            <w:tcW w:type="dxa" w:w="2160"/>
            <w:vAlign w:val="center"/>
            <w:tcMar>
              <w:top w:w="80" w:type="dxa"/>
              <w:start w:w="120" w:type="dxa"/>
              <w:bottom w:w="80" w:type="dxa"/>
              <w:end w:w="120" w:type="dxa"/>
            </w:tcMar>
          </w:tcPr>
          <w:p>
            <w:pPr>
              <w:spacing w:after="0"/>
              <w:jc w:val="center"/>
            </w:pPr>
            <w:r>
              <w:rPr>
                <w:rFonts w:ascii="Calibri" w:hAnsi="Calibri"/>
                <w:color w:val="202124"/>
                <w:sz w:val="18"/>
              </w:rPr>
              <w:t>84.31%</w:t>
            </w:r>
          </w:p>
        </w:tc>
      </w:tr>
      <w:tr>
        <w:tc>
          <w:tcPr>
            <w:tcW w:type="dxa" w:w="3150"/>
            <w:shd w:fill="F2F4F7"/>
            <w:vAlign w:val="center"/>
            <w:tcMar>
              <w:top w:w="80" w:type="dxa"/>
              <w:start w:w="120" w:type="dxa"/>
              <w:bottom w:w="80" w:type="dxa"/>
              <w:end w:w="120" w:type="dxa"/>
            </w:tcMar>
          </w:tcPr>
          <w:p>
            <w:pPr>
              <w:spacing w:after="0"/>
              <w:jc w:val="left"/>
            </w:pPr>
            <w:r>
              <w:rPr>
                <w:rFonts w:ascii="Calibri" w:hAnsi="Calibri"/>
                <w:color w:val="202124"/>
                <w:sz w:val="18"/>
              </w:rPr>
              <w:t>Extra Trees hurdle</w:t>
            </w:r>
          </w:p>
        </w:tc>
        <w:tc>
          <w:tcPr>
            <w:tcW w:type="dxa" w:w="2150"/>
            <w:shd w:fill="F2F4F7"/>
            <w:vAlign w:val="center"/>
            <w:tcMar>
              <w:top w:w="80" w:type="dxa"/>
              <w:start w:w="120" w:type="dxa"/>
              <w:bottom w:w="80" w:type="dxa"/>
              <w:end w:w="120" w:type="dxa"/>
            </w:tcMar>
          </w:tcPr>
          <w:p>
            <w:pPr>
              <w:spacing w:after="0"/>
              <w:jc w:val="center"/>
            </w:pPr>
            <w:r>
              <w:rPr>
                <w:rFonts w:ascii="Calibri" w:hAnsi="Calibri"/>
                <w:color w:val="202124"/>
                <w:sz w:val="18"/>
              </w:rPr>
              <w:t>0.1320</w:t>
            </w:r>
          </w:p>
        </w:tc>
        <w:tc>
          <w:tcPr>
            <w:tcW w:type="dxa" w:w="1900"/>
            <w:shd w:fill="F2F4F7"/>
            <w:vAlign w:val="center"/>
            <w:tcMar>
              <w:top w:w="80" w:type="dxa"/>
              <w:start w:w="120" w:type="dxa"/>
              <w:bottom w:w="80" w:type="dxa"/>
              <w:end w:w="120" w:type="dxa"/>
            </w:tcMar>
          </w:tcPr>
          <w:p>
            <w:pPr>
              <w:spacing w:after="0"/>
              <w:jc w:val="center"/>
            </w:pPr>
            <w:r>
              <w:rPr>
                <w:rFonts w:ascii="Calibri" w:hAnsi="Calibri"/>
                <w:color w:val="202124"/>
                <w:sz w:val="18"/>
              </w:rPr>
              <w:t>−0.3442</w:t>
            </w:r>
          </w:p>
        </w:tc>
        <w:tc>
          <w:tcPr>
            <w:tcW w:type="dxa" w:w="2160"/>
            <w:shd w:fill="F2F4F7"/>
            <w:vAlign w:val="center"/>
            <w:tcMar>
              <w:top w:w="80" w:type="dxa"/>
              <w:start w:w="120" w:type="dxa"/>
              <w:bottom w:w="80" w:type="dxa"/>
              <w:end w:w="120" w:type="dxa"/>
            </w:tcMar>
          </w:tcPr>
          <w:p>
            <w:pPr>
              <w:spacing w:after="0"/>
              <w:jc w:val="center"/>
            </w:pPr>
            <w:r>
              <w:rPr>
                <w:rFonts w:ascii="Calibri" w:hAnsi="Calibri"/>
                <w:color w:val="202124"/>
                <w:sz w:val="18"/>
              </w:rPr>
              <w:t>0%</w:t>
            </w:r>
          </w:p>
        </w:tc>
      </w:tr>
      <w:tr>
        <w:tc>
          <w:tcPr>
            <w:tcW w:type="dxa" w:w="3150"/>
            <w:vAlign w:val="center"/>
            <w:tcMar>
              <w:top w:w="80" w:type="dxa"/>
              <w:start w:w="120" w:type="dxa"/>
              <w:bottom w:w="80" w:type="dxa"/>
              <w:end w:w="120" w:type="dxa"/>
            </w:tcMar>
          </w:tcPr>
          <w:p>
            <w:pPr>
              <w:spacing w:after="0"/>
              <w:jc w:val="left"/>
            </w:pPr>
            <w:r>
              <w:rPr>
                <w:rFonts w:ascii="Calibri" w:hAnsi="Calibri"/>
                <w:color w:val="202124"/>
                <w:sz w:val="18"/>
              </w:rPr>
              <w:t>Weighted Ridge</w:t>
            </w:r>
          </w:p>
        </w:tc>
        <w:tc>
          <w:tcPr>
            <w:tcW w:type="dxa" w:w="2150"/>
            <w:vAlign w:val="center"/>
            <w:tcMar>
              <w:top w:w="80" w:type="dxa"/>
              <w:start w:w="120" w:type="dxa"/>
              <w:bottom w:w="80" w:type="dxa"/>
              <w:end w:w="120" w:type="dxa"/>
            </w:tcMar>
          </w:tcPr>
          <w:p>
            <w:pPr>
              <w:spacing w:after="0"/>
              <w:jc w:val="center"/>
            </w:pPr>
            <w:r>
              <w:rPr>
                <w:rFonts w:ascii="Calibri" w:hAnsi="Calibri"/>
                <w:color w:val="202124"/>
                <w:sz w:val="18"/>
              </w:rPr>
              <w:t>6.6588</w:t>
            </w:r>
          </w:p>
        </w:tc>
        <w:tc>
          <w:tcPr>
            <w:tcW w:type="dxa" w:w="1900"/>
            <w:vAlign w:val="center"/>
            <w:tcMar>
              <w:top w:w="80" w:type="dxa"/>
              <w:start w:w="120" w:type="dxa"/>
              <w:bottom w:w="80" w:type="dxa"/>
              <w:end w:w="120" w:type="dxa"/>
            </w:tcMar>
          </w:tcPr>
          <w:p>
            <w:pPr>
              <w:spacing w:after="0"/>
              <w:jc w:val="center"/>
            </w:pPr>
            <w:r>
              <w:rPr>
                <w:rFonts w:ascii="Calibri" w:hAnsi="Calibri"/>
                <w:color w:val="202124"/>
                <w:sz w:val="18"/>
              </w:rPr>
              <w:t>−0.3277</w:t>
            </w:r>
          </w:p>
        </w:tc>
        <w:tc>
          <w:tcPr>
            <w:tcW w:type="dxa" w:w="2160"/>
            <w:vAlign w:val="center"/>
            <w:tcMar>
              <w:top w:w="80" w:type="dxa"/>
              <w:start w:w="120" w:type="dxa"/>
              <w:bottom w:w="80" w:type="dxa"/>
              <w:end w:w="120" w:type="dxa"/>
            </w:tcMar>
          </w:tcPr>
          <w:p>
            <w:pPr>
              <w:spacing w:after="0"/>
              <w:jc w:val="center"/>
            </w:pPr>
            <w:r>
              <w:rPr>
                <w:rFonts w:ascii="Calibri" w:hAnsi="Calibri"/>
                <w:color w:val="202124"/>
                <w:sz w:val="18"/>
              </w:rPr>
              <w:t>62.75%</w:t>
            </w:r>
          </w:p>
        </w:tc>
      </w:tr>
      <w:tr>
        <w:tc>
          <w:tcPr>
            <w:tcW w:type="dxa" w:w="3150"/>
            <w:shd w:fill="F2F4F7"/>
            <w:vAlign w:val="center"/>
            <w:tcMar>
              <w:top w:w="80" w:type="dxa"/>
              <w:start w:w="120" w:type="dxa"/>
              <w:bottom w:w="80" w:type="dxa"/>
              <w:end w:w="120" w:type="dxa"/>
            </w:tcMar>
          </w:tcPr>
          <w:p>
            <w:pPr>
              <w:spacing w:after="0"/>
              <w:jc w:val="left"/>
            </w:pPr>
            <w:r>
              <w:rPr>
                <w:rFonts w:ascii="Calibri" w:hAnsi="Calibri"/>
                <w:color w:val="202124"/>
                <w:sz w:val="18"/>
              </w:rPr>
              <w:t>WS OLS</w:t>
            </w:r>
          </w:p>
        </w:tc>
        <w:tc>
          <w:tcPr>
            <w:tcW w:type="dxa" w:w="2150"/>
            <w:shd w:fill="F2F4F7"/>
            <w:vAlign w:val="center"/>
            <w:tcMar>
              <w:top w:w="80" w:type="dxa"/>
              <w:start w:w="120" w:type="dxa"/>
              <w:bottom w:w="80" w:type="dxa"/>
              <w:end w:w="120" w:type="dxa"/>
            </w:tcMar>
          </w:tcPr>
          <w:p>
            <w:pPr>
              <w:spacing w:after="0"/>
              <w:jc w:val="center"/>
            </w:pPr>
            <w:r>
              <w:rPr>
                <w:rFonts w:ascii="Calibri" w:hAnsi="Calibri"/>
                <w:color w:val="202124"/>
                <w:sz w:val="18"/>
              </w:rPr>
              <w:t>1.6405</w:t>
            </w:r>
          </w:p>
        </w:tc>
        <w:tc>
          <w:tcPr>
            <w:tcW w:type="dxa" w:w="1900"/>
            <w:shd w:fill="F2F4F7"/>
            <w:vAlign w:val="center"/>
            <w:tcMar>
              <w:top w:w="80" w:type="dxa"/>
              <w:start w:w="120" w:type="dxa"/>
              <w:bottom w:w="80" w:type="dxa"/>
              <w:end w:w="120" w:type="dxa"/>
            </w:tcMar>
          </w:tcPr>
          <w:p>
            <w:pPr>
              <w:spacing w:after="0"/>
              <w:jc w:val="center"/>
            </w:pPr>
            <w:r>
              <w:rPr>
                <w:rFonts w:ascii="Calibri" w:hAnsi="Calibri"/>
                <w:color w:val="202124"/>
                <w:sz w:val="18"/>
              </w:rPr>
              <w:t>−0.9031</w:t>
            </w:r>
          </w:p>
        </w:tc>
        <w:tc>
          <w:tcPr>
            <w:tcW w:type="dxa" w:w="2160"/>
            <w:shd w:fill="F2F4F7"/>
            <w:vAlign w:val="center"/>
            <w:tcMar>
              <w:top w:w="80" w:type="dxa"/>
              <w:start w:w="120" w:type="dxa"/>
              <w:bottom w:w="80" w:type="dxa"/>
              <w:end w:w="120" w:type="dxa"/>
            </w:tcMar>
          </w:tcPr>
          <w:p>
            <w:pPr>
              <w:spacing w:after="0"/>
              <w:jc w:val="center"/>
            </w:pPr>
            <w:r>
              <w:rPr>
                <w:rFonts w:ascii="Calibri" w:hAnsi="Calibri"/>
                <w:color w:val="202124"/>
                <w:sz w:val="18"/>
              </w:rPr>
              <w:t>32.71%</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7F2E8"/>
          </w:tcPr>
          <w:p>
            <w:pPr>
              <w:spacing w:after="40"/>
            </w:pPr>
            <w:r>
              <w:rPr>
                <w:rFonts w:ascii="Calibri" w:hAnsi="Calibri"/>
                <w:b/>
                <w:color w:val="D97706"/>
              </w:rPr>
              <w:t xml:space="preserve">Operational rule: </w:t>
            </w:r>
            <w:r>
              <w:rPr>
                <w:rFonts w:ascii="Calibri" w:hAnsi="Calibri"/>
                <w:color w:val="202124"/>
              </w:rPr>
              <w:t>Report HGB and hurdle rankings together. Any disagreement about the top candidate should trigger analyst review rather than silent model selection.</w:t>
            </w:r>
          </w:p>
        </w:tc>
      </w:tr>
    </w:tbl>
    <w:p>
      <w:pPr>
        <w:spacing w:after="20"/>
      </w:pPr>
    </w:p>
    <w:p>
      <w:pPr>
        <w:pStyle w:val="Heading1"/>
      </w:pPr>
      <w:r>
        <w:t>9. Sensitivity analysis</w:t>
      </w:r>
    </w:p>
    <w:p>
      <w:r>
        <w:rPr>
          <w:rFonts w:ascii="Calibri" w:hAnsi="Calibri"/>
          <w:color w:val="202124"/>
        </w:rPr>
        <w:t>The 500-minute sensitivity cohort retained every test vote recipient and all four winners. Histogram GB’s mean winner rank and top-1 accuracy were unchanged, while numerical and ranking metrics moved only modestly. This supports the broader 100-minute cohort as the primary design.</w:t>
      </w:r>
    </w:p>
    <w:p>
      <w:pPr>
        <w:keepNext/>
        <w:jc w:val="center"/>
      </w:pPr>
      <w:r>
        <w:drawing>
          <wp:inline xmlns:a="http://schemas.openxmlformats.org/drawingml/2006/main" xmlns:pic="http://schemas.openxmlformats.org/drawingml/2006/picture">
            <wp:extent cx="5760720" cy="3978759"/>
            <wp:docPr id="7" name="Picture 7" title="Figure 7. Histogram GB performance under the 100- and 500-minute eligibility thresholds." descr="Figure 7. Histogram GB performance under the 100- and 500-minute eligibility thresholds."/>
            <wp:cNvGraphicFramePr>
              <a:graphicFrameLocks noChangeAspect="1"/>
            </wp:cNvGraphicFramePr>
            <a:graphic>
              <a:graphicData uri="http://schemas.openxmlformats.org/drawingml/2006/picture">
                <pic:pic>
                  <pic:nvPicPr>
                    <pic:cNvPr id="0" name="locked_test_sensitivity.png"/>
                    <pic:cNvPicPr/>
                  </pic:nvPicPr>
                  <pic:blipFill>
                    <a:blip r:embed="rId17"/>
                    <a:stretch>
                      <a:fillRect/>
                    </a:stretch>
                  </pic:blipFill>
                  <pic:spPr>
                    <a:xfrm>
                      <a:off x="0" y="0"/>
                      <a:ext cx="5760720" cy="3978759"/>
                    </a:xfrm>
                    <a:prstGeom prst="rect"/>
                  </pic:spPr>
                </pic:pic>
              </a:graphicData>
            </a:graphic>
          </wp:inline>
        </w:drawing>
      </w:r>
    </w:p>
    <w:p>
      <w:pPr>
        <w:pStyle w:val="Caption"/>
        <w:jc w:val="center"/>
      </w:pPr>
      <w:r>
        <w:t>Figure 7. Histogram GB performance under the 100- and 500-minute eligibility thresholds.</w:t>
      </w:r>
    </w:p>
    <w:p>
      <w:r>
        <w:br w:type="page"/>
      </w:r>
    </w:p>
    <w:p>
      <w:pPr>
        <w:pStyle w:val="Heading1"/>
      </w:pPr>
      <w:r>
        <w:t>10. Final recommendations</w:t>
      </w:r>
    </w:p>
    <w:tbl>
      <w:tblPr>
        <w:tblStyle w:val="TableGrid"/>
        <w:tblW w:type="dxa" w:w="9360"/>
        <w:tblLayout w:type="fixed"/>
        <w:tblLook w:firstColumn="1" w:firstRow="1" w:lastColumn="0" w:lastRow="0" w:noHBand="0" w:noVBand="1" w:val="04A0"/>
        <w:jc w:val="left"/>
        <w:tblInd w:w="120" w:type="dxa"/>
      </w:tblPr>
      <w:tblGrid>
        <w:gridCol w:w="2900"/>
        <w:gridCol w:w="6460"/>
      </w:tblGrid>
      <w:tr>
        <w:trPr>
          <w:tblHeader w:val="true"/>
        </w:trPr>
        <w:tc>
          <w:tcPr>
            <w:tcW w:type="dxa" w:w="2900"/>
            <w:vAlign w:val="center"/>
            <w:tcMar>
              <w:top w:w="80" w:type="dxa"/>
              <w:start w:w="120" w:type="dxa"/>
              <w:bottom w:w="80" w:type="dxa"/>
              <w:end w:w="120" w:type="dxa"/>
            </w:tcMar>
            <w:shd w:fill="17324D"/>
          </w:tcPr>
          <w:p>
            <w:pPr>
              <w:spacing w:after="0"/>
              <w:jc w:val="center"/>
            </w:pPr>
            <w:r>
              <w:rPr>
                <w:rFonts w:ascii="Calibri" w:hAnsi="Calibri"/>
                <w:b/>
                <w:color w:val="FFFFFF"/>
                <w:sz w:val="18"/>
              </w:rPr>
              <w:t>Recommendation</w:t>
            </w:r>
          </w:p>
        </w:tc>
        <w:tc>
          <w:tcPr>
            <w:tcW w:type="dxa" w:w="6460"/>
            <w:vAlign w:val="center"/>
            <w:tcMar>
              <w:top w:w="80" w:type="dxa"/>
              <w:start w:w="120" w:type="dxa"/>
              <w:bottom w:w="80" w:type="dxa"/>
              <w:end w:w="120" w:type="dxa"/>
            </w:tcMar>
            <w:shd w:fill="17324D"/>
          </w:tcPr>
          <w:p>
            <w:pPr>
              <w:spacing w:after="0"/>
              <w:jc w:val="center"/>
            </w:pPr>
            <w:r>
              <w:rPr>
                <w:rFonts w:ascii="Calibri" w:hAnsi="Calibri"/>
                <w:b/>
                <w:color w:val="FFFFFF"/>
                <w:sz w:val="18"/>
              </w:rPr>
              <w:t>Implementation</w:t>
            </w:r>
          </w:p>
        </w:tc>
      </w:tr>
      <w:tr>
        <w:tc>
          <w:tcPr>
            <w:tcW w:type="dxa" w:w="2900"/>
            <w:vAlign w:val="center"/>
            <w:tcMar>
              <w:top w:w="80" w:type="dxa"/>
              <w:start w:w="120" w:type="dxa"/>
              <w:bottom w:w="80" w:type="dxa"/>
              <w:end w:w="120" w:type="dxa"/>
            </w:tcMar>
          </w:tcPr>
          <w:p>
            <w:pPr>
              <w:spacing w:after="0"/>
              <w:jc w:val="left"/>
            </w:pPr>
            <w:r>
              <w:rPr>
                <w:rFonts w:ascii="Calibri" w:hAnsi="Calibri"/>
                <w:color w:val="202124"/>
                <w:sz w:val="18"/>
              </w:rPr>
              <w:t>Primary forecast</w:t>
            </w:r>
          </w:p>
        </w:tc>
        <w:tc>
          <w:tcPr>
            <w:tcW w:type="dxa" w:w="6460"/>
            <w:vAlign w:val="center"/>
            <w:tcMar>
              <w:top w:w="80" w:type="dxa"/>
              <w:start w:w="120" w:type="dxa"/>
              <w:bottom w:w="80" w:type="dxa"/>
              <w:end w:w="120" w:type="dxa"/>
            </w:tcMar>
          </w:tcPr>
          <w:p>
            <w:pPr>
              <w:spacing w:after="0"/>
              <w:jc w:val="left"/>
            </w:pPr>
            <w:r>
              <w:rPr>
                <w:rFonts w:ascii="Calibri" w:hAnsi="Calibri"/>
                <w:color w:val="202124"/>
                <w:sz w:val="18"/>
              </w:rPr>
              <w:t>Use weighted Histogram GB for numerical award_share</w:t>
            </w:r>
          </w:p>
        </w:tc>
      </w:tr>
      <w:tr>
        <w:tc>
          <w:tcPr>
            <w:tcW w:type="dxa" w:w="2900"/>
            <w:shd w:fill="F2F4F7"/>
            <w:vAlign w:val="center"/>
            <w:tcMar>
              <w:top w:w="80" w:type="dxa"/>
              <w:start w:w="120" w:type="dxa"/>
              <w:bottom w:w="80" w:type="dxa"/>
              <w:end w:w="120" w:type="dxa"/>
            </w:tcMar>
          </w:tcPr>
          <w:p>
            <w:pPr>
              <w:spacing w:after="0"/>
              <w:jc w:val="left"/>
            </w:pPr>
            <w:r>
              <w:rPr>
                <w:rFonts w:ascii="Calibri" w:hAnsi="Calibri"/>
                <w:color w:val="202124"/>
                <w:sz w:val="18"/>
              </w:rPr>
              <w:t>Ranking check</w:t>
            </w:r>
          </w:p>
        </w:tc>
        <w:tc>
          <w:tcPr>
            <w:tcW w:type="dxa" w:w="6460"/>
            <w:shd w:fill="F2F4F7"/>
            <w:vAlign w:val="center"/>
            <w:tcMar>
              <w:top w:w="80" w:type="dxa"/>
              <w:start w:w="120" w:type="dxa"/>
              <w:bottom w:w="80" w:type="dxa"/>
              <w:end w:w="120" w:type="dxa"/>
            </w:tcMar>
          </w:tcPr>
          <w:p>
            <w:pPr>
              <w:spacing w:after="0"/>
              <w:jc w:val="left"/>
            </w:pPr>
            <w:r>
              <w:rPr>
                <w:rFonts w:ascii="Calibri" w:hAnsi="Calibri"/>
                <w:color w:val="202124"/>
                <w:sz w:val="18"/>
              </w:rPr>
              <w:t>Always publish Extra Trees hurdle beside HGB</w:t>
            </w:r>
          </w:p>
        </w:tc>
      </w:tr>
      <w:tr>
        <w:tc>
          <w:tcPr>
            <w:tcW w:type="dxa" w:w="2900"/>
            <w:vAlign w:val="center"/>
            <w:tcMar>
              <w:top w:w="80" w:type="dxa"/>
              <w:start w:w="120" w:type="dxa"/>
              <w:bottom w:w="80" w:type="dxa"/>
              <w:end w:w="120" w:type="dxa"/>
            </w:tcMar>
          </w:tcPr>
          <w:p>
            <w:pPr>
              <w:spacing w:after="0"/>
              <w:jc w:val="left"/>
            </w:pPr>
            <w:r>
              <w:rPr>
                <w:rFonts w:ascii="Calibri" w:hAnsi="Calibri"/>
                <w:color w:val="202124"/>
                <w:sz w:val="18"/>
              </w:rPr>
              <w:t>Baseline</w:t>
            </w:r>
          </w:p>
        </w:tc>
        <w:tc>
          <w:tcPr>
            <w:tcW w:type="dxa" w:w="6460"/>
            <w:vAlign w:val="center"/>
            <w:tcMar>
              <w:top w:w="80" w:type="dxa"/>
              <w:start w:w="120" w:type="dxa"/>
              <w:bottom w:w="80" w:type="dxa"/>
              <w:end w:w="120" w:type="dxa"/>
            </w:tcMar>
          </w:tcPr>
          <w:p>
            <w:pPr>
              <w:spacing w:after="0"/>
              <w:jc w:val="left"/>
            </w:pPr>
            <w:r>
              <w:rPr>
                <w:rFonts w:ascii="Calibri" w:hAnsi="Calibri"/>
                <w:color w:val="202124"/>
                <w:sz w:val="18"/>
              </w:rPr>
              <w:t>Retain WS percentile OLS in every evaluation</w:t>
            </w:r>
          </w:p>
        </w:tc>
      </w:tr>
      <w:tr>
        <w:tc>
          <w:tcPr>
            <w:tcW w:type="dxa" w:w="2900"/>
            <w:shd w:fill="F2F4F7"/>
            <w:vAlign w:val="center"/>
            <w:tcMar>
              <w:top w:w="80" w:type="dxa"/>
              <w:start w:w="120" w:type="dxa"/>
              <w:bottom w:w="80" w:type="dxa"/>
              <w:end w:w="120" w:type="dxa"/>
            </w:tcMar>
          </w:tcPr>
          <w:p>
            <w:pPr>
              <w:spacing w:after="0"/>
              <w:jc w:val="left"/>
            </w:pPr>
            <w:r>
              <w:rPr>
                <w:rFonts w:ascii="Calibri" w:hAnsi="Calibri"/>
                <w:color w:val="202124"/>
                <w:sz w:val="18"/>
              </w:rPr>
              <w:t>Candidate list</w:t>
            </w:r>
          </w:p>
        </w:tc>
        <w:tc>
          <w:tcPr>
            <w:tcW w:type="dxa" w:w="6460"/>
            <w:shd w:fill="F2F4F7"/>
            <w:vAlign w:val="center"/>
            <w:tcMar>
              <w:top w:w="80" w:type="dxa"/>
              <w:start w:w="120" w:type="dxa"/>
              <w:bottom w:w="80" w:type="dxa"/>
              <w:end w:w="120" w:type="dxa"/>
            </w:tcMar>
          </w:tcPr>
          <w:p>
            <w:pPr>
              <w:spacing w:after="0"/>
              <w:jc w:val="left"/>
            </w:pPr>
            <w:r>
              <w:rPr>
                <w:rFonts w:ascii="Calibri" w:hAnsi="Calibri"/>
                <w:color w:val="202124"/>
                <w:sz w:val="18"/>
              </w:rPr>
              <w:t>Use mp ≥ 100; retain mp ≥ 500 sensitivity</w:t>
            </w:r>
          </w:p>
        </w:tc>
      </w:tr>
      <w:tr>
        <w:tc>
          <w:tcPr>
            <w:tcW w:type="dxa" w:w="2900"/>
            <w:vAlign w:val="center"/>
            <w:tcMar>
              <w:top w:w="80" w:type="dxa"/>
              <w:start w:w="120" w:type="dxa"/>
              <w:bottom w:w="80" w:type="dxa"/>
              <w:end w:w="120" w:type="dxa"/>
            </w:tcMar>
          </w:tcPr>
          <w:p>
            <w:pPr>
              <w:spacing w:after="0"/>
              <w:jc w:val="left"/>
            </w:pPr>
            <w:r>
              <w:rPr>
                <w:rFonts w:ascii="Calibri" w:hAnsi="Calibri"/>
                <w:color w:val="202124"/>
                <w:sz w:val="18"/>
              </w:rPr>
              <w:t>Communication</w:t>
            </w:r>
          </w:p>
        </w:tc>
        <w:tc>
          <w:tcPr>
            <w:tcW w:type="dxa" w:w="6460"/>
            <w:vAlign w:val="center"/>
            <w:tcMar>
              <w:top w:w="80" w:type="dxa"/>
              <w:start w:w="120" w:type="dxa"/>
              <w:bottom w:w="80" w:type="dxa"/>
              <w:end w:w="120" w:type="dxa"/>
            </w:tcMar>
          </w:tcPr>
          <w:p>
            <w:pPr>
              <w:spacing w:after="0"/>
              <w:jc w:val="left"/>
            </w:pPr>
            <w:r>
              <w:rPr>
                <w:rFonts w:ascii="Calibri" w:hAnsi="Calibri"/>
                <w:color w:val="202124"/>
                <w:sz w:val="18"/>
              </w:rPr>
              <w:t>Present top five, shares, rank disagreement, and warnings</w:t>
            </w:r>
          </w:p>
        </w:tc>
      </w:tr>
      <w:tr>
        <w:tc>
          <w:tcPr>
            <w:tcW w:type="dxa" w:w="2900"/>
            <w:shd w:fill="F2F4F7"/>
            <w:vAlign w:val="center"/>
            <w:tcMar>
              <w:top w:w="80" w:type="dxa"/>
              <w:start w:w="120" w:type="dxa"/>
              <w:bottom w:w="80" w:type="dxa"/>
              <w:end w:w="120" w:type="dxa"/>
            </w:tcMar>
          </w:tcPr>
          <w:p>
            <w:pPr>
              <w:spacing w:after="0"/>
              <w:jc w:val="left"/>
            </w:pPr>
            <w:r>
              <w:rPr>
                <w:rFonts w:ascii="Calibri" w:hAnsi="Calibri"/>
                <w:color w:val="202124"/>
                <w:sz w:val="18"/>
              </w:rPr>
              <w:t>Monitoring</w:t>
            </w:r>
          </w:p>
        </w:tc>
        <w:tc>
          <w:tcPr>
            <w:tcW w:type="dxa" w:w="6460"/>
            <w:shd w:fill="F2F4F7"/>
            <w:vAlign w:val="center"/>
            <w:tcMar>
              <w:top w:w="80" w:type="dxa"/>
              <w:start w:w="120" w:type="dxa"/>
              <w:bottom w:w="80" w:type="dxa"/>
              <w:end w:w="120" w:type="dxa"/>
            </w:tcMar>
          </w:tcPr>
          <w:p>
            <w:pPr>
              <w:spacing w:after="0"/>
              <w:jc w:val="left"/>
            </w:pPr>
            <w:r>
              <w:rPr>
                <w:rFonts w:ascii="Calibri" w:hAnsi="Calibri"/>
                <w:color w:val="202124"/>
                <w:sz w:val="18"/>
              </w:rPr>
              <w:t>Track clipping, missingness, drift, NDCG, recipient RMSE, and winner rank</w:t>
            </w:r>
          </w:p>
        </w:tc>
      </w:tr>
      <w:tr>
        <w:tc>
          <w:tcPr>
            <w:tcW w:type="dxa" w:w="2900"/>
            <w:vAlign w:val="center"/>
            <w:tcMar>
              <w:top w:w="80" w:type="dxa"/>
              <w:start w:w="120" w:type="dxa"/>
              <w:bottom w:w="80" w:type="dxa"/>
              <w:end w:w="120" w:type="dxa"/>
            </w:tcMar>
          </w:tcPr>
          <w:p>
            <w:pPr>
              <w:spacing w:after="0"/>
              <w:jc w:val="left"/>
            </w:pPr>
            <w:r>
              <w:rPr>
                <w:rFonts w:ascii="Calibri" w:hAnsi="Calibri"/>
                <w:color w:val="202124"/>
                <w:sz w:val="18"/>
              </w:rPr>
              <w:t>Retraining</w:t>
            </w:r>
          </w:p>
        </w:tc>
        <w:tc>
          <w:tcPr>
            <w:tcW w:type="dxa" w:w="6460"/>
            <w:vAlign w:val="center"/>
            <w:tcMar>
              <w:top w:w="80" w:type="dxa"/>
              <w:start w:w="120" w:type="dxa"/>
              <w:bottom w:w="80" w:type="dxa"/>
              <w:end w:w="120" w:type="dxa"/>
            </w:tcMar>
          </w:tcPr>
          <w:p>
            <w:pPr>
              <w:spacing w:after="0"/>
              <w:jc w:val="left"/>
            </w:pPr>
            <w:r>
              <w:rPr>
                <w:rFonts w:ascii="Calibri" w:hAnsi="Calibri"/>
                <w:color w:val="202124"/>
                <w:sz w:val="18"/>
              </w:rPr>
              <w:t>Review only after sustained degradation or compatible new seasons</w:t>
            </w:r>
          </w:p>
        </w:tc>
      </w:tr>
    </w:tbl>
    <w:p>
      <w:pPr>
        <w:spacing w:after="20"/>
      </w:pPr>
    </w:p>
    <w:p>
      <w:pPr>
        <w:pStyle w:val="Heading1"/>
      </w:pPr>
      <w:r>
        <w:t>11. Limitations</w:t>
      </w:r>
    </w:p>
    <w:p>
      <w:pPr>
        <w:pStyle w:val="ListBullet"/>
        <w:spacing w:after="80" w:line="288" w:lineRule="auto"/>
        <w:ind w:left="720" w:hanging="360"/>
      </w:pPr>
      <w:r>
        <w:rPr>
          <w:rFonts w:ascii="Calibri" w:hAnsi="Calibri"/>
          <w:color w:val="202124"/>
        </w:rPr>
        <w:t>The locked test contains four seasons and only two distinct winners.</w:t>
      </w:r>
    </w:p>
    <w:p>
      <w:pPr>
        <w:pStyle w:val="ListBullet"/>
        <w:spacing w:after="80" w:line="288" w:lineRule="auto"/>
        <w:ind w:left="720" w:hanging="360"/>
      </w:pPr>
      <w:r>
        <w:rPr>
          <w:rFonts w:ascii="Calibri" w:hAnsi="Calibri"/>
          <w:color w:val="202124"/>
        </w:rPr>
        <w:t>A larger untouched modern test window would have produced stronger external evidence.</w:t>
      </w:r>
    </w:p>
    <w:p>
      <w:pPr>
        <w:pStyle w:val="ListBullet"/>
        <w:spacing w:after="80" w:line="288" w:lineRule="auto"/>
        <w:ind w:left="720" w:hanging="360"/>
      </w:pPr>
      <w:r>
        <w:rPr>
          <w:rFonts w:ascii="Calibri" w:hAnsi="Calibri"/>
          <w:color w:val="202124"/>
        </w:rPr>
        <w:t>The target reflects human voting and therefore includes narratives not represented in the table.</w:t>
      </w:r>
    </w:p>
    <w:p>
      <w:pPr>
        <w:pStyle w:val="ListBullet"/>
        <w:spacing w:after="80" w:line="288" w:lineRule="auto"/>
        <w:ind w:left="720" w:hanging="360"/>
      </w:pPr>
      <w:r>
        <w:rPr>
          <w:rFonts w:ascii="Calibri" w:hAnsi="Calibri"/>
          <w:color w:val="202124"/>
        </w:rPr>
        <w:t>The final model is predictive, not causal; it cannot determine who objectively deserves the award.</w:t>
      </w:r>
    </w:p>
    <w:p>
      <w:pPr>
        <w:pStyle w:val="ListBullet"/>
        <w:spacing w:after="80" w:line="288" w:lineRule="auto"/>
        <w:ind w:left="720" w:hanging="360"/>
      </w:pPr>
      <w:r>
        <w:rPr>
          <w:rFonts w:ascii="Calibri" w:hAnsi="Calibri"/>
          <w:color w:val="202124"/>
        </w:rPr>
        <w:t>Modern award-eligibility rules differ from much of the historical period.</w:t>
      </w:r>
    </w:p>
    <w:p>
      <w:pPr>
        <w:pStyle w:val="ListBullet"/>
        <w:spacing w:after="80" w:line="288" w:lineRule="auto"/>
        <w:ind w:left="720" w:hanging="360"/>
      </w:pPr>
      <w:r>
        <w:rPr>
          <w:rFonts w:ascii="Calibri" w:hAnsi="Calibri"/>
          <w:color w:val="202124"/>
        </w:rPr>
        <w:t>No post-2022 dataset was accepted because exact schema compatibility was not verified.</w:t>
      </w:r>
    </w:p>
    <w:p>
      <w:r>
        <w:rPr>
          <w:rFonts w:ascii="Calibri" w:hAnsi="Calibri"/>
          <w:color w:val="202124"/>
        </w:rPr>
        <w:t>A future extension remains appropriate if a candidate source reproduces an overlapping season and preserves the required advanced-statistic definitions. The present conclusions do not depend on such an extension.</w:t>
      </w:r>
    </w:p>
    <w:p>
      <w:pPr>
        <w:pStyle w:val="Heading1"/>
      </w:pPr>
      <w:r>
        <w:t>12. Conclusion</w:t>
      </w:r>
    </w:p>
    <w:p>
      <w:r>
        <w:rPr>
          <w:rFonts w:ascii="Calibri" w:hAnsi="Calibri"/>
          <w:color w:val="202124"/>
        </w:rPr>
        <w:t>Regular-season statistics and team performance can predict MVP vote share with useful accuracy and rank the principal candidates effectively. Histogram GB provided the strongest balance of numerical accuracy and winner identification, while the Extra Trees hurdle model supplied superior top-five ranking and season-total calibration. The combined workflow is most appropriate as transparent decision support, with model disagreement and calibration limitations shown rather than concealed.</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pPr>
              <w:spacing w:after="40"/>
            </w:pPr>
            <w:r>
              <w:rPr>
                <w:rFonts w:ascii="Calibri" w:hAnsi="Calibri"/>
                <w:b/>
                <w:color w:val="2E74B5"/>
              </w:rPr>
              <w:t xml:space="preserve">Final answer: </w:t>
            </w:r>
            <w:r>
              <w:rPr>
                <w:rFonts w:ascii="Calibri" w:hAnsi="Calibri"/>
                <w:color w:val="202124"/>
              </w:rPr>
              <w:t>The evidence supports the project hypothesis, but not the stronger claim that MVP voting is completely determined by the available statistics.</w:t>
            </w:r>
          </w:p>
        </w:tc>
      </w:tr>
    </w:tbl>
    <w:p>
      <w:pPr>
        <w:spacing w:after="20"/>
      </w:pPr>
    </w:p>
    <w:p>
      <w:r>
        <w:br w:type="page"/>
      </w:r>
    </w:p>
    <w:p>
      <w:pPr>
        <w:pStyle w:val="Heading1"/>
      </w:pPr>
      <w:r>
        <w:t>Appendix A. Locked official model</w:t>
      </w:r>
    </w:p>
    <w:tbl>
      <w:tblPr>
        <w:tblStyle w:val="TableGrid"/>
        <w:tblW w:type="dxa" w:w="9360"/>
        <w:tblLayout w:type="fixed"/>
        <w:tblLook w:firstColumn="1" w:firstRow="1" w:lastColumn="0" w:lastRow="0" w:noHBand="0" w:noVBand="1" w:val="04A0"/>
        <w:jc w:val="left"/>
        <w:tblInd w:w="120" w:type="dxa"/>
      </w:tblPr>
      <w:tblGrid>
        <w:gridCol w:w="3800"/>
        <w:gridCol w:w="5560"/>
      </w:tblGrid>
      <w:tr>
        <w:trPr>
          <w:tblHeader w:val="true"/>
        </w:trPr>
        <w:tc>
          <w:tcPr>
            <w:tcW w:type="dxa" w:w="3800"/>
            <w:vAlign w:val="center"/>
            <w:tcMar>
              <w:top w:w="80" w:type="dxa"/>
              <w:start w:w="120" w:type="dxa"/>
              <w:bottom w:w="80" w:type="dxa"/>
              <w:end w:w="120" w:type="dxa"/>
            </w:tcMar>
            <w:shd w:fill="17324D"/>
          </w:tcPr>
          <w:p>
            <w:pPr>
              <w:spacing w:after="0"/>
              <w:jc w:val="center"/>
            </w:pPr>
            <w:r>
              <w:rPr>
                <w:rFonts w:ascii="Calibri" w:hAnsi="Calibri"/>
                <w:b/>
                <w:color w:val="FFFFFF"/>
                <w:sz w:val="18"/>
              </w:rPr>
              <w:t>Component</w:t>
            </w:r>
          </w:p>
        </w:tc>
        <w:tc>
          <w:tcPr>
            <w:tcW w:type="dxa" w:w="5560"/>
            <w:vAlign w:val="center"/>
            <w:tcMar>
              <w:top w:w="80" w:type="dxa"/>
              <w:start w:w="120" w:type="dxa"/>
              <w:bottom w:w="80" w:type="dxa"/>
              <w:end w:w="120" w:type="dxa"/>
            </w:tcMar>
            <w:shd w:fill="17324D"/>
          </w:tcPr>
          <w:p>
            <w:pPr>
              <w:spacing w:after="0"/>
              <w:jc w:val="center"/>
            </w:pPr>
            <w:r>
              <w:rPr>
                <w:rFonts w:ascii="Calibri" w:hAnsi="Calibri"/>
                <w:b/>
                <w:color w:val="FFFFFF"/>
                <w:sz w:val="18"/>
              </w:rPr>
              <w:t>Locked specification</w:t>
            </w:r>
          </w:p>
        </w:tc>
      </w:tr>
      <w:tr>
        <w:tc>
          <w:tcPr>
            <w:tcW w:type="dxa" w:w="3800"/>
            <w:vAlign w:val="center"/>
            <w:tcMar>
              <w:top w:w="80" w:type="dxa"/>
              <w:start w:w="120" w:type="dxa"/>
              <w:bottom w:w="80" w:type="dxa"/>
              <w:end w:w="120" w:type="dxa"/>
            </w:tcMar>
          </w:tcPr>
          <w:p>
            <w:pPr>
              <w:spacing w:after="0"/>
              <w:jc w:val="left"/>
            </w:pPr>
            <w:r>
              <w:rPr>
                <w:rFonts w:ascii="Calibri" w:hAnsi="Calibri"/>
                <w:color w:val="202124"/>
                <w:sz w:val="18"/>
              </w:rPr>
              <w:t>Estimator</w:t>
            </w:r>
          </w:p>
        </w:tc>
        <w:tc>
          <w:tcPr>
            <w:tcW w:type="dxa" w:w="5560"/>
            <w:vAlign w:val="center"/>
            <w:tcMar>
              <w:top w:w="80" w:type="dxa"/>
              <w:start w:w="120" w:type="dxa"/>
              <w:bottom w:w="80" w:type="dxa"/>
              <w:end w:w="120" w:type="dxa"/>
            </w:tcMar>
          </w:tcPr>
          <w:p>
            <w:pPr>
              <w:spacing w:after="0"/>
              <w:jc w:val="left"/>
            </w:pPr>
            <w:r>
              <w:rPr>
                <w:rFonts w:ascii="Calibri" w:hAnsi="Calibri"/>
                <w:color w:val="202124"/>
                <w:sz w:val="18"/>
              </w:rPr>
              <w:t>HistGradientBoostingRegressor</w:t>
            </w:r>
          </w:p>
        </w:tc>
      </w:tr>
      <w:tr>
        <w:tc>
          <w:tcPr>
            <w:tcW w:type="dxa" w:w="3800"/>
            <w:shd w:fill="F2F4F7"/>
            <w:vAlign w:val="center"/>
            <w:tcMar>
              <w:top w:w="80" w:type="dxa"/>
              <w:start w:w="120" w:type="dxa"/>
              <w:bottom w:w="80" w:type="dxa"/>
              <w:end w:w="120" w:type="dxa"/>
            </w:tcMar>
          </w:tcPr>
          <w:p>
            <w:pPr>
              <w:spacing w:after="0"/>
              <w:jc w:val="left"/>
            </w:pPr>
            <w:r>
              <w:rPr>
                <w:rFonts w:ascii="Calibri" w:hAnsi="Calibri"/>
                <w:color w:val="202124"/>
                <w:sz w:val="18"/>
              </w:rPr>
              <w:t>Learning rate</w:t>
            </w:r>
          </w:p>
        </w:tc>
        <w:tc>
          <w:tcPr>
            <w:tcW w:type="dxa" w:w="5560"/>
            <w:shd w:fill="F2F4F7"/>
            <w:vAlign w:val="center"/>
            <w:tcMar>
              <w:top w:w="80" w:type="dxa"/>
              <w:start w:w="120" w:type="dxa"/>
              <w:bottom w:w="80" w:type="dxa"/>
              <w:end w:w="120" w:type="dxa"/>
            </w:tcMar>
          </w:tcPr>
          <w:p>
            <w:pPr>
              <w:spacing w:after="0"/>
              <w:jc w:val="left"/>
            </w:pPr>
            <w:r>
              <w:rPr>
                <w:rFonts w:ascii="Calibri" w:hAnsi="Calibri"/>
                <w:color w:val="202124"/>
                <w:sz w:val="18"/>
              </w:rPr>
              <w:t>0.08</w:t>
            </w:r>
          </w:p>
        </w:tc>
      </w:tr>
      <w:tr>
        <w:tc>
          <w:tcPr>
            <w:tcW w:type="dxa" w:w="3800"/>
            <w:vAlign w:val="center"/>
            <w:tcMar>
              <w:top w:w="80" w:type="dxa"/>
              <w:start w:w="120" w:type="dxa"/>
              <w:bottom w:w="80" w:type="dxa"/>
              <w:end w:w="120" w:type="dxa"/>
            </w:tcMar>
          </w:tcPr>
          <w:p>
            <w:pPr>
              <w:spacing w:after="0"/>
              <w:jc w:val="left"/>
            </w:pPr>
            <w:r>
              <w:rPr>
                <w:rFonts w:ascii="Calibri" w:hAnsi="Calibri"/>
                <w:color w:val="202124"/>
                <w:sz w:val="18"/>
              </w:rPr>
              <w:t>Maximum leaf nodes</w:t>
            </w:r>
          </w:p>
        </w:tc>
        <w:tc>
          <w:tcPr>
            <w:tcW w:type="dxa" w:w="5560"/>
            <w:vAlign w:val="center"/>
            <w:tcMar>
              <w:top w:w="80" w:type="dxa"/>
              <w:start w:w="120" w:type="dxa"/>
              <w:bottom w:w="80" w:type="dxa"/>
              <w:end w:w="120" w:type="dxa"/>
            </w:tcMar>
          </w:tcPr>
          <w:p>
            <w:pPr>
              <w:spacing w:after="0"/>
              <w:jc w:val="left"/>
            </w:pPr>
            <w:r>
              <w:rPr>
                <w:rFonts w:ascii="Calibri" w:hAnsi="Calibri"/>
                <w:color w:val="202124"/>
                <w:sz w:val="18"/>
              </w:rPr>
              <w:t>31</w:t>
            </w:r>
          </w:p>
        </w:tc>
      </w:tr>
      <w:tr>
        <w:tc>
          <w:tcPr>
            <w:tcW w:type="dxa" w:w="3800"/>
            <w:shd w:fill="F2F4F7"/>
            <w:vAlign w:val="center"/>
            <w:tcMar>
              <w:top w:w="80" w:type="dxa"/>
              <w:start w:w="120" w:type="dxa"/>
              <w:bottom w:w="80" w:type="dxa"/>
              <w:end w:w="120" w:type="dxa"/>
            </w:tcMar>
          </w:tcPr>
          <w:p>
            <w:pPr>
              <w:spacing w:after="0"/>
              <w:jc w:val="left"/>
            </w:pPr>
            <w:r>
              <w:rPr>
                <w:rFonts w:ascii="Calibri" w:hAnsi="Calibri"/>
                <w:color w:val="202124"/>
                <w:sz w:val="18"/>
              </w:rPr>
              <w:t>L2 regularization</w:t>
            </w:r>
          </w:p>
        </w:tc>
        <w:tc>
          <w:tcPr>
            <w:tcW w:type="dxa" w:w="5560"/>
            <w:shd w:fill="F2F4F7"/>
            <w:vAlign w:val="center"/>
            <w:tcMar>
              <w:top w:w="80" w:type="dxa"/>
              <w:start w:w="120" w:type="dxa"/>
              <w:bottom w:w="80" w:type="dxa"/>
              <w:end w:w="120" w:type="dxa"/>
            </w:tcMar>
          </w:tcPr>
          <w:p>
            <w:pPr>
              <w:spacing w:after="0"/>
              <w:jc w:val="left"/>
            </w:pPr>
            <w:r>
              <w:rPr>
                <w:rFonts w:ascii="Calibri" w:hAnsi="Calibri"/>
                <w:color w:val="202124"/>
                <w:sz w:val="18"/>
              </w:rPr>
              <w:t>1.0</w:t>
            </w:r>
          </w:p>
        </w:tc>
      </w:tr>
      <w:tr>
        <w:tc>
          <w:tcPr>
            <w:tcW w:type="dxa" w:w="3800"/>
            <w:vAlign w:val="center"/>
            <w:tcMar>
              <w:top w:w="80" w:type="dxa"/>
              <w:start w:w="120" w:type="dxa"/>
              <w:bottom w:w="80" w:type="dxa"/>
              <w:end w:w="120" w:type="dxa"/>
            </w:tcMar>
          </w:tcPr>
          <w:p>
            <w:pPr>
              <w:spacing w:after="0"/>
              <w:jc w:val="left"/>
            </w:pPr>
            <w:r>
              <w:rPr>
                <w:rFonts w:ascii="Calibri" w:hAnsi="Calibri"/>
                <w:color w:val="202124"/>
                <w:sz w:val="18"/>
              </w:rPr>
              <w:t>Iterations</w:t>
            </w:r>
          </w:p>
        </w:tc>
        <w:tc>
          <w:tcPr>
            <w:tcW w:type="dxa" w:w="5560"/>
            <w:vAlign w:val="center"/>
            <w:tcMar>
              <w:top w:w="80" w:type="dxa"/>
              <w:start w:w="120" w:type="dxa"/>
              <w:bottom w:w="80" w:type="dxa"/>
              <w:end w:w="120" w:type="dxa"/>
            </w:tcMar>
          </w:tcPr>
          <w:p>
            <w:pPr>
              <w:spacing w:after="0"/>
              <w:jc w:val="left"/>
            </w:pPr>
            <w:r>
              <w:rPr>
                <w:rFonts w:ascii="Calibri" w:hAnsi="Calibri"/>
                <w:color w:val="202124"/>
                <w:sz w:val="18"/>
              </w:rPr>
              <w:t>200</w:t>
            </w:r>
          </w:p>
        </w:tc>
      </w:tr>
      <w:tr>
        <w:tc>
          <w:tcPr>
            <w:tcW w:type="dxa" w:w="3800"/>
            <w:shd w:fill="F2F4F7"/>
            <w:vAlign w:val="center"/>
            <w:tcMar>
              <w:top w:w="80" w:type="dxa"/>
              <w:start w:w="120" w:type="dxa"/>
              <w:bottom w:w="80" w:type="dxa"/>
              <w:end w:w="120" w:type="dxa"/>
            </w:tcMar>
          </w:tcPr>
          <w:p>
            <w:pPr>
              <w:spacing w:after="0"/>
              <w:jc w:val="left"/>
            </w:pPr>
            <w:r>
              <w:rPr>
                <w:rFonts w:ascii="Calibri" w:hAnsi="Calibri"/>
                <w:color w:val="202124"/>
                <w:sz w:val="18"/>
              </w:rPr>
              <w:t>Min. samples per leaf</w:t>
            </w:r>
          </w:p>
        </w:tc>
        <w:tc>
          <w:tcPr>
            <w:tcW w:type="dxa" w:w="5560"/>
            <w:shd w:fill="F2F4F7"/>
            <w:vAlign w:val="center"/>
            <w:tcMar>
              <w:top w:w="80" w:type="dxa"/>
              <w:start w:w="120" w:type="dxa"/>
              <w:bottom w:w="80" w:type="dxa"/>
              <w:end w:w="120" w:type="dxa"/>
            </w:tcMar>
          </w:tcPr>
          <w:p>
            <w:pPr>
              <w:spacing w:after="0"/>
              <w:jc w:val="left"/>
            </w:pPr>
            <w:r>
              <w:rPr>
                <w:rFonts w:ascii="Calibri" w:hAnsi="Calibri"/>
                <w:color w:val="202124"/>
                <w:sz w:val="18"/>
              </w:rPr>
              <w:t>20</w:t>
            </w:r>
          </w:p>
        </w:tc>
      </w:tr>
      <w:tr>
        <w:tc>
          <w:tcPr>
            <w:tcW w:type="dxa" w:w="3800"/>
            <w:vAlign w:val="center"/>
            <w:tcMar>
              <w:top w:w="80" w:type="dxa"/>
              <w:start w:w="120" w:type="dxa"/>
              <w:bottom w:w="80" w:type="dxa"/>
              <w:end w:w="120" w:type="dxa"/>
            </w:tcMar>
          </w:tcPr>
          <w:p>
            <w:pPr>
              <w:spacing w:after="0"/>
              <w:jc w:val="left"/>
            </w:pPr>
            <w:r>
              <w:rPr>
                <w:rFonts w:ascii="Calibri" w:hAnsi="Calibri"/>
                <w:color w:val="202124"/>
                <w:sz w:val="18"/>
              </w:rPr>
              <w:t>Training weights</w:t>
            </w:r>
          </w:p>
        </w:tc>
        <w:tc>
          <w:tcPr>
            <w:tcW w:type="dxa" w:w="5560"/>
            <w:vAlign w:val="center"/>
            <w:tcMar>
              <w:top w:w="80" w:type="dxa"/>
              <w:start w:w="120" w:type="dxa"/>
              <w:bottom w:w="80" w:type="dxa"/>
              <w:end w:w="120" w:type="dxa"/>
            </w:tcMar>
          </w:tcPr>
          <w:p>
            <w:pPr>
              <w:spacing w:after="0"/>
              <w:jc w:val="left"/>
            </w:pPr>
            <w:r>
              <w:rPr>
                <w:rFonts w:ascii="Calibri" w:hAnsi="Calibri"/>
                <w:color w:val="202124"/>
                <w:sz w:val="18"/>
              </w:rPr>
              <w:t>1 + 5 × award_share</w:t>
            </w:r>
          </w:p>
        </w:tc>
      </w:tr>
      <w:tr>
        <w:tc>
          <w:tcPr>
            <w:tcW w:type="dxa" w:w="3800"/>
            <w:shd w:fill="F2F4F7"/>
            <w:vAlign w:val="center"/>
            <w:tcMar>
              <w:top w:w="80" w:type="dxa"/>
              <w:start w:w="120" w:type="dxa"/>
              <w:bottom w:w="80" w:type="dxa"/>
              <w:end w:w="120" w:type="dxa"/>
            </w:tcMar>
          </w:tcPr>
          <w:p>
            <w:pPr>
              <w:spacing w:after="0"/>
              <w:jc w:val="left"/>
            </w:pPr>
            <w:r>
              <w:rPr>
                <w:rFonts w:ascii="Calibri" w:hAnsi="Calibri"/>
                <w:color w:val="202124"/>
                <w:sz w:val="18"/>
              </w:rPr>
              <w:t>Final bounds</w:t>
            </w:r>
          </w:p>
        </w:tc>
        <w:tc>
          <w:tcPr>
            <w:tcW w:type="dxa" w:w="5560"/>
            <w:shd w:fill="F2F4F7"/>
            <w:vAlign w:val="center"/>
            <w:tcMar>
              <w:top w:w="80" w:type="dxa"/>
              <w:start w:w="120" w:type="dxa"/>
              <w:bottom w:w="80" w:type="dxa"/>
              <w:end w:w="120" w:type="dxa"/>
            </w:tcMar>
          </w:tcPr>
          <w:p>
            <w:pPr>
              <w:spacing w:after="0"/>
              <w:jc w:val="left"/>
            </w:pPr>
            <w:r>
              <w:rPr>
                <w:rFonts w:ascii="Calibri" w:hAnsi="Calibri"/>
                <w:color w:val="202124"/>
                <w:sz w:val="18"/>
              </w:rPr>
              <w:t>Clip predictions to [0,1]</w:t>
            </w:r>
          </w:p>
        </w:tc>
      </w:tr>
      <w:tr>
        <w:tc>
          <w:tcPr>
            <w:tcW w:type="dxa" w:w="3800"/>
            <w:vAlign w:val="center"/>
            <w:tcMar>
              <w:top w:w="80" w:type="dxa"/>
              <w:start w:w="120" w:type="dxa"/>
              <w:bottom w:w="80" w:type="dxa"/>
              <w:end w:w="120" w:type="dxa"/>
            </w:tcMar>
          </w:tcPr>
          <w:p>
            <w:pPr>
              <w:spacing w:after="0"/>
              <w:jc w:val="left"/>
            </w:pPr>
            <w:r>
              <w:rPr>
                <w:rFonts w:ascii="Calibri" w:hAnsi="Calibri"/>
                <w:color w:val="202124"/>
                <w:sz w:val="18"/>
              </w:rPr>
              <w:t>Random state</w:t>
            </w:r>
          </w:p>
        </w:tc>
        <w:tc>
          <w:tcPr>
            <w:tcW w:type="dxa" w:w="5560"/>
            <w:vAlign w:val="center"/>
            <w:tcMar>
              <w:top w:w="80" w:type="dxa"/>
              <w:start w:w="120" w:type="dxa"/>
              <w:bottom w:w="80" w:type="dxa"/>
              <w:end w:w="120" w:type="dxa"/>
            </w:tcMar>
          </w:tcPr>
          <w:p>
            <w:pPr>
              <w:spacing w:after="0"/>
              <w:jc w:val="left"/>
            </w:pPr>
            <w:r>
              <w:rPr>
                <w:rFonts w:ascii="Calibri" w:hAnsi="Calibri"/>
                <w:color w:val="202124"/>
                <w:sz w:val="18"/>
              </w:rPr>
              <w:t>42</w:t>
            </w:r>
          </w:p>
        </w:tc>
      </w:tr>
    </w:tbl>
    <w:p>
      <w:pPr>
        <w:spacing w:after="20"/>
      </w:pPr>
    </w:p>
    <w:p>
      <w:pPr>
        <w:pStyle w:val="Heading1"/>
      </w:pPr>
      <w:r>
        <w:t>Appendix B. Reproducibility assets</w:t>
      </w:r>
    </w:p>
    <w:p>
      <w:pPr>
        <w:pStyle w:val="ListBullet"/>
        <w:spacing w:after="80" w:line="288" w:lineRule="auto"/>
        <w:ind w:left="720" w:hanging="360"/>
      </w:pPr>
      <w:r>
        <w:rPr>
          <w:rFonts w:ascii="Calibri" w:hAnsi="Calibri"/>
          <w:color w:val="202124"/>
        </w:rPr>
        <w:t>final_locked_test_evaluation.py — complete locked evaluation and figures</w:t>
      </w:r>
    </w:p>
    <w:p>
      <w:pPr>
        <w:pStyle w:val="ListBullet"/>
        <w:spacing w:after="80" w:line="288" w:lineRule="auto"/>
        <w:ind w:left="720" w:hanging="360"/>
      </w:pPr>
      <w:r>
        <w:rPr>
          <w:rFonts w:ascii="Calibri" w:hAnsi="Calibri"/>
          <w:color w:val="202124"/>
        </w:rPr>
        <w:t>future_data_schema_audit.py — compatibility gate for prospective datasets</w:t>
      </w:r>
    </w:p>
    <w:p>
      <w:pPr>
        <w:pStyle w:val="ListBullet"/>
        <w:spacing w:after="80" w:line="288" w:lineRule="auto"/>
        <w:ind w:left="720" w:hanging="360"/>
      </w:pPr>
      <w:r>
        <w:rPr>
          <w:rFonts w:ascii="Calibri" w:hAnsi="Calibri"/>
          <w:color w:val="202124"/>
        </w:rPr>
        <w:t>NBA_MVP_PROJECT_HANDOFF.md — reproduction and extension protocol</w:t>
      </w:r>
    </w:p>
    <w:p>
      <w:pPr>
        <w:pStyle w:val="ListBullet"/>
        <w:spacing w:after="80" w:line="288" w:lineRule="auto"/>
        <w:ind w:left="720" w:hanging="360"/>
      </w:pPr>
      <w:r>
        <w:rPr>
          <w:rFonts w:ascii="Calibri" w:hAnsi="Calibri"/>
          <w:color w:val="202124"/>
        </w:rPr>
        <w:t>chunk1_outputs through chunk19_outputs — verified analytical figures</w:t>
      </w:r>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874"/>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874"/>
        <w:sz w:val="17"/>
      </w:rPr>
      <w:t>NBA MVP VOTE-SHARE MODEL  |  CRISP-DM FINAL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F68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NBA MVP Vote Share</dc:title>
  <dc:subject>CRISP-DM regression and season-level ranking analysis</dc:subject>
  <dc:creator/>
  <cp:keywords>NBA, MVP, CRISP-DM, regression, ranking, data science</cp:keywords>
  <dc:description>generated by python-docx</dc:description>
  <cp:lastModifiedBy/>
  <cp:revision>1</cp:revision>
  <dcterms:created xsi:type="dcterms:W3CDTF">2013-12-23T23:15:00Z</dcterms:created>
  <dcterms:modified xsi:type="dcterms:W3CDTF">2013-12-23T23:15:00Z</dcterms:modified>
  <cp:category/>
</cp:coreProperties>
</file>