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60CE7E9D" w14:textId="42FE7F87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30503B61" w14:textId="47B581FC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1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2BB2F48B" w14:textId="77777777" w:rsidR="0023049D" w:rsidRPr="00C50791" w:rsidRDefault="0023049D" w:rsidP="0023049D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0B5C3950" w14:textId="77777777" w:rsidR="0023049D" w:rsidRDefault="0023049D" w:rsidP="0023049D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23049D" w:rsidSect="00D13758">
          <w:headerReference w:type="default" r:id="rId12"/>
          <w:headerReference w:type="first" r:id="rId13"/>
          <w:type w:val="continuous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6EB98A18" w14:textId="131CBBB4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28698E5D" w14:textId="13C5098E" w:rsidR="003F694A" w:rsidRDefault="003F694A" w:rsidP="003F694A">
      <w:pPr>
        <w:pStyle w:val="BodyTextIndent"/>
        <w:rPr>
          <w:i/>
          <w:iCs/>
        </w:rPr>
      </w:pPr>
      <w:r>
        <w:rPr>
          <w:b/>
          <w:bCs/>
        </w:rPr>
        <w:t xml:space="preserve">Osborne, M.R.*, </w:t>
      </w:r>
      <w:r>
        <w:t xml:space="preserve">Bailey, E.R.* (Revise and </w:t>
      </w:r>
      <w:r w:rsidR="00331E8F">
        <w:t>r</w:t>
      </w:r>
      <w:r>
        <w:t xml:space="preserve">esubmit). </w:t>
      </w:r>
      <w:r w:rsidRPr="00EB4E3D">
        <w:t>Me vs. the Machine? Subjective evaluations of self- and AI-generated advice</w:t>
      </w:r>
      <w:r>
        <w:t xml:space="preserve">. </w:t>
      </w:r>
      <w:r>
        <w:rPr>
          <w:i/>
          <w:iCs/>
        </w:rPr>
        <w:t>Scientific Reports.</w:t>
      </w:r>
    </w:p>
    <w:p w14:paraId="78A3365D" w14:textId="77777777" w:rsidR="003F694A" w:rsidRDefault="003F694A" w:rsidP="00B0665D">
      <w:pPr>
        <w:pStyle w:val="BodyTextIndent"/>
        <w:rPr>
          <w:b/>
          <w:bCs/>
        </w:rPr>
      </w:pPr>
    </w:p>
    <w:p w14:paraId="15928C44" w14:textId="7461E345" w:rsidR="00B0665D" w:rsidRDefault="00B0665D" w:rsidP="00B0665D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="00A46812">
        <w:rPr>
          <w:i/>
          <w:iCs/>
        </w:rPr>
        <w:t>Personality and Social Psychology Bulletin</w:t>
      </w:r>
      <w:r>
        <w:t xml:space="preserve">. Preprint available here: </w:t>
      </w:r>
      <w:hyperlink r:id="rId14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66C9F840" w14:textId="77777777" w:rsidR="00AA4893" w:rsidRDefault="00AA4893" w:rsidP="003F694A">
      <w:pPr>
        <w:pStyle w:val="BodyTextIndent"/>
        <w:ind w:left="0" w:firstLine="0"/>
      </w:pPr>
    </w:p>
    <w:p w14:paraId="1F5F708C" w14:textId="69EE1CDF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FC39EC1" w14:textId="1C92A201" w:rsidR="00AA4893" w:rsidRDefault="00717F49" w:rsidP="00717F49">
      <w:pPr>
        <w:pStyle w:val="ListParagraph"/>
        <w:numPr>
          <w:ilvl w:val="0"/>
          <w:numId w:val="19"/>
        </w:numP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3B13D066" w14:textId="00F4C658" w:rsidR="001D6F40" w:rsidRDefault="001D6F40" w:rsidP="00C14912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 &amp; </w:t>
      </w:r>
      <w:r>
        <w:t>Dehghani</w:t>
      </w:r>
      <w:r w:rsidRPr="004767C5">
        <w:t xml:space="preserve">, M.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</w:t>
      </w:r>
      <w:r w:rsidR="00331E8F">
        <w:t xml:space="preserve"> (Initial submission)</w:t>
      </w:r>
      <w:r w:rsidR="00F4217D">
        <w:t>.</w:t>
      </w:r>
      <w:r>
        <w:t xml:space="preserve"> </w:t>
      </w:r>
      <w:r>
        <w:rPr>
          <w:i/>
          <w:iCs/>
        </w:rPr>
        <w:t>Journal of Personality and Social Psychology</w:t>
      </w:r>
      <w:r>
        <w:t xml:space="preserve">. Preprint available here: </w:t>
      </w:r>
      <w:hyperlink r:id="rId15" w:history="1">
        <w:r w:rsidRPr="00C1391B">
          <w:rPr>
            <w:rStyle w:val="Hyperlink"/>
          </w:rPr>
          <w:t>https://osf.io/preprints/psyarxiv/6fd7h</w:t>
        </w:r>
      </w:hyperlink>
      <w:r>
        <w:t xml:space="preserve"> </w:t>
      </w:r>
    </w:p>
    <w:p w14:paraId="25807A91" w14:textId="77777777" w:rsidR="007343BF" w:rsidRDefault="007343BF" w:rsidP="00C14912">
      <w:pPr>
        <w:pStyle w:val="BodyTextIndent"/>
      </w:pPr>
    </w:p>
    <w:p w14:paraId="42F3E86F" w14:textId="636622B9" w:rsidR="007343BF" w:rsidRDefault="007343BF" w:rsidP="007343B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6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58BADC0A" w14:textId="77777777" w:rsidR="001D75CC" w:rsidRDefault="001D75CC" w:rsidP="007343BF">
      <w:pPr>
        <w:pStyle w:val="BodyTextIndent"/>
      </w:pPr>
    </w:p>
    <w:p w14:paraId="302DCF6F" w14:textId="4356DB69" w:rsidR="001D75CC" w:rsidRPr="00B16CA9" w:rsidRDefault="001D75CC" w:rsidP="001D75CC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Pr="00B16CA9">
        <w:t xml:space="preserve">Status Mirages: Examining the </w:t>
      </w:r>
      <w:r w:rsidR="002B5847">
        <w:t>i</w:t>
      </w:r>
      <w:r w:rsidRPr="00B16CA9">
        <w:t xml:space="preserve">mpact of </w:t>
      </w:r>
      <w:r w:rsidR="002B5847">
        <w:t>s</w:t>
      </w:r>
      <w:r w:rsidRPr="00B16CA9">
        <w:t xml:space="preserve">ocial </w:t>
      </w:r>
      <w:r w:rsidR="002B5847">
        <w:t>s</w:t>
      </w:r>
      <w:r w:rsidRPr="00B16CA9">
        <w:t xml:space="preserve">tatus </w:t>
      </w:r>
      <w:r w:rsidR="002B5847">
        <w:t>f</w:t>
      </w:r>
      <w:r w:rsidRPr="00B16CA9">
        <w:t xml:space="preserve">orecasting </w:t>
      </w:r>
      <w:r w:rsidR="002B5847">
        <w:t>e</w:t>
      </w:r>
      <w:r w:rsidRPr="00B16CA9">
        <w:t xml:space="preserve">rrors at </w:t>
      </w:r>
      <w:r w:rsidR="002B5847">
        <w:t>w</w:t>
      </w:r>
      <w:r w:rsidRPr="00B16CA9">
        <w:t>ork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B16CA9">
        <w:rPr>
          <w:i/>
          <w:iCs/>
        </w:rPr>
        <w:t>Organizational</w:t>
      </w:r>
      <w:r>
        <w:rPr>
          <w:i/>
          <w:iCs/>
        </w:rPr>
        <w:t xml:space="preserve"> Behavior and Human Decision Processes.</w:t>
      </w:r>
    </w:p>
    <w:p w14:paraId="2BE5F67C" w14:textId="77777777" w:rsidR="001D75CC" w:rsidRDefault="001D75CC" w:rsidP="007343BF">
      <w:pPr>
        <w:pStyle w:val="BodyTextIndent"/>
      </w:pPr>
    </w:p>
    <w:p w14:paraId="5426710E" w14:textId="21D36E98" w:rsidR="007C61E5" w:rsidRDefault="00F93402" w:rsidP="00AA50B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579E20D7" w14:textId="0EEF580D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Motivated by mutability: Status hierarchy mobility promotes organizational voice. 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7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FFCBFF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38C74948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 xml:space="preserve">(Stage: White </w:t>
      </w:r>
      <w:r w:rsidR="00DA160E">
        <w:t>p</w:t>
      </w:r>
      <w:r w:rsidR="001318B9">
        <w:t>aper).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02D11212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B88EFCE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 (Stage:</w:t>
      </w:r>
      <w:r w:rsidR="002D101F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Idea Generation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)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Georgetown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McDonough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School of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XLab</w:t>
      </w:r>
      <w:proofErr w:type="spellEnd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Beezer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I., Carter, J. T., Crawley, R., Crespo, M., Domingo, M. A., Gutierrez, L. J., Hart, C., Johnson, A., Johnson, S., Massey, M., Norris, K.,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Okumakpeyi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Pr="00086B6C" w:rsidRDefault="00407CD6" w:rsidP="00086B6C">
      <w:pPr>
        <w:pStyle w:val="BodyText3"/>
        <w:ind w:firstLine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7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39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FB9EE5" w14:textId="52A44A06" w:rsidR="002A3198" w:rsidRPr="00AE0A6B" w:rsidRDefault="002A3198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40B58D31" w14:textId="09E94D82" w:rsidR="00497DBF" w:rsidRDefault="00497DBF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lastRenderedPageBreak/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3B8D1" w14:textId="77777777" w:rsidR="003D79E0" w:rsidRDefault="003D79E0" w:rsidP="002A1332">
      <w:pPr>
        <w:spacing w:after="0" w:line="240" w:lineRule="auto"/>
      </w:pPr>
      <w:r>
        <w:separator/>
      </w:r>
    </w:p>
  </w:endnote>
  <w:endnote w:type="continuationSeparator" w:id="0">
    <w:p w14:paraId="5C7EFB25" w14:textId="77777777" w:rsidR="003D79E0" w:rsidRDefault="003D79E0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4E891" w14:textId="77777777" w:rsidR="003D79E0" w:rsidRDefault="003D79E0" w:rsidP="002A1332">
      <w:pPr>
        <w:spacing w:after="0" w:line="240" w:lineRule="auto"/>
      </w:pPr>
      <w:r>
        <w:separator/>
      </w:r>
    </w:p>
  </w:footnote>
  <w:footnote w:type="continuationSeparator" w:id="0">
    <w:p w14:paraId="7C4350BE" w14:textId="77777777" w:rsidR="003D79E0" w:rsidRDefault="003D79E0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61C50929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0F2FFA">
      <w:rPr>
        <w:rFonts w:ascii="Times New Roman" w:hAnsi="Times New Roman" w:cs="Times New Roman"/>
        <w:lang w:val="en-US"/>
      </w:rPr>
      <w:t>October</w:t>
    </w:r>
    <w:r w:rsidR="00086B6C">
      <w:rPr>
        <w:rFonts w:ascii="Times New Roman" w:hAnsi="Times New Roman" w:cs="Times New Roman"/>
        <w:lang w:val="en-US"/>
      </w:rPr>
      <w:t xml:space="preserve">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6B94"/>
    <w:rsid w:val="00186DFF"/>
    <w:rsid w:val="00190081"/>
    <w:rsid w:val="0019412F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64E7"/>
    <w:rsid w:val="001D6F40"/>
    <w:rsid w:val="001D75CC"/>
    <w:rsid w:val="001E06F8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42E31"/>
    <w:rsid w:val="00244718"/>
    <w:rsid w:val="00245A51"/>
    <w:rsid w:val="00247AF2"/>
    <w:rsid w:val="00254E6E"/>
    <w:rsid w:val="00262EA7"/>
    <w:rsid w:val="00263637"/>
    <w:rsid w:val="00263715"/>
    <w:rsid w:val="002665B4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51D1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D1774"/>
    <w:rsid w:val="003D3E55"/>
    <w:rsid w:val="003D64F2"/>
    <w:rsid w:val="003D79E0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C00C7"/>
    <w:rsid w:val="004C00F7"/>
    <w:rsid w:val="004C34D0"/>
    <w:rsid w:val="004C6662"/>
    <w:rsid w:val="004D410F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8358D"/>
    <w:rsid w:val="00584D04"/>
    <w:rsid w:val="0058575F"/>
    <w:rsid w:val="005903A4"/>
    <w:rsid w:val="0059368A"/>
    <w:rsid w:val="00594EB2"/>
    <w:rsid w:val="005A06CC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B06FA"/>
    <w:rsid w:val="008C1C25"/>
    <w:rsid w:val="008C22CF"/>
    <w:rsid w:val="008C5C84"/>
    <w:rsid w:val="008C6E23"/>
    <w:rsid w:val="008D14A7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8640B"/>
    <w:rsid w:val="00B9185F"/>
    <w:rsid w:val="00B9480B"/>
    <w:rsid w:val="00BA2FE0"/>
    <w:rsid w:val="00BA433B"/>
    <w:rsid w:val="00BB1B00"/>
    <w:rsid w:val="00BC0770"/>
    <w:rsid w:val="00BC1908"/>
    <w:rsid w:val="00BD063E"/>
    <w:rsid w:val="00BD1C06"/>
    <w:rsid w:val="00BD4DD9"/>
    <w:rsid w:val="00BE2137"/>
    <w:rsid w:val="00BE2DC5"/>
    <w:rsid w:val="00BE3CC1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815"/>
    <w:rsid w:val="00D072E6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5044"/>
    <w:rsid w:val="00D66106"/>
    <w:rsid w:val="00D745E6"/>
    <w:rsid w:val="00D86286"/>
    <w:rsid w:val="00D86290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4E1F"/>
    <w:rsid w:val="00DE6C3C"/>
    <w:rsid w:val="00DE7C83"/>
    <w:rsid w:val="00DF0541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newsroom.haas.berkeley.edu/research/sins-of-the-machine-fighting-ai-bias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tc5vq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4eqnk/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6fd7h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68zwd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osf.io/preprints/psyarxiv/53cv8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2</cp:revision>
  <cp:lastPrinted>2022-05-10T22:04:00Z</cp:lastPrinted>
  <dcterms:created xsi:type="dcterms:W3CDTF">2024-10-24T16:02:00Z</dcterms:created>
  <dcterms:modified xsi:type="dcterms:W3CDTF">2024-10-24T16:02:00Z</dcterms:modified>
</cp:coreProperties>
</file>