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rFonts w:ascii="黑体" w:eastAsia="黑体" w:hAnsi="黑体"/>
          <w:b/>
          <w:bCs/>
          <w:i w:val="false"/>
          <w:iCs w:val="false"/>
          <w:color w:val="1F4E79"/>
          <w:sz w:val="36"/>
          <w:szCs w:val="36"/>
        </w:rPr>
        <w:t xml:space="preserve">东明石化集团</w:t>
      </w:r>
    </w:p>
    <w:p>
      <w:pPr>
        <w:spacing w:after="560" w:before="120"/>
        <w:jc w:val="center"/>
      </w:pPr>
      <w:r>
        <w:rPr>
          <w:rFonts w:ascii="黑体" w:eastAsia="黑体" w:hAnsi="黑体"/>
          <w:b/>
          <w:bCs/>
          <w:i w:val="false"/>
          <w:iCs w:val="false"/>
          <w:color w:val="1F4E79"/>
          <w:sz w:val="32"/>
          <w:szCs w:val="32"/>
        </w:rPr>
        <w:t xml:space="preserve">非生产区域集中监控联网改造项目</w:t>
      </w:r>
    </w:p>
    <w:p>
      <w:pPr>
        <w:spacing w:after="900" w:before="200"/>
        <w:jc w:val="center"/>
      </w:pPr>
      <w:r>
        <w:rPr>
          <w:rFonts w:ascii="黑体" w:eastAsia="黑体" w:hAnsi="黑体"/>
          <w:b/>
          <w:bCs/>
          <w:i w:val="false"/>
          <w:iCs w:val="false"/>
          <w:color w:val="000000"/>
          <w:sz w:val="52"/>
          <w:szCs w:val="52"/>
        </w:rPr>
        <w:t xml:space="preserve">报  价  文  件</w:t>
      </w:r>
    </w:p>
    <w:p>
      <w:pPr>
        <w:spacing w:after="220"/>
        <w:jc w:val="center"/>
      </w:pPr>
      <w:r>
        <w:rPr>
          <w:rFonts w:ascii="宋体" w:eastAsia="宋体" w:hAnsi="宋体"/>
          <w:b/>
          <w:bCs/>
          <w:i w:val="false"/>
          <w:iCs w:val="false"/>
          <w:color w:val="000000"/>
          <w:sz w:val="24"/>
          <w:szCs w:val="24"/>
        </w:rPr>
        <w:t xml:space="preserve">报价人（盖单位章）：</w:t>
      </w:r>
      <w:r>
        <w:rPr>
          <w:rFonts w:ascii="宋体" w:eastAsia="宋体" w:hAnsi="宋体"/>
          <w:b/>
          <w:bCs/>
          <w:i w:val="false"/>
          <w:iCs w:val="false"/>
          <w:color w:val="1F4E79"/>
          <w:sz w:val="24"/>
          <w:szCs w:val="24"/>
        </w:rPr>
        <w:t xml:space="preserve">深圳鹏网智能股份有限公司</w:t>
      </w:r>
    </w:p>
    <w:p>
      <w:pPr>
        <w:spacing w:after="220"/>
        <w:jc w:val="center"/>
      </w:pPr>
      <w:r>
        <w:rPr>
          <w:rFonts w:ascii="宋体" w:eastAsia="宋体" w:hAnsi="宋体"/>
          <w:b/>
          <w:bCs/>
          <w:i w:val="false"/>
          <w:iCs w:val="false"/>
          <w:color w:val="000000"/>
          <w:sz w:val="24"/>
          <w:szCs w:val="24"/>
        </w:rPr>
        <w:t xml:space="preserve">法定代表人或其委托代理人（签字）：</w:t>
      </w:r>
      <w:r>
        <w:rPr>
          <w:rFonts w:ascii="宋体" w:eastAsia="宋体" w:hAnsi="宋体"/>
          <w:b/>
          <w:bCs/>
          <w:i w:val="false"/>
          <w:iCs w:val="false"/>
          <w:color w:val="1F4E79"/>
          <w:sz w:val="24"/>
          <w:szCs w:val="24"/>
        </w:rPr>
        <w:t xml:space="preserve">冯小青</w:t>
      </w:r>
    </w:p>
    <w:p>
      <w:pPr>
        <w:spacing w:before="400"/>
        <w:jc w:val="center"/>
      </w:pPr>
      <w:r>
        <w:rPr>
          <w:rFonts w:ascii="宋体" w:eastAsia="宋体" w:hAnsi="宋体"/>
          <w:b/>
          <w:bCs/>
          <w:i w:val="false"/>
          <w:iCs w:val="false"/>
          <w:color w:val="000000"/>
          <w:sz w:val="24"/>
          <w:szCs w:val="24"/>
        </w:rPr>
        <w:t xml:space="preserve">2026 年 8 月</w:t>
      </w:r>
    </w:p>
    <w:p>
      <w:r>
        <w:br w:type="page"/>
      </w:r>
    </w:p>
    <w:p>
      <w:pPr>
        <w:spacing w:after="200"/>
        <w:jc w:val="center"/>
      </w:pPr>
      <w:r>
        <w:rPr>
          <w:rFonts w:ascii="黑体" w:eastAsia="黑体" w:hAnsi="黑体"/>
          <w:b/>
          <w:bCs/>
          <w:i w:val="false"/>
          <w:iCs w:val="false"/>
          <w:color w:val="1F4E79"/>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30" w:before="260"/>
      </w:pPr>
      <w:r>
        <w:rPr>
          <w:rFonts w:ascii="黑体" w:eastAsia="黑体" w:hAnsi="黑体"/>
          <w:b/>
          <w:bCs/>
          <w:i w:val="false"/>
          <w:iCs w:val="false"/>
          <w:color w:val="1F4E79"/>
          <w:sz w:val="30"/>
          <w:szCs w:val="30"/>
        </w:rPr>
        <w:t xml:space="preserve">一、报价函及报价函附录</w:t>
      </w:r>
    </w:p>
    <w:p>
      <w:pPr>
        <w:pStyle w:val="Heading2"/>
        <w:keepNext/>
        <w:spacing w:after="90" w:before="170"/>
      </w:pPr>
      <w:r>
        <w:rPr>
          <w:rFonts w:ascii="黑体" w:eastAsia="黑体" w:hAnsi="黑体"/>
          <w:b/>
          <w:bCs/>
          <w:i w:val="false"/>
          <w:iCs w:val="false"/>
          <w:color w:val="2E74B5"/>
          <w:sz w:val="24"/>
          <w:szCs w:val="24"/>
        </w:rPr>
        <w:t xml:space="preserve">（一）报价函</w:t>
      </w:r>
    </w:p>
    <w:p>
      <w:pPr>
        <w:spacing w:after="90" w:before="0" w:line="288" w:lineRule="auto"/>
        <w:ind w:firstLine="0"/>
        <w:jc w:val="left"/>
      </w:pPr>
      <w:r>
        <w:rPr>
          <w:rFonts w:ascii="宋体" w:eastAsia="宋体" w:hAnsi="宋体"/>
          <w:b/>
          <w:bCs/>
          <w:i w:val="false"/>
          <w:iCs w:val="false"/>
          <w:color w:val="000000"/>
          <w:sz w:val="21"/>
          <w:szCs w:val="21"/>
        </w:rPr>
        <w:t xml:space="preserve">山东东明石化集团战略采购中心：</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1. 我方 </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 已仔细研究了非生产区域集中监控联网改造项目询价文件的全部内容，愿意以人民币（大写）</w:t>
      </w:r>
      <w:r>
        <w:rPr>
          <w:rFonts w:ascii="宋体" w:eastAsia="宋体" w:hAnsi="宋体"/>
          <w:b/>
          <w:bCs/>
          <w:i w:val="false"/>
          <w:iCs w:val="false"/>
          <w:color w:val="1F4E79"/>
          <w:sz w:val="21"/>
          <w:szCs w:val="21"/>
        </w:rPr>
        <w:t xml:space="preserve">贰佰叁拾柒万肆仟捌佰零柒元玖角陆分</w:t>
      </w:r>
      <w:r>
        <w:rPr>
          <w:rFonts w:ascii="宋体" w:eastAsia="宋体" w:hAnsi="宋体"/>
          <w:b w:val="false"/>
          <w:bCs w:val="false"/>
          <w:i w:val="false"/>
          <w:iCs w:val="false"/>
          <w:color w:val="000000"/>
          <w:sz w:val="21"/>
          <w:szCs w:val="21"/>
        </w:rPr>
        <w:t xml:space="preserve">（¥</w:t>
      </w:r>
      <w:r>
        <w:rPr>
          <w:rFonts w:ascii="宋体" w:eastAsia="宋体" w:hAnsi="宋体"/>
          <w:b/>
          <w:bCs/>
          <w:i w:val="false"/>
          <w:iCs w:val="false"/>
          <w:color w:val="1F4E79"/>
          <w:sz w:val="21"/>
          <w:szCs w:val="21"/>
        </w:rPr>
        <w:t xml:space="preserve">2,374,807.96</w:t>
      </w:r>
      <w:r>
        <w:rPr>
          <w:rFonts w:ascii="宋体" w:eastAsia="宋体" w:hAnsi="宋体"/>
          <w:b w:val="false"/>
          <w:bCs w:val="false"/>
          <w:i w:val="false"/>
          <w:iCs w:val="false"/>
          <w:color w:val="000000"/>
          <w:sz w:val="21"/>
          <w:szCs w:val="21"/>
        </w:rPr>
        <w:t xml:space="preserve"> 元）的固定总价，按合同约定实施并完成本项目的全部工作，修补工程中的任何缺陷，使工程质量达到国家、地方现行有效的有关验收规范及设计文件要求，质量综合评定达到合格及以上。上述报价为含税总价（税率 9%），已包含人工费、材料费、机械费、管理费、利润、措施费、规费、安装、税金、优惠等与完成本项工作有关的全部费用。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2. 报价文件的其他内容与报价函内容不一致的，以报价函为准。</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3. 我方承诺除《商务和技术偏差表》列出的偏差外，完全响应询价文件的全部要求。</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4. 我方承诺在询价文件规定的报价有效期内不撤销报价文件。</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5. 如我方中选，我方承诺：（1）在收到中选通知书后，在规定期限内与你方签订合同；（2）签订合同时不向你方提出附加条件；（3）在进场前 1 周按中选合同总价的 50% 提交履约保证金（保函）；（4）在发包人通知进场后 10 周内完成合同规定的全部义务。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6. 我方声明，所递交的报价文件及有关资料内容完整、真实和准确，严禁弄虚作假。</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7. 该项报价在开标后的全部过程中保持有效，一次报价，不做任何更改和变动。</w:t>
      </w:r>
    </w:p>
    <w:p>
      <w:pPr>
        <w:spacing w:after="60"/>
      </w:pPr>
      <w:r>
        <w:rPr>
          <w:rFonts w:ascii="宋体" w:eastAsia="宋体" w:hAnsi="宋体"/>
          <w:b w:val="false"/>
          <w:bCs w:val="false"/>
          <w:i w:val="false"/>
          <w:iCs w:val="false"/>
          <w:color w:val="000000"/>
          <w:sz w:val="21"/>
          <w:szCs w:val="21"/>
        </w:rPr>
        <w:t xml:space="preserve"/>
      </w:r>
    </w:p>
    <w:p>
      <w:pPr>
        <w:spacing w:after="90" w:before="0" w:line="288" w:lineRule="auto"/>
        <w:jc w:val="left"/>
      </w:pPr>
      <w:r>
        <w:rPr>
          <w:rFonts w:ascii="宋体" w:eastAsia="宋体" w:hAnsi="宋体"/>
          <w:b w:val="false"/>
          <w:bCs w:val="false"/>
          <w:i w:val="false"/>
          <w:iCs w:val="false"/>
          <w:color w:val="000000"/>
          <w:sz w:val="21"/>
          <w:szCs w:val="21"/>
        </w:rPr>
        <w:t xml:space="preserve">报价人：</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（盖单位章）</w:t>
      </w:r>
    </w:p>
    <w:p>
      <w:pPr>
        <w:spacing w:after="90" w:before="0" w:line="288" w:lineRule="auto"/>
        <w:jc w:val="left"/>
      </w:pPr>
      <w:r>
        <w:rPr>
          <w:rFonts w:ascii="宋体" w:eastAsia="宋体" w:hAnsi="宋体"/>
          <w:b w:val="false"/>
          <w:bCs w:val="false"/>
          <w:i w:val="false"/>
          <w:iCs w:val="false"/>
          <w:color w:val="000000"/>
          <w:sz w:val="21"/>
          <w:szCs w:val="21"/>
        </w:rPr>
        <w:t xml:space="preserve">法定代表人或其委托代理人：</w:t>
      </w:r>
      <w:r>
        <w:rPr>
          <w:rFonts w:ascii="宋体" w:eastAsia="宋体" w:hAnsi="宋体"/>
          <w:b/>
          <w:bCs/>
          <w:i w:val="false"/>
          <w:iCs w:val="false"/>
          <w:color w:val="000000"/>
          <w:sz w:val="21"/>
          <w:szCs w:val="21"/>
        </w:rPr>
        <w:t xml:space="preserve">冯小青</w:t>
      </w:r>
      <w:r>
        <w:rPr>
          <w:rFonts w:ascii="宋体" w:eastAsia="宋体" w:hAnsi="宋体"/>
          <w:b w:val="false"/>
          <w:bCs w:val="false"/>
          <w:i w:val="false"/>
          <w:iCs w:val="false"/>
          <w:color w:val="000000"/>
          <w:sz w:val="21"/>
          <w:szCs w:val="21"/>
        </w:rPr>
        <w:t xml:space="preserve">（签字）</w:t>
      </w:r>
    </w:p>
    <w:p>
      <w:pPr>
        <w:spacing w:after="90" w:before="0" w:line="288" w:lineRule="auto"/>
        <w:jc w:val="left"/>
      </w:pPr>
      <w:r>
        <w:rPr>
          <w:rFonts w:ascii="宋体" w:eastAsia="宋体" w:hAnsi="宋体"/>
          <w:b w:val="false"/>
          <w:bCs w:val="false"/>
          <w:i w:val="false"/>
          <w:iCs w:val="false"/>
          <w:color w:val="000000"/>
          <w:sz w:val="21"/>
          <w:szCs w:val="21"/>
        </w:rPr>
        <w:t xml:space="preserve">电话：</w:t>
      </w:r>
      <w:r>
        <w:rPr>
          <w:rFonts w:ascii="宋体" w:eastAsia="宋体" w:hAnsi="宋体"/>
          <w:b/>
          <w:bCs/>
          <w:i w:val="false"/>
          <w:iCs w:val="false"/>
          <w:color w:val="000000"/>
          <w:sz w:val="21"/>
          <w:szCs w:val="21"/>
        </w:rPr>
        <w:t xml:space="preserve">18938906573</w:t>
      </w:r>
    </w:p>
    <w:p>
      <w:pPr>
        <w:spacing w:after="90" w:before="0" w:line="288" w:lineRule="auto"/>
        <w:jc w:val="left"/>
      </w:pPr>
      <w:r>
        <w:rPr>
          <w:rFonts w:ascii="宋体" w:eastAsia="宋体" w:hAnsi="宋体"/>
          <w:b w:val="false"/>
          <w:bCs w:val="false"/>
          <w:i w:val="false"/>
          <w:iCs w:val="false"/>
          <w:color w:val="000000"/>
          <w:sz w:val="21"/>
          <w:szCs w:val="21"/>
        </w:rPr>
        <w:t xml:space="preserve">　　　　　　　　　　　　　　　　　　　2026 年 8 月    日</w:t>
      </w:r>
    </w:p>
    <w:p>
      <w:pPr>
        <w:pStyle w:val="Heading2"/>
        <w:keepNext/>
        <w:spacing w:after="90" w:before="170"/>
      </w:pPr>
      <w:r>
        <w:rPr>
          <w:rFonts w:ascii="黑体" w:eastAsia="黑体" w:hAnsi="黑体"/>
          <w:b/>
          <w:bCs/>
          <w:i w:val="false"/>
          <w:iCs w:val="false"/>
          <w:color w:val="2E74B5"/>
          <w:sz w:val="24"/>
          <w:szCs w:val="24"/>
        </w:rPr>
        <w:t xml:space="preserve">（二）商务和技术偏差表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我方对询价文件各项要求的响应情况如下。除本表列出的偏差外，我方响应询价文件的全部要求。</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600"/>
        <w:gridCol w:w="3400"/>
        <w:gridCol w:w="4126"/>
        <w:gridCol w:w="900"/>
      </w:tblGrid>
      <w:tr>
        <w:tc>
          <w:tcPr>
            <w:tcW w:type="dxa" w:w="6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序号</w:t>
            </w:r>
          </w:p>
        </w:tc>
        <w:tc>
          <w:tcPr>
            <w:tcW w:type="dxa" w:w="34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询价文件中的要求及条款</w:t>
            </w:r>
          </w:p>
        </w:tc>
        <w:tc>
          <w:tcPr>
            <w:tcW w:type="dxa" w:w="41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报价文件中的响应要求及条款</w:t>
            </w:r>
          </w:p>
        </w:tc>
        <w:tc>
          <w:tcPr>
            <w:tcW w:type="dxa" w:w="9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偏差说明</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采用固定总价方式报价，含税（税率 9%），包含完成工作的全部费用</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按固定总价报价，含 9% 增值税及全部人材机、管理、利润、措施、规费、安装、税金等费用</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计划工期：发包人通知进场后 10 周内完成</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按 10 周（70 日历天）编制进度计划，分区并行、割接不停业务，确保按期完成</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以 GB/T 28181 国标级联为主、SDK/ONVIF 为辅统一接入</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平台以 GB/T 28181 为主、SDK/ONVIF 为辅，兼容现有及后续其他品牌画面与报警接入</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录像存储"边缘为主、中心为辅"，扩盘至满足 90 天</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边缘 NVR 为主、中心为辅，H.265 智能压缩，统一满足 ≥90 天</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193 台摄像机边缘 AI 行为分析（周界入侵、越线等）</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部署边缘算力服务器承载 193 路 AI，报警统一汇入平台</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6</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统一平台，授权不低于 3000 路，接入各单位原有报警</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新建统一平台，授权 ≥3000 路，接入各单位原有报警信息</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7</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建设 46 寸无边框 LCD 拼接监控大屏（3×6）</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监控中心采用 46 寸无边框 LCD 拼接大屏 3 行×6 列共 18 块，配控制器与解码上墙</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8</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监控网与生产网/办公网安全隔离与单向汇聚</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建设独立监控专网、重新规划 IP，单向汇聚逻辑隔离，满足等保 2.0</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9</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主干千兆升级为万兆，预留 1000 万吨炼化一体化扩展接口</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核心/汇聚万兆组网，平台预留标准化扩展接口可对接后续项目</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10</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平台及设备均使用一线品牌，符合国标</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前端/AI/存储/平台/大屏采用海康威视，核心网络采用华为，均为一线品牌</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履约保证金为中选合同总价 50%，进场前 1 周缴纳</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接受并按期缴纳中选合同总价 50% 的履约保证金（保函）</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12</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付款：无预付款；验收合格 90 日付 95%，留 5% 质保金</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完全接受上述付款方式与质保金安排，先开具全额 9% 增值税专用发票</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13</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三个月期限（东明石化财务公司）承兑</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接受三个月期限承兑付款方式</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14</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不接受联合体报价，不允许转包</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以独立法人报价，不组成联合体，不转包，未经同意不分包</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bl>
    <w:p>
      <w:pPr>
        <w:pStyle w:val="Heading2"/>
        <w:keepNext/>
        <w:spacing w:after="90" w:before="170"/>
      </w:pPr>
      <w:r>
        <w:rPr>
          <w:rFonts w:ascii="黑体" w:eastAsia="黑体" w:hAnsi="黑体"/>
          <w:b/>
          <w:bCs/>
          <w:i w:val="false"/>
          <w:iCs w:val="false"/>
          <w:color w:val="2E74B5"/>
          <w:sz w:val="24"/>
          <w:szCs w:val="24"/>
        </w:rPr>
        <w:t xml:space="preserve">（三）报价函附录</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700"/>
        <w:gridCol w:w="1800"/>
        <w:gridCol w:w="1500"/>
        <w:gridCol w:w="3226"/>
        <w:gridCol w:w="1800"/>
      </w:tblGrid>
      <w:tr>
        <w:tc>
          <w:tcPr>
            <w:tcW w:type="dxa" w:w="7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序号</w:t>
            </w:r>
          </w:p>
        </w:tc>
        <w:tc>
          <w:tcPr>
            <w:tcW w:type="dxa" w:w="18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条款名称</w:t>
            </w:r>
          </w:p>
        </w:tc>
        <w:tc>
          <w:tcPr>
            <w:tcW w:type="dxa" w:w="15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合同条款号</w:t>
            </w:r>
          </w:p>
        </w:tc>
        <w:tc>
          <w:tcPr>
            <w:tcW w:type="dxa" w:w="32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约定内容</w:t>
            </w:r>
          </w:p>
        </w:tc>
        <w:tc>
          <w:tcPr>
            <w:tcW w:type="dxa" w:w="18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备注</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w:t>
            </w:r>
          </w:p>
        </w:tc>
        <w:tc>
          <w:tcPr>
            <w:tcW w:type="dxa" w:w="18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项目经理</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1.1.2.4</w:t>
            </w:r>
          </w:p>
        </w:tc>
        <w:tc>
          <w:tcPr>
            <w:tcW w:type="dxa" w:w="32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姓名：</w:t>
            </w:r>
            <w:r>
              <w:rPr>
                <w:rFonts w:ascii="宋体" w:eastAsia="宋体" w:hAnsi="宋体"/>
                <w:b/>
                <w:bCs/>
                <w:i w:val="false"/>
                <w:iCs w:val="false"/>
                <w:color w:val="C00000"/>
                <w:sz w:val="21"/>
                <w:szCs w:val="21"/>
              </w:rPr>
              <w:t xml:space="preserve">【拟派项目经理姓名】</w:t>
            </w:r>
          </w:p>
        </w:tc>
        <w:tc>
          <w:tcPr>
            <w:tcW w:type="dxa" w:w="18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二级及以上注册建造师</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w:t>
            </w:r>
          </w:p>
        </w:tc>
        <w:tc>
          <w:tcPr>
            <w:tcW w:type="dxa" w:w="18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工期</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1.1.4.3</w:t>
            </w:r>
          </w:p>
        </w:tc>
        <w:tc>
          <w:tcPr>
            <w:tcW w:type="dxa" w:w="32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70 日历天（进场后 10 周内完成）</w:t>
            </w:r>
          </w:p>
        </w:tc>
        <w:tc>
          <w:tcPr>
            <w:tcW w:type="dxa" w:w="18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w:t>
            </w:r>
          </w:p>
        </w:tc>
        <w:tc>
          <w:tcPr>
            <w:tcW w:type="dxa" w:w="18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缺陷责任期</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1.1.4.5</w:t>
            </w:r>
          </w:p>
        </w:tc>
        <w:tc>
          <w:tcPr>
            <w:tcW w:type="dxa" w:w="32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1 年（自竣工验收合格之日起）</w:t>
            </w:r>
          </w:p>
        </w:tc>
        <w:tc>
          <w:tcPr>
            <w:tcW w:type="dxa" w:w="18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质保金 5%</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w:t>
            </w:r>
          </w:p>
        </w:tc>
        <w:tc>
          <w:tcPr>
            <w:tcW w:type="dxa" w:w="18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质量标准</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w:t>
            </w:r>
          </w:p>
        </w:tc>
        <w:tc>
          <w:tcPr>
            <w:tcW w:type="dxa" w:w="32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合格，达到国家现行标准及设计文件要求</w:t>
            </w:r>
          </w:p>
        </w:tc>
        <w:tc>
          <w:tcPr>
            <w:tcW w:type="dxa" w:w="18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w:t>
            </w:r>
          </w:p>
        </w:tc>
        <w:tc>
          <w:tcPr>
            <w:tcW w:type="dxa" w:w="18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报价有效期</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w:t>
            </w:r>
          </w:p>
        </w:tc>
        <w:tc>
          <w:tcPr>
            <w:tcW w:type="dxa" w:w="32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自报价截止日起 60 日历天</w:t>
            </w:r>
          </w:p>
        </w:tc>
        <w:tc>
          <w:tcPr>
            <w:tcW w:type="dxa" w:w="18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
            </w:r>
          </w:p>
        </w:tc>
      </w:tr>
    </w:tbl>
    <w:p>
      <w:pPr>
        <w:pStyle w:val="Heading1"/>
        <w:keepNext/>
        <w:pageBreakBefore/>
        <w:spacing w:after="130" w:before="260"/>
      </w:pPr>
      <w:r>
        <w:rPr>
          <w:rFonts w:ascii="黑体" w:eastAsia="黑体" w:hAnsi="黑体"/>
          <w:b/>
          <w:bCs/>
          <w:i w:val="false"/>
          <w:iCs w:val="false"/>
          <w:color w:val="1F4E79"/>
          <w:sz w:val="30"/>
          <w:szCs w:val="30"/>
        </w:rPr>
        <w:t xml:space="preserve">二、法定代表人身份证明及授权委托书</w:t>
      </w:r>
    </w:p>
    <w:p>
      <w:pPr>
        <w:pStyle w:val="Heading2"/>
        <w:keepNext/>
        <w:spacing w:after="90" w:before="170"/>
      </w:pPr>
      <w:r>
        <w:rPr>
          <w:rFonts w:ascii="黑体" w:eastAsia="黑体" w:hAnsi="黑体"/>
          <w:b/>
          <w:bCs/>
          <w:i w:val="false"/>
          <w:iCs w:val="false"/>
          <w:color w:val="2E74B5"/>
          <w:sz w:val="24"/>
          <w:szCs w:val="24"/>
        </w:rPr>
        <w:t xml:space="preserve">（一）法定代表人身份证明</w:t>
      </w:r>
    </w:p>
    <w:p>
      <w:pPr>
        <w:spacing w:after="130" w:line="320" w:lineRule="auto"/>
      </w:pPr>
      <w:r>
        <w:rPr>
          <w:rFonts w:ascii="宋体" w:eastAsia="宋体" w:hAnsi="宋体"/>
          <w:b w:val="false"/>
          <w:bCs w:val="false"/>
          <w:i w:val="false"/>
          <w:iCs w:val="false"/>
          <w:color w:val="000000"/>
          <w:sz w:val="21"/>
          <w:szCs w:val="21"/>
        </w:rPr>
        <w:t xml:space="preserve">报价人名称：</w:t>
      </w:r>
      <w:r>
        <w:rPr>
          <w:rFonts w:ascii="宋体" w:eastAsia="宋体" w:hAnsi="宋体"/>
          <w:b/>
          <w:bCs/>
          <w:i w:val="false"/>
          <w:iCs w:val="false"/>
          <w:color w:val="000000"/>
          <w:sz w:val="21"/>
          <w:szCs w:val="21"/>
        </w:rPr>
        <w:t xml:space="preserve">深圳鹏网智能股份有限公司</w:t>
      </w:r>
    </w:p>
    <w:p>
      <w:pPr>
        <w:spacing w:after="130" w:line="320" w:lineRule="auto"/>
      </w:pPr>
      <w:r>
        <w:rPr>
          <w:rFonts w:ascii="宋体" w:eastAsia="宋体" w:hAnsi="宋体"/>
          <w:b w:val="false"/>
          <w:bCs w:val="false"/>
          <w:i w:val="false"/>
          <w:iCs w:val="false"/>
          <w:color w:val="000000"/>
          <w:sz w:val="21"/>
          <w:szCs w:val="21"/>
        </w:rPr>
        <w:t xml:space="preserve">单位性质：</w:t>
      </w:r>
      <w:r>
        <w:rPr>
          <w:rFonts w:ascii="宋体" w:eastAsia="宋体" w:hAnsi="宋体"/>
          <w:b/>
          <w:bCs/>
          <w:i w:val="false"/>
          <w:iCs w:val="false"/>
          <w:color w:val="000000"/>
          <w:sz w:val="21"/>
          <w:szCs w:val="21"/>
        </w:rPr>
        <w:t xml:space="preserve">股份有限公司(非上市、自然人投资或控股)</w:t>
      </w:r>
    </w:p>
    <w:p>
      <w:pPr>
        <w:spacing w:after="130" w:line="320" w:lineRule="auto"/>
      </w:pPr>
      <w:r>
        <w:rPr>
          <w:rFonts w:ascii="宋体" w:eastAsia="宋体" w:hAnsi="宋体"/>
          <w:b w:val="false"/>
          <w:bCs w:val="false"/>
          <w:i w:val="false"/>
          <w:iCs w:val="false"/>
          <w:color w:val="000000"/>
          <w:sz w:val="21"/>
          <w:szCs w:val="21"/>
        </w:rPr>
        <w:t xml:space="preserve">地址：</w:t>
      </w:r>
      <w:r>
        <w:rPr>
          <w:rFonts w:ascii="宋体" w:eastAsia="宋体" w:hAnsi="宋体"/>
          <w:b/>
          <w:bCs/>
          <w:i w:val="false"/>
          <w:iCs w:val="false"/>
          <w:color w:val="000000"/>
          <w:sz w:val="21"/>
          <w:szCs w:val="21"/>
        </w:rPr>
        <w:t xml:space="preserve">深圳市福田区莲花街道康欣社区香梅路2002号俊景豪园2栋8A</w:t>
      </w:r>
    </w:p>
    <w:p>
      <w:pPr>
        <w:spacing w:after="130" w:line="320" w:lineRule="auto"/>
      </w:pPr>
      <w:r>
        <w:rPr>
          <w:rFonts w:ascii="宋体" w:eastAsia="宋体" w:hAnsi="宋体"/>
          <w:b w:val="false"/>
          <w:bCs w:val="false"/>
          <w:i w:val="false"/>
          <w:iCs w:val="false"/>
          <w:color w:val="000000"/>
          <w:sz w:val="21"/>
          <w:szCs w:val="21"/>
        </w:rPr>
        <w:t xml:space="preserve">成立时间：</w:t>
      </w:r>
      <w:r>
        <w:rPr>
          <w:rFonts w:ascii="宋体" w:eastAsia="宋体" w:hAnsi="宋体"/>
          <w:b/>
          <w:bCs/>
          <w:i w:val="false"/>
          <w:iCs w:val="false"/>
          <w:color w:val="000000"/>
          <w:sz w:val="21"/>
          <w:szCs w:val="21"/>
        </w:rPr>
        <w:t xml:space="preserve">2001年3月5日</w:t>
      </w:r>
    </w:p>
    <w:p>
      <w:pPr>
        <w:spacing w:after="130" w:line="320" w:lineRule="auto"/>
      </w:pPr>
      <w:r>
        <w:rPr>
          <w:rFonts w:ascii="宋体" w:eastAsia="宋体" w:hAnsi="宋体"/>
          <w:b w:val="false"/>
          <w:bCs w:val="false"/>
          <w:i w:val="false"/>
          <w:iCs w:val="false"/>
          <w:color w:val="000000"/>
          <w:sz w:val="21"/>
          <w:szCs w:val="21"/>
        </w:rPr>
        <w:t xml:space="preserve">经营期限：</w:t>
      </w:r>
      <w:r>
        <w:rPr>
          <w:rFonts w:ascii="宋体" w:eastAsia="宋体" w:hAnsi="宋体"/>
          <w:b/>
          <w:bCs/>
          <w:i w:val="false"/>
          <w:iCs w:val="false"/>
          <w:color w:val="000000"/>
          <w:sz w:val="21"/>
          <w:szCs w:val="21"/>
        </w:rPr>
        <w:t xml:space="preserve">长期</w:t>
      </w:r>
    </w:p>
    <w:p>
      <w:pPr>
        <w:spacing w:after="130" w:line="320" w:lineRule="auto"/>
      </w:pPr>
      <w:r>
        <w:rPr>
          <w:rFonts w:ascii="宋体" w:eastAsia="宋体" w:hAnsi="宋体"/>
          <w:b w:val="false"/>
          <w:bCs w:val="false"/>
          <w:i w:val="false"/>
          <w:iCs w:val="false"/>
          <w:color w:val="000000"/>
          <w:sz w:val="21"/>
          <w:szCs w:val="21"/>
        </w:rPr>
        <w:t xml:space="preserve">姓名：</w:t>
      </w:r>
      <w:r>
        <w:rPr>
          <w:rFonts w:ascii="宋体" w:eastAsia="宋体" w:hAnsi="宋体"/>
          <w:b/>
          <w:bCs/>
          <w:i w:val="false"/>
          <w:iCs w:val="false"/>
          <w:color w:val="000000"/>
          <w:sz w:val="21"/>
          <w:szCs w:val="21"/>
        </w:rPr>
        <w:t xml:space="preserve">冯小青</w:t>
      </w:r>
      <w:r>
        <w:rPr>
          <w:rFonts w:ascii="宋体" w:eastAsia="宋体" w:hAnsi="宋体"/>
          <w:b w:val="false"/>
          <w:bCs w:val="false"/>
          <w:i w:val="false"/>
          <w:iCs w:val="false"/>
          <w:color w:val="000000"/>
          <w:sz w:val="21"/>
          <w:szCs w:val="21"/>
        </w:rPr>
        <w:t xml:space="preserve">　性别：</w:t>
      </w:r>
      <w:r>
        <w:rPr>
          <w:rFonts w:ascii="宋体" w:eastAsia="宋体" w:hAnsi="宋体"/>
          <w:b/>
          <w:bCs/>
          <w:i w:val="false"/>
          <w:iCs w:val="false"/>
          <w:color w:val="C00000"/>
          <w:sz w:val="21"/>
          <w:szCs w:val="21"/>
        </w:rPr>
        <w:t xml:space="preserve">【　】</w:t>
      </w:r>
      <w:r>
        <w:rPr>
          <w:rFonts w:ascii="宋体" w:eastAsia="宋体" w:hAnsi="宋体"/>
          <w:b w:val="false"/>
          <w:bCs w:val="false"/>
          <w:i w:val="false"/>
          <w:iCs w:val="false"/>
          <w:color w:val="000000"/>
          <w:sz w:val="21"/>
          <w:szCs w:val="21"/>
        </w:rPr>
        <w:t xml:space="preserve">　年龄：</w:t>
      </w:r>
      <w:r>
        <w:rPr>
          <w:rFonts w:ascii="宋体" w:eastAsia="宋体" w:hAnsi="宋体"/>
          <w:b/>
          <w:bCs/>
          <w:i w:val="false"/>
          <w:iCs w:val="false"/>
          <w:color w:val="C00000"/>
          <w:sz w:val="21"/>
          <w:szCs w:val="21"/>
        </w:rPr>
        <w:t xml:space="preserve">【　】</w:t>
      </w:r>
      <w:r>
        <w:rPr>
          <w:rFonts w:ascii="宋体" w:eastAsia="宋体" w:hAnsi="宋体"/>
          <w:b w:val="false"/>
          <w:bCs w:val="false"/>
          <w:i w:val="false"/>
          <w:iCs w:val="false"/>
          <w:color w:val="000000"/>
          <w:sz w:val="21"/>
          <w:szCs w:val="21"/>
        </w:rPr>
        <w:t xml:space="preserve">　职务：</w:t>
      </w:r>
      <w:r>
        <w:rPr>
          <w:rFonts w:ascii="宋体" w:eastAsia="宋体" w:hAnsi="宋体"/>
          <w:b/>
          <w:bCs/>
          <w:i w:val="false"/>
          <w:iCs w:val="false"/>
          <w:color w:val="000000"/>
          <w:sz w:val="21"/>
          <w:szCs w:val="21"/>
        </w:rPr>
        <w:t xml:space="preserve">法定代表人</w:t>
      </w:r>
    </w:p>
    <w:p>
      <w:pPr>
        <w:spacing w:after="90" w:before="0" w:line="288" w:lineRule="auto"/>
        <w:ind w:firstLine="0"/>
        <w:jc w:val="both"/>
      </w:pPr>
      <w:r>
        <w:rPr>
          <w:rFonts w:ascii="宋体" w:eastAsia="宋体" w:hAnsi="宋体"/>
          <w:b w:val="false"/>
          <w:bCs w:val="false"/>
          <w:i w:val="false"/>
          <w:iCs w:val="false"/>
          <w:color w:val="000000"/>
          <w:sz w:val="21"/>
          <w:szCs w:val="21"/>
        </w:rPr>
        <w:t xml:space="preserve">系 </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 的法定代表人。特此证明。</w:t>
      </w:r>
    </w:p>
    <w:p>
      <w:pPr>
        <w:spacing w:after="60"/>
      </w:pPr>
      <w:r>
        <w:rPr>
          <w:rFonts w:ascii="宋体" w:eastAsia="宋体" w:hAnsi="宋体"/>
          <w:b w:val="false"/>
          <w:bCs w:val="false"/>
          <w:i w:val="false"/>
          <w:iCs w:val="false"/>
          <w:color w:val="000000"/>
          <w:sz w:val="21"/>
          <w:szCs w:val="21"/>
        </w:rPr>
        <w:t xml:space="preserve"/>
      </w:r>
    </w:p>
    <w:p>
      <w:pPr>
        <w:spacing w:after="90" w:before="0" w:line="288" w:lineRule="auto"/>
        <w:jc w:val="right"/>
      </w:pPr>
      <w:r>
        <w:rPr>
          <w:rFonts w:ascii="宋体" w:eastAsia="宋体" w:hAnsi="宋体"/>
          <w:b w:val="false"/>
          <w:bCs w:val="false"/>
          <w:i w:val="false"/>
          <w:iCs w:val="false"/>
          <w:color w:val="000000"/>
          <w:sz w:val="21"/>
          <w:szCs w:val="21"/>
        </w:rPr>
        <w:t xml:space="preserve">报价人：</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（盖单位章）</w:t>
      </w:r>
    </w:p>
    <w:p>
      <w:pPr>
        <w:spacing w:after="90" w:before="0" w:line="288" w:lineRule="auto"/>
        <w:jc w:val="right"/>
      </w:pPr>
      <w:r>
        <w:rPr>
          <w:rFonts w:ascii="宋体" w:eastAsia="宋体" w:hAnsi="宋体"/>
          <w:b w:val="false"/>
          <w:bCs w:val="false"/>
          <w:i w:val="false"/>
          <w:iCs w:val="false"/>
          <w:color w:val="000000"/>
          <w:sz w:val="21"/>
          <w:szCs w:val="21"/>
        </w:rPr>
        <w:t xml:space="preserve">2026 年 8 月    日</w:t>
      </w:r>
    </w:p>
    <w:p>
      <w:pPr>
        <w:pStyle w:val="Heading2"/>
        <w:keepNext/>
        <w:spacing w:after="90" w:before="170"/>
      </w:pPr>
      <w:r>
        <w:rPr>
          <w:rFonts w:ascii="黑体" w:eastAsia="黑体" w:hAnsi="黑体"/>
          <w:b/>
          <w:bCs/>
          <w:i w:val="false"/>
          <w:iCs w:val="false"/>
          <w:color w:val="2E74B5"/>
          <w:sz w:val="24"/>
          <w:szCs w:val="24"/>
        </w:rPr>
        <w:t xml:space="preserve">（二）授权委托书</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本人 </w:t>
      </w:r>
      <w:r>
        <w:rPr>
          <w:rFonts w:ascii="宋体" w:eastAsia="宋体" w:hAnsi="宋体"/>
          <w:b/>
          <w:bCs/>
          <w:i w:val="false"/>
          <w:iCs w:val="false"/>
          <w:color w:val="000000"/>
          <w:sz w:val="21"/>
          <w:szCs w:val="21"/>
        </w:rPr>
        <w:t xml:space="preserve">冯小青</w:t>
      </w:r>
      <w:r>
        <w:rPr>
          <w:rFonts w:ascii="宋体" w:eastAsia="宋体" w:hAnsi="宋体"/>
          <w:b w:val="false"/>
          <w:bCs w:val="false"/>
          <w:i w:val="false"/>
          <w:iCs w:val="false"/>
          <w:color w:val="000000"/>
          <w:sz w:val="21"/>
          <w:szCs w:val="21"/>
        </w:rPr>
        <w:t xml:space="preserve">（姓名）系 </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（报价人名称）的法定代表人，现委托 </w:t>
      </w:r>
      <w:r>
        <w:rPr>
          <w:rFonts w:ascii="宋体" w:eastAsia="宋体" w:hAnsi="宋体"/>
          <w:b/>
          <w:bCs/>
          <w:i w:val="false"/>
          <w:iCs w:val="false"/>
          <w:color w:val="C00000"/>
          <w:sz w:val="21"/>
          <w:szCs w:val="21"/>
        </w:rPr>
        <w:t xml:space="preserve">【委托代理人姓名】</w:t>
      </w:r>
      <w:r>
        <w:rPr>
          <w:rFonts w:ascii="宋体" w:eastAsia="宋体" w:hAnsi="宋体"/>
          <w:b w:val="false"/>
          <w:bCs w:val="false"/>
          <w:i w:val="false"/>
          <w:iCs w:val="false"/>
          <w:color w:val="000000"/>
          <w:sz w:val="21"/>
          <w:szCs w:val="21"/>
        </w:rPr>
        <w:t xml:space="preserve">（姓名）为我方代理人。代理人根据授权，以我方名义签署、澄清、说明、补正、递交、撤回、修改非生产区域集中监控联网改造项目报价文件、签订合同和处理有关事宜，其法律后果由我方承担。</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委托期限：</w:t>
      </w:r>
      <w:r>
        <w:rPr>
          <w:rFonts w:ascii="宋体" w:eastAsia="宋体" w:hAnsi="宋体"/>
          <w:b/>
          <w:bCs/>
          <w:i w:val="false"/>
          <w:iCs w:val="false"/>
          <w:color w:val="C00000"/>
          <w:sz w:val="21"/>
          <w:szCs w:val="21"/>
        </w:rPr>
        <w:t xml:space="preserve">【　　　　】</w:t>
      </w:r>
      <w:r>
        <w:rPr>
          <w:rFonts w:ascii="宋体" w:eastAsia="宋体" w:hAnsi="宋体"/>
          <w:b w:val="false"/>
          <w:bCs w:val="false"/>
          <w:i w:val="false"/>
          <w:iCs w:val="false"/>
          <w:color w:val="000000"/>
          <w:sz w:val="21"/>
          <w:szCs w:val="21"/>
        </w:rPr>
        <w:t xml:space="preserve">。代理人无转委托权。附：法定代表人身份证明。</w:t>
      </w:r>
    </w:p>
    <w:p>
      <w:pPr>
        <w:spacing w:after="50"/>
      </w:pPr>
      <w:r>
        <w:rPr>
          <w:rFonts w:ascii="宋体" w:eastAsia="宋体" w:hAnsi="宋体"/>
          <w:b w:val="false"/>
          <w:bCs w:val="false"/>
          <w:i w:val="false"/>
          <w:iCs w:val="false"/>
          <w:color w:val="000000"/>
          <w:sz w:val="21"/>
          <w:szCs w:val="21"/>
        </w:rPr>
        <w:t xml:space="preserve"/>
      </w:r>
    </w:p>
    <w:p>
      <w:pPr>
        <w:spacing w:after="90" w:before="0" w:line="288" w:lineRule="auto"/>
        <w:jc w:val="left"/>
      </w:pPr>
      <w:r>
        <w:rPr>
          <w:rFonts w:ascii="宋体" w:eastAsia="宋体" w:hAnsi="宋体"/>
          <w:b w:val="false"/>
          <w:bCs w:val="false"/>
          <w:i w:val="false"/>
          <w:iCs w:val="false"/>
          <w:color w:val="000000"/>
          <w:sz w:val="21"/>
          <w:szCs w:val="21"/>
        </w:rPr>
        <w:t xml:space="preserve">报价人：</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（盖单位章）</w:t>
      </w:r>
    </w:p>
    <w:p>
      <w:pPr>
        <w:spacing w:after="90" w:before="0" w:line="288" w:lineRule="auto"/>
        <w:jc w:val="left"/>
      </w:pPr>
      <w:r>
        <w:rPr>
          <w:rFonts w:ascii="宋体" w:eastAsia="宋体" w:hAnsi="宋体"/>
          <w:b w:val="false"/>
          <w:bCs w:val="false"/>
          <w:i w:val="false"/>
          <w:iCs w:val="false"/>
          <w:color w:val="000000"/>
          <w:sz w:val="21"/>
          <w:szCs w:val="21"/>
        </w:rPr>
        <w:t xml:space="preserve">法定代表人：</w:t>
      </w:r>
      <w:r>
        <w:rPr>
          <w:rFonts w:ascii="宋体" w:eastAsia="宋体" w:hAnsi="宋体"/>
          <w:b/>
          <w:bCs/>
          <w:i w:val="false"/>
          <w:iCs w:val="false"/>
          <w:color w:val="000000"/>
          <w:sz w:val="21"/>
          <w:szCs w:val="21"/>
        </w:rPr>
        <w:t xml:space="preserve">冯小青</w:t>
      </w:r>
      <w:r>
        <w:rPr>
          <w:rFonts w:ascii="宋体" w:eastAsia="宋体" w:hAnsi="宋体"/>
          <w:b w:val="false"/>
          <w:bCs w:val="false"/>
          <w:i w:val="false"/>
          <w:iCs w:val="false"/>
          <w:color w:val="000000"/>
          <w:sz w:val="21"/>
          <w:szCs w:val="21"/>
        </w:rPr>
        <w:t xml:space="preserve">（签字）　身份证号码：</w:t>
      </w:r>
      <w:r>
        <w:rPr>
          <w:rFonts w:ascii="宋体" w:eastAsia="宋体" w:hAnsi="宋体"/>
          <w:b/>
          <w:bCs/>
          <w:i w:val="false"/>
          <w:iCs w:val="false"/>
          <w:color w:val="C00000"/>
          <w:sz w:val="21"/>
          <w:szCs w:val="21"/>
        </w:rPr>
        <w:t xml:space="preserve">【　　　　　　　】</w:t>
      </w:r>
    </w:p>
    <w:p>
      <w:pPr>
        <w:spacing w:after="90" w:before="0" w:line="288" w:lineRule="auto"/>
        <w:jc w:val="left"/>
      </w:pPr>
      <w:r>
        <w:rPr>
          <w:rFonts w:ascii="宋体" w:eastAsia="宋体" w:hAnsi="宋体"/>
          <w:b w:val="false"/>
          <w:bCs w:val="false"/>
          <w:i w:val="false"/>
          <w:iCs w:val="false"/>
          <w:color w:val="000000"/>
          <w:sz w:val="21"/>
          <w:szCs w:val="21"/>
        </w:rPr>
        <w:t xml:space="preserve">委托代理人：</w:t>
      </w:r>
      <w:r>
        <w:rPr>
          <w:rFonts w:ascii="宋体" w:eastAsia="宋体" w:hAnsi="宋体"/>
          <w:b/>
          <w:bCs/>
          <w:i w:val="false"/>
          <w:iCs w:val="false"/>
          <w:color w:val="C00000"/>
          <w:sz w:val="21"/>
          <w:szCs w:val="21"/>
        </w:rPr>
        <w:t xml:space="preserve">【　　】</w:t>
      </w:r>
      <w:r>
        <w:rPr>
          <w:rFonts w:ascii="宋体" w:eastAsia="宋体" w:hAnsi="宋体"/>
          <w:b w:val="false"/>
          <w:bCs w:val="false"/>
          <w:i w:val="false"/>
          <w:iCs w:val="false"/>
          <w:color w:val="000000"/>
          <w:sz w:val="21"/>
          <w:szCs w:val="21"/>
        </w:rPr>
        <w:t xml:space="preserve">（签字）　身份证号码：</w:t>
      </w:r>
      <w:r>
        <w:rPr>
          <w:rFonts w:ascii="宋体" w:eastAsia="宋体" w:hAnsi="宋体"/>
          <w:b/>
          <w:bCs/>
          <w:i w:val="false"/>
          <w:iCs w:val="false"/>
          <w:color w:val="C00000"/>
          <w:sz w:val="21"/>
          <w:szCs w:val="21"/>
        </w:rPr>
        <w:t xml:space="preserve">【　　　　　　　】</w:t>
      </w:r>
    </w:p>
    <w:p>
      <w:pPr>
        <w:spacing w:after="90" w:before="0" w:line="288" w:lineRule="auto"/>
        <w:jc w:val="left"/>
      </w:pPr>
      <w:r>
        <w:rPr>
          <w:rFonts w:ascii="宋体" w:eastAsia="宋体" w:hAnsi="宋体"/>
          <w:b w:val="false"/>
          <w:bCs w:val="false"/>
          <w:i w:val="false"/>
          <w:iCs w:val="false"/>
          <w:color w:val="000000"/>
          <w:sz w:val="21"/>
          <w:szCs w:val="21"/>
        </w:rPr>
        <w:t xml:space="preserve">2026 年 8 月    日</w:t>
      </w:r>
    </w:p>
    <w:p>
      <w:pPr>
        <w:pStyle w:val="Heading1"/>
        <w:keepNext/>
        <w:pageBreakBefore/>
        <w:spacing w:after="130" w:before="260"/>
      </w:pPr>
      <w:r>
        <w:rPr>
          <w:rFonts w:ascii="黑体" w:eastAsia="黑体" w:hAnsi="黑体"/>
          <w:b/>
          <w:bCs/>
          <w:i w:val="false"/>
          <w:iCs w:val="false"/>
          <w:color w:val="1F4E79"/>
          <w:sz w:val="30"/>
          <w:szCs w:val="30"/>
        </w:rPr>
        <w:t xml:space="preserve">三、已标价工程量清单</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本项目采用固定总价报价方式，已标价工程量清单无需单独填报。相关工程量与价格构成详见"四、价格清单"及随附电子表格《价格清单.xlsx》（含各设备品牌/型号、主要技术参数、数量、单价与合价）。</w:t>
      </w:r>
    </w:p>
    <w:p>
      <w:pPr>
        <w:pStyle w:val="Heading1"/>
        <w:keepNext/>
        <w:pageBreakBefore/>
        <w:spacing w:after="130" w:before="260"/>
      </w:pPr>
      <w:r>
        <w:rPr>
          <w:rFonts w:ascii="黑体" w:eastAsia="黑体" w:hAnsi="黑体"/>
          <w:b/>
          <w:bCs/>
          <w:i w:val="false"/>
          <w:iCs w:val="false"/>
          <w:color w:val="1F4E79"/>
          <w:sz w:val="30"/>
          <w:szCs w:val="30"/>
        </w:rPr>
        <w:t xml:space="preserve">四、价格清单</w:t>
      </w:r>
    </w:p>
    <w:p>
      <w:pPr>
        <w:pStyle w:val="Heading2"/>
        <w:keepNext/>
        <w:spacing w:after="90" w:before="170"/>
      </w:pPr>
      <w:r>
        <w:rPr>
          <w:rFonts w:ascii="黑体" w:eastAsia="黑体" w:hAnsi="黑体"/>
          <w:b/>
          <w:bCs/>
          <w:i w:val="false"/>
          <w:iCs w:val="false"/>
          <w:color w:val="2E74B5"/>
          <w:sz w:val="24"/>
          <w:szCs w:val="24"/>
        </w:rPr>
        <w:t xml:space="preserve">（一）报价说明</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1. 本价格清单依据发包人提供的《建设方案》及现场勘查核算的工程量清单编制，采用固定总价方式报价。</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2. 报价为含税总价，税率 9%，已包含但不限于人工费、材料费、机械费、管理费、利润、措施费、规费、设备与软件、安装调试、运输、税金及优惠等完成本项目全部工作的所有费用。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3. 项目实施期间不因物价上涨、商混限产、车辆运输、恶劣天气等非不可抗力因素而调整中选合同价格；上述因素已在本次报价中充分考虑。</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4. 分项单价、合价见随附《价格清单.xlsx》；本报价汇总表各分项合价与合计已与该电子清单公式联动，以电子清单汇总为准。</w:t>
      </w:r>
    </w:p>
    <w:p>
      <w:pPr>
        <w:pStyle w:val="Heading2"/>
        <w:keepNext/>
        <w:spacing w:after="90" w:before="170"/>
      </w:pPr>
      <w:r>
        <w:rPr>
          <w:rFonts w:ascii="黑体" w:eastAsia="黑体" w:hAnsi="黑体"/>
          <w:b/>
          <w:bCs/>
          <w:i w:val="false"/>
          <w:iCs w:val="false"/>
          <w:color w:val="2E74B5"/>
          <w:sz w:val="24"/>
          <w:szCs w:val="24"/>
        </w:rPr>
        <w:t xml:space="preserve">（二）报价汇总表</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700"/>
        <w:gridCol w:w="3600"/>
        <w:gridCol w:w="2100"/>
        <w:gridCol w:w="2626"/>
      </w:tblGrid>
      <w:tr>
        <w:tc>
          <w:tcPr>
            <w:tcW w:type="dxa" w:w="7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序号</w:t>
            </w:r>
          </w:p>
        </w:tc>
        <w:tc>
          <w:tcPr>
            <w:tcW w:type="dxa" w:w="36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项目 / 分部分项</w:t>
            </w:r>
          </w:p>
        </w:tc>
        <w:tc>
          <w:tcPr>
            <w:tcW w:type="dxa" w:w="21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合价（元）</w:t>
            </w:r>
          </w:p>
        </w:tc>
        <w:tc>
          <w:tcPr>
            <w:tcW w:type="dxa" w:w="26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备注</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一</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前端采集设备</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67,649.05</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摄像机（周界/重点/门岗/更换）146 台</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二</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智能分析设备</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118,700.46</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AI 边缘服务器及算法授权（193 路）</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三</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平台与软件</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252,589.50</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平台服务器、≥3000 路授权、时钟服务器</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四</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存储设备</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843,590.27</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32/64 路 NVR（满足 90 天）</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五</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网络传输设备</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375,286.18</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华为交换机、光缆、防火墙</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六</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监控中心及大屏</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247,334.63</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46 寸无边框 LCD 拼接 3×6（18 块）及配套</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七</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辅材与施工</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230,531.98</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支架立杆、综合布线、安装调试</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八</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服务</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43,040.83</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IP 规划、联调验收、培训、质保运维</w:t>
            </w:r>
          </w:p>
        </w:tc>
      </w:tr>
      <w:tr>
        <w:tc>
          <w:tcPr>
            <w:tcW w:type="dxa" w:w="4300"/>
            <w:gridSpan w:val="2"/>
            <w:shd w:fill="DDEBF7" w:color="auto" w:val="clear"/>
            <w:tcMar>
              <w:top w:type="dxa" w:w="40"/>
              <w:left w:type="dxa" w:w="80"/>
              <w:bottom w:type="dxa" w:w="40"/>
              <w:right w:type="dxa" w:w="80"/>
            </w:tcMar>
            <w:vAlign w:val="center"/>
          </w:tcPr>
          <w:p>
            <w:pPr>
              <w:spacing w:after="0" w:line="264" w:lineRule="auto"/>
              <w:jc w:val="left"/>
            </w:pPr>
            <w:r>
              <w:rPr>
                <w:rFonts w:ascii="黑体" w:eastAsia="黑体" w:hAnsi="黑体"/>
                <w:b/>
                <w:bCs/>
                <w:i w:val="false"/>
                <w:iCs w:val="false"/>
                <w:color w:val="000000"/>
                <w:sz w:val="21"/>
                <w:szCs w:val="21"/>
              </w:rPr>
              <w:t xml:space="preserve">小计（不含税）</w:t>
            </w:r>
          </w:p>
        </w:tc>
        <w:tc>
          <w:tcPr>
            <w:tcW w:type="dxa" w:w="2100"/>
            <w:gridSpan w:val="1"/>
            <w:shd w:fill="DDEBF7" w:color="auto" w:val="clear"/>
            <w:tcMar>
              <w:top w:type="dxa" w:w="40"/>
              <w:left w:type="dxa" w:w="80"/>
              <w:bottom w:type="dxa" w:w="40"/>
              <w:right w:type="dxa" w:w="80"/>
            </w:tcMar>
            <w:vAlign w:val="center"/>
          </w:tcPr>
          <w:p>
            <w:pPr>
              <w:spacing w:after="0" w:line="264" w:lineRule="auto"/>
              <w:jc w:val="right"/>
            </w:pPr>
            <w:r>
              <w:rPr>
                <w:rFonts w:ascii="宋体" w:eastAsia="宋体" w:hAnsi="宋体"/>
                <w:b/>
                <w:bCs/>
                <w:i w:val="false"/>
                <w:iCs w:val="false"/>
                <w:color w:val="000000"/>
                <w:sz w:val="21"/>
                <w:szCs w:val="21"/>
              </w:rPr>
              <w:t xml:space="preserve">2,178,722.90</w:t>
            </w:r>
          </w:p>
        </w:tc>
        <w:tc>
          <w:tcPr>
            <w:tcW w:type="dxa" w:w="2626"/>
            <w:gridSpan w:val="1"/>
            <w:shd w:fill="DDEBF7" w:color="auto" w:val="clear"/>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增值税 9%：196,085.06 元</w:t>
            </w:r>
          </w:p>
        </w:tc>
      </w:tr>
      <w:tr>
        <w:tc>
          <w:tcPr>
            <w:tcW w:type="dxa" w:w="4300"/>
            <w:gridSpan w:val="2"/>
            <w:shd w:fill="FCE4D6" w:color="auto" w:val="clear"/>
            <w:tcMar>
              <w:top w:type="dxa" w:w="40"/>
              <w:left w:type="dxa" w:w="80"/>
              <w:bottom w:type="dxa" w:w="40"/>
              <w:right w:type="dxa" w:w="80"/>
            </w:tcMar>
            <w:vAlign w:val="center"/>
          </w:tcPr>
          <w:p>
            <w:pPr>
              <w:spacing w:after="0" w:line="264" w:lineRule="auto"/>
              <w:jc w:val="left"/>
            </w:pPr>
            <w:r>
              <w:rPr>
                <w:rFonts w:ascii="黑体" w:eastAsia="黑体" w:hAnsi="黑体"/>
                <w:b/>
                <w:bCs/>
                <w:i w:val="false"/>
                <w:iCs w:val="false"/>
                <w:color w:val="000000"/>
                <w:sz w:val="21"/>
                <w:szCs w:val="21"/>
              </w:rPr>
              <w:t xml:space="preserve">合计（固定总价，含税 9%）</w:t>
            </w:r>
          </w:p>
        </w:tc>
        <w:tc>
          <w:tcPr>
            <w:tcW w:type="dxa" w:w="2100"/>
            <w:gridSpan w:val="1"/>
            <w:shd w:fill="FCE4D6" w:color="auto" w:val="clear"/>
            <w:tcMar>
              <w:top w:type="dxa" w:w="40"/>
              <w:left w:type="dxa" w:w="80"/>
              <w:bottom w:type="dxa" w:w="40"/>
              <w:right w:type="dxa" w:w="80"/>
            </w:tcMar>
            <w:vAlign w:val="center"/>
          </w:tcPr>
          <w:p>
            <w:pPr>
              <w:spacing w:after="0" w:line="264" w:lineRule="auto"/>
              <w:jc w:val="right"/>
            </w:pPr>
            <w:r>
              <w:rPr>
                <w:rFonts w:ascii="宋体" w:eastAsia="宋体" w:hAnsi="宋体"/>
                <w:b/>
                <w:bCs/>
                <w:i w:val="false"/>
                <w:iCs w:val="false"/>
                <w:color w:val="1F4E79"/>
                <w:sz w:val="21"/>
                <w:szCs w:val="21"/>
              </w:rPr>
              <w:t xml:space="preserve">¥ 2,374,807.96</w:t>
            </w:r>
          </w:p>
        </w:tc>
        <w:tc>
          <w:tcPr>
            <w:tcW w:type="dxa" w:w="2626"/>
            <w:gridSpan w:val="1"/>
            <w:shd w:fill="FCE4D6" w:color="auto" w:val="clear"/>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大写：贰佰叁拾柒万肆仟捌佰零柒元玖角陆分</w:t>
            </w:r>
          </w:p>
        </w:tc>
      </w:tr>
    </w:tbl>
    <w:p>
      <w:pPr>
        <w:spacing w:after="90" w:before="80" w:line="288" w:lineRule="auto"/>
        <w:jc w:val="left"/>
      </w:pPr>
      <w:r>
        <w:rPr>
          <w:rFonts w:ascii="宋体" w:eastAsia="宋体" w:hAnsi="宋体"/>
          <w:b w:val="false"/>
          <w:bCs w:val="false"/>
          <w:i w:val="false"/>
          <w:iCs w:val="false"/>
          <w:color w:val="595959"/>
          <w:sz w:val="19"/>
          <w:szCs w:val="19"/>
        </w:rPr>
        <w:t xml:space="preserve">注：报价汇总金额与《价格清单.xlsx》分项单价公式联动，填改单价即自动更新合价与总价。</w:t>
      </w:r>
    </w:p>
    <w:p>
      <w:pPr>
        <w:pStyle w:val="Heading2"/>
        <w:keepNext/>
        <w:spacing w:after="90" w:before="170"/>
      </w:pPr>
      <w:r>
        <w:rPr>
          <w:rFonts w:ascii="黑体" w:eastAsia="黑体" w:hAnsi="黑体"/>
          <w:b/>
          <w:bCs/>
          <w:i w:val="false"/>
          <w:iCs w:val="false"/>
          <w:color w:val="2E74B5"/>
          <w:sz w:val="24"/>
          <w:szCs w:val="24"/>
        </w:rPr>
        <w:t xml:space="preserve">（三）报价一致性核对表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为防止金额误差，下表将本报价文件中的金额与随附《价格清单.xlsx·报价汇总》的公式计算结果并列核对，两者应完全一致；如有差异，以《价格清单.xlsx》联动汇总结果为准。</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3600"/>
        <w:gridCol w:w="2100"/>
        <w:gridCol w:w="2100"/>
        <w:gridCol w:w="1226"/>
      </w:tblGrid>
      <w:tr>
        <w:tc>
          <w:tcPr>
            <w:tcW w:type="dxa" w:w="36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项目</w:t>
            </w:r>
          </w:p>
        </w:tc>
        <w:tc>
          <w:tcPr>
            <w:tcW w:type="dxa" w:w="21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本报价文件（元）</w:t>
            </w:r>
          </w:p>
        </w:tc>
        <w:tc>
          <w:tcPr>
            <w:tcW w:type="dxa" w:w="21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价格清单.xlsx 汇总（元）</w:t>
            </w:r>
          </w:p>
        </w:tc>
        <w:tc>
          <w:tcPr>
            <w:tcW w:type="dxa" w:w="12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核对</w:t>
            </w:r>
          </w:p>
        </w:tc>
      </w:tr>
      <w:tr>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分项合价合计（不含税）</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bCs/>
                <w:i w:val="false"/>
                <w:iCs w:val="false"/>
                <w:color w:val="000000"/>
                <w:sz w:val="21"/>
                <w:szCs w:val="21"/>
              </w:rPr>
              <w:t xml:space="preserve">2,178,722.90</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2E74B5"/>
                <w:sz w:val="21"/>
                <w:szCs w:val="21"/>
              </w:rPr>
              <w:t xml:space="preserve">=价格清单!合计（不含税）</w:t>
            </w:r>
          </w:p>
        </w:tc>
        <w:tc>
          <w:tcPr>
            <w:tcW w:type="dxa" w:w="1226"/>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一致</w:t>
            </w:r>
          </w:p>
        </w:tc>
      </w:tr>
      <w:tr>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增值税（9%）</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bCs/>
                <w:i w:val="false"/>
                <w:iCs w:val="false"/>
                <w:color w:val="000000"/>
                <w:sz w:val="21"/>
                <w:szCs w:val="21"/>
              </w:rPr>
              <w:t xml:space="preserve">196,085.06</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2E74B5"/>
                <w:sz w:val="21"/>
                <w:szCs w:val="21"/>
              </w:rPr>
              <w:t xml:space="preserve">=价格清单!增值税</w:t>
            </w:r>
          </w:p>
        </w:tc>
        <w:tc>
          <w:tcPr>
            <w:tcW w:type="dxa" w:w="1226"/>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一致</w:t>
            </w:r>
          </w:p>
        </w:tc>
      </w:tr>
      <w:tr>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固定总价（含税 9%）</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bCs/>
                <w:i w:val="false"/>
                <w:iCs w:val="false"/>
                <w:color w:val="000000"/>
                <w:sz w:val="21"/>
                <w:szCs w:val="21"/>
              </w:rPr>
              <w:t xml:space="preserve">2,374,807.96</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2E74B5"/>
                <w:sz w:val="21"/>
                <w:szCs w:val="21"/>
              </w:rPr>
              <w:t xml:space="preserve">=价格清单!含税合计</w:t>
            </w:r>
          </w:p>
        </w:tc>
        <w:tc>
          <w:tcPr>
            <w:tcW w:type="dxa" w:w="1226"/>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一致</w:t>
            </w:r>
          </w:p>
        </w:tc>
      </w:tr>
      <w:tr>
        <w:tc>
          <w:tcPr>
            <w:tcW w:type="dxa" w:w="3600"/>
            <w:gridSpan w:val="1"/>
            <w:shd w:fill="DDEBF7" w:color="auto" w:val="clear"/>
            <w:tcMar>
              <w:top w:type="dxa" w:w="40"/>
              <w:left w:type="dxa" w:w="80"/>
              <w:bottom w:type="dxa" w:w="40"/>
              <w:right w:type="dxa" w:w="80"/>
            </w:tcMar>
            <w:vAlign w:val="center"/>
          </w:tcPr>
          <w:p>
            <w:pPr>
              <w:spacing w:after="0" w:line="264" w:lineRule="auto"/>
              <w:jc w:val="left"/>
            </w:pPr>
            <w:r>
              <w:rPr>
                <w:rFonts w:ascii="黑体" w:eastAsia="黑体" w:hAnsi="黑体"/>
                <w:b/>
                <w:bCs/>
                <w:i w:val="false"/>
                <w:iCs w:val="false"/>
                <w:color w:val="000000"/>
                <w:sz w:val="21"/>
                <w:szCs w:val="21"/>
              </w:rPr>
              <w:t xml:space="preserve">人民币大写</w:t>
            </w:r>
          </w:p>
        </w:tc>
        <w:tc>
          <w:tcPr>
            <w:tcW w:type="dxa" w:w="5426"/>
            <w:gridSpan w:val="3"/>
            <w:shd w:fill="DDEBF7" w:color="auto" w:val="clear"/>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贰佰叁拾柒万肆仟捌佰零柒元玖角陆分</w:t>
            </w:r>
          </w:p>
        </w:tc>
      </w:tr>
    </w:tbl>
    <w:p>
      <w:pPr>
        <w:spacing w:after="90" w:before="60" w:line="288" w:lineRule="auto"/>
        <w:jc w:val="left"/>
      </w:pPr>
      <w:r>
        <w:rPr>
          <w:rFonts w:ascii="宋体" w:eastAsia="宋体" w:hAnsi="宋体"/>
          <w:b w:val="false"/>
          <w:bCs w:val="false"/>
          <w:i w:val="false"/>
          <w:iCs w:val="false"/>
          <w:color w:val="595959"/>
          <w:sz w:val="19"/>
          <w:szCs w:val="19"/>
        </w:rPr>
        <w:t xml:space="preserve">核对方法：打开《价格清单.xlsx》"报价汇总"工作表，其合计（含税）单元格由 =SUM 各分项 ×1.09 公式自动计算；本表金额与之逐行相等即通过校验。</w:t>
      </w:r>
    </w:p>
    <w:p>
      <w:pPr>
        <w:pStyle w:val="Heading1"/>
        <w:keepNext/>
        <w:pageBreakBefore/>
        <w:spacing w:after="130" w:before="260"/>
      </w:pPr>
      <w:r>
        <w:rPr>
          <w:rFonts w:ascii="黑体" w:eastAsia="黑体" w:hAnsi="黑体"/>
          <w:b/>
          <w:bCs/>
          <w:i w:val="false"/>
          <w:iCs w:val="false"/>
          <w:color w:val="1F4E79"/>
          <w:sz w:val="30"/>
          <w:szCs w:val="30"/>
        </w:rPr>
        <w:t xml:space="preserve">五、承包人项目实施计划</w:t>
      </w:r>
    </w:p>
    <w:p>
      <w:pPr>
        <w:pStyle w:val="Heading2"/>
        <w:keepNext/>
        <w:spacing w:after="90" w:before="170"/>
      </w:pPr>
      <w:r>
        <w:rPr>
          <w:rFonts w:ascii="黑体" w:eastAsia="黑体" w:hAnsi="黑体"/>
          <w:b/>
          <w:bCs/>
          <w:i w:val="false"/>
          <w:iCs w:val="false"/>
          <w:color w:val="2E74B5"/>
          <w:sz w:val="24"/>
          <w:szCs w:val="24"/>
        </w:rPr>
        <w:t xml:space="preserve">第一部分　技术方案（专章）</w:t>
      </w:r>
    </w:p>
    <w:p>
      <w:pPr>
        <w:pStyle w:val="Heading3"/>
        <w:keepNext/>
        <w:spacing w:after="70" w:before="120"/>
      </w:pPr>
      <w:r>
        <w:rPr>
          <w:rFonts w:ascii="黑体" w:eastAsia="黑体" w:hAnsi="黑体"/>
          <w:b/>
          <w:bCs/>
          <w:i w:val="false"/>
          <w:iCs w:val="false"/>
          <w:color w:val="333333"/>
          <w:sz w:val="21"/>
          <w:szCs w:val="21"/>
        </w:rPr>
        <w:t xml:space="preserve">1. 总体设计思路与技术路线</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本项目遵循"汇聚、补盲、智能、统一、可扩展"五大目标，坚持"统一规划、分步实施、利旧为主、割接不停业务"的原则。以 GB/T 28181 国标级联为主、厂商 SDK/ONVIF 为辅，实现三十余个独立监控室、约 40 个点位区域、12 个二级单位监控资源的统一取流与汇聚；AI 能力下沉至边缘算力服务器以减轻中心与网络压力；录像"边缘为主、中心为辅"并扩盘至满足 90 天；监控网与生产网、办公网通过独立 IP 规划与单向汇聚实现安全隔离。前端、AI、存储、平台与大屏采用海康威视，核心/汇聚网络采用华为，均为一线品牌并符合国标要求。</w:t>
      </w:r>
    </w:p>
    <w:p>
      <w:pPr>
        <w:pStyle w:val="Heading3"/>
        <w:keepNext/>
        <w:spacing w:after="70" w:before="120"/>
      </w:pPr>
      <w:r>
        <w:rPr>
          <w:rFonts w:ascii="黑体" w:eastAsia="黑体" w:hAnsi="黑体"/>
          <w:b/>
          <w:bCs/>
          <w:i w:val="false"/>
          <w:iCs w:val="false"/>
          <w:color w:val="333333"/>
          <w:sz w:val="21"/>
          <w:szCs w:val="21"/>
        </w:rPr>
        <w:t xml:space="preserve">2. 系统总体架构</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系统自下而上分为前端采集层、网络传输层、边缘存储与算力层、平台汇聚层、应用展示层五个层次，如图 5-1 所示。前端在站点边缘 NVR 本地存储的同时，经万兆监控专网单向汇聚至集团六楼机房统一管理平台；平台完成统一编目、权限管理与调取控制后，经解码矩阵输出至精诚楼一楼监控中心 LCD 拼接大屏；边缘算力服务器旁挂承载 193 台摄像机的实时 AI 分析，报警统一汇入平台并在大屏弹窗呈现。改造后前端摄像机总量约 2041 台，平台按 ≥3000 路授权设计，为园区扩建及后续 1000 万吨炼化一体化项目预留充足容量与标准化扩展接口。</w:t>
      </w:r>
    </w:p>
    <w:p>
      <w:pPr>
        <w:spacing w:after="40" w:before="10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95675"/>
                    </a:xfrm>
                    <a:prstGeom prst="rect">
                      <a:avLst/>
                    </a:prstGeom>
                  </pic:spPr>
                </pic:pic>
              </a:graphicData>
            </a:graphic>
          </wp:inline>
        </w:drawing>
      </w:r>
    </w:p>
    <w:p>
      <w:pPr>
        <w:spacing w:after="140"/>
        <w:jc w:val="center"/>
      </w:pPr>
      <w:r>
        <w:rPr>
          <w:rFonts w:ascii="宋体" w:eastAsia="宋体"/>
          <w:color w:val="595959"/>
          <w:sz w:val="18"/>
          <w:szCs w:val="18"/>
        </w:rPr>
        <w:t xml:space="preserve">图 5-1  系统总体架构图</w:t>
      </w:r>
    </w:p>
    <w:p>
      <w:pPr>
        <w:pStyle w:val="Heading3"/>
        <w:keepNext/>
        <w:spacing w:after="70" w:before="120"/>
      </w:pPr>
      <w:r>
        <w:rPr>
          <w:rFonts w:ascii="黑体" w:eastAsia="黑体" w:hAnsi="黑体"/>
          <w:b/>
          <w:bCs/>
          <w:i w:val="false"/>
          <w:iCs w:val="false"/>
          <w:color w:val="333333"/>
          <w:sz w:val="21"/>
          <w:szCs w:val="21"/>
        </w:rPr>
        <w:t xml:space="preserve">3. 前端点位改造设计（补盲·更换·衔接）</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新增 102 台摄像机消除周界、门岗、库区盲区（华汪围墙周界补盲 58 台、东明港运重点部位 3 台、润华实业门岗 41 台）；等量更换 44 台老旧摄像机，提升图像与夜视能力；衔接 92 台在建点位按统一标准同步纳管。前端选用 ≥400 万像素星光级、H.265+、IP66、支持拾音喊话与周界/越线智能的摄像机；周界采用枪机、门岗采用宽动态卡口机（覆盖前后各 20m、具车牌/人脸辨识）。安装遵循 GB 50395《视频安防监控系统工程设计规范》，立杆/支架牢固、镜头视场无遮挡、逆光合理规避。</w:t>
      </w:r>
    </w:p>
    <w:p>
      <w:pPr>
        <w:pStyle w:val="Heading3"/>
        <w:keepNext/>
        <w:spacing w:after="70" w:before="120"/>
      </w:pPr>
      <w:r>
        <w:rPr>
          <w:rFonts w:ascii="黑体" w:eastAsia="黑体" w:hAnsi="黑体"/>
          <w:b/>
          <w:bCs/>
          <w:i w:val="false"/>
          <w:iCs w:val="false"/>
          <w:color w:val="333333"/>
          <w:sz w:val="21"/>
          <w:szCs w:val="21"/>
        </w:rPr>
        <w:t xml:space="preserve">4. AI 智能分析设计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对 193 台摄像机通过边缘算力服务器实现周界入侵、越线报警等实战化 AI 行为分析，按区域就近分组部署，单台按 32 路配置并预留算力余量。所有 AI 报警统一接入平台，支持按区域、时段、类型进行策略配置（如夜间提高灵敏度），并与大屏弹窗、一键调取、前端声光/喊话联动，实现"报警即定位、定位即可视、可视即处置"的闭环。</w:t>
      </w:r>
    </w:p>
    <w:p>
      <w:pPr>
        <w:pStyle w:val="Heading3"/>
        <w:keepNext/>
        <w:spacing w:after="70" w:before="120"/>
      </w:pPr>
      <w:r>
        <w:rPr>
          <w:rFonts w:ascii="黑体" w:eastAsia="黑体" w:hAnsi="黑体"/>
          <w:b/>
          <w:bCs/>
          <w:i w:val="false"/>
          <w:iCs w:val="false"/>
          <w:color w:val="333333"/>
          <w:sz w:val="21"/>
          <w:szCs w:val="21"/>
        </w:rPr>
        <w:t xml:space="preserve">5. 统一视频监控管理平台设计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新建统一平台部署于集团六楼机房，遵循 GB/T 28181 标准，负责多品牌异构监控的统一接入、编目、权限、级联调取、报警汇聚与运维管理，视频及报警授权路数不少于 3000 路，接入各单位原有报警信息。平台预留标准化扩展接口，可无缝对接后续 1000 万吨炼化一体化项目及园区扩建点位，支持点位扩容与功能升级而无需重构。</w:t>
      </w:r>
    </w:p>
    <w:p>
      <w:pPr>
        <w:pStyle w:val="Heading3"/>
        <w:keepNext/>
        <w:spacing w:after="70" w:before="120"/>
      </w:pPr>
      <w:r>
        <w:rPr>
          <w:rFonts w:ascii="黑体" w:eastAsia="黑体" w:hAnsi="黑体"/>
          <w:b/>
          <w:bCs/>
          <w:i w:val="false"/>
          <w:iCs w:val="false"/>
          <w:color w:val="333333"/>
          <w:sz w:val="21"/>
          <w:szCs w:val="21"/>
        </w:rPr>
        <w:t xml:space="preserve">6. 录像存储设计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采用"边缘为主、中心为辅"的分布式存储架构（图 5-3）：以站点边缘 32 路/64 路 NVR 承担主体录像，中心侧对重要点位与报警片段集中备份；全面启用 H.265/H.265+ 智能压缩，统一将存储时长扩容至不小于 90 天。NVR 支持 RAID 与热备盘、断网续传，保证录像完整、可追溯。</w:t>
      </w:r>
    </w:p>
    <w:p>
      <w:pPr>
        <w:spacing w:after="40" w:before="1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90825"/>
                    </a:xfrm>
                    <a:prstGeom prst="rect">
                      <a:avLst/>
                    </a:prstGeom>
                  </pic:spPr>
                </pic:pic>
              </a:graphicData>
            </a:graphic>
          </wp:inline>
        </w:drawing>
      </w:r>
    </w:p>
    <w:p>
      <w:pPr>
        <w:spacing w:after="140"/>
        <w:jc w:val="center"/>
      </w:pPr>
      <w:r>
        <w:rPr>
          <w:rFonts w:ascii="宋体" w:eastAsia="宋体"/>
          <w:color w:val="595959"/>
          <w:sz w:val="18"/>
          <w:szCs w:val="18"/>
        </w:rPr>
        <w:t xml:space="preserve">图 5-3  录像存储架构图（边缘为主·中心为辅）</w:t>
      </w:r>
    </w:p>
    <w:p>
      <w:pPr>
        <w:pStyle w:val="Heading3"/>
        <w:keepNext/>
        <w:spacing w:after="70" w:before="120"/>
      </w:pPr>
      <w:r>
        <w:rPr>
          <w:rFonts w:ascii="黑体" w:eastAsia="黑体" w:hAnsi="黑体"/>
          <w:b/>
          <w:bCs/>
          <w:i w:val="false"/>
          <w:iCs w:val="false"/>
          <w:color w:val="333333"/>
          <w:sz w:val="21"/>
          <w:szCs w:val="21"/>
        </w:rPr>
        <w:t xml:space="preserve">7. 网络传输与安全隔离设计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建设独立监控专网并重新规划 IP（单位—区域—点位分层编址）；核心采用华为万兆三层交换机双机热备，园区汇聚采用华为万兆交换机，主干由千兆升级为万兆，带宽按 1.5 倍冗余设计（图 5-2）。监控网与生产网、办公网之间通过单向光闸/网闸实现单向汇聚与逻辑隔离，配下一代防火墙、入侵检测与日志审计，满足网络安全等级保护 2.0 要求，杜绝反向访问。</w:t>
      </w:r>
    </w:p>
    <w:p>
      <w:pPr>
        <w:spacing w:after="40" w:before="100"/>
        <w:jc w:val="center"/>
      </w:pPr>
      <w:r>
        <w:drawing>
          <wp:inline distT="0" distB="0" distL="0" distR="0">
            <wp:extent cx="5524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81375"/>
                    </a:xfrm>
                    <a:prstGeom prst="rect">
                      <a:avLst/>
                    </a:prstGeom>
                  </pic:spPr>
                </pic:pic>
              </a:graphicData>
            </a:graphic>
          </wp:inline>
        </w:drawing>
      </w:r>
    </w:p>
    <w:p>
      <w:pPr>
        <w:spacing w:after="140"/>
        <w:jc w:val="center"/>
      </w:pPr>
      <w:r>
        <w:rPr>
          <w:rFonts w:ascii="宋体" w:eastAsia="宋体"/>
          <w:color w:val="595959"/>
          <w:sz w:val="18"/>
          <w:szCs w:val="18"/>
        </w:rPr>
        <w:t xml:space="preserve">图 5-2  监控专网拓扑与单向汇聚隔离图</w:t>
      </w:r>
    </w:p>
    <w:p>
      <w:pPr>
        <w:pStyle w:val="Heading3"/>
        <w:keepNext/>
        <w:spacing w:after="70" w:before="120"/>
      </w:pPr>
      <w:r>
        <w:rPr>
          <w:rFonts w:ascii="黑体" w:eastAsia="黑体" w:hAnsi="黑体"/>
          <w:b/>
          <w:bCs/>
          <w:i w:val="false"/>
          <w:iCs w:val="false"/>
          <w:color w:val="333333"/>
          <w:sz w:val="21"/>
          <w:szCs w:val="21"/>
        </w:rPr>
        <w:t xml:space="preserve">8. 监控中心与 46 寸无边框 LCD 拼接大屏（3×6）</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监控中心位于精诚楼一楼，按现场墙宽 7.1 米、高 2.8 米（约 20.16 ㎡）设计，采用 46 寸无边框 LCD 拼接屏 3 行×6 列共 18 块无缝拼接（图 5-4），配拼接控制器与新增高清解码矩阵承担上墙，支持同时调取 100 路以上画面、开窗漫游、分屏轮巡、报警弹窗上墙；配套多联坐席/操作台、UPS、精密配电、装饰装修、环境与消防等，营造 7×24 小时可靠运行的集团级安保指挥场所。</w:t>
      </w:r>
    </w:p>
    <w:p>
      <w:pPr>
        <w:spacing w:after="40" w:before="1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90825"/>
                    </a:xfrm>
                    <a:prstGeom prst="rect">
                      <a:avLst/>
                    </a:prstGeom>
                  </pic:spPr>
                </pic:pic>
              </a:graphicData>
            </a:graphic>
          </wp:inline>
        </w:drawing>
      </w:r>
    </w:p>
    <w:p>
      <w:pPr>
        <w:spacing w:after="140"/>
        <w:jc w:val="center"/>
      </w:pPr>
      <w:r>
        <w:rPr>
          <w:rFonts w:ascii="宋体" w:eastAsia="宋体"/>
          <w:color w:val="595959"/>
          <w:sz w:val="18"/>
          <w:szCs w:val="18"/>
        </w:rPr>
        <w:t xml:space="preserve">图 5-4  监控中心大屏（46″LCD 3×6）布局示意</w:t>
      </w:r>
    </w:p>
    <w:p>
      <w:pPr>
        <w:pStyle w:val="Heading3"/>
        <w:keepNext/>
        <w:spacing w:after="70" w:before="120"/>
      </w:pPr>
      <w:r>
        <w:rPr>
          <w:rFonts w:ascii="黑体" w:eastAsia="黑体" w:hAnsi="黑体"/>
          <w:b/>
          <w:bCs/>
          <w:i w:val="false"/>
          <w:iCs w:val="false"/>
          <w:color w:val="333333"/>
          <w:sz w:val="21"/>
          <w:szCs w:val="21"/>
        </w:rPr>
        <w:t xml:space="preserve">9. 可靠性、先进性与可扩展性</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关键节点冗余热备，存储 RAID 与热备盘保障数据可靠；采用主流一线品牌与国标协议保证兼容性；平台授权与网络带宽预留充足余量，标准化接口支持后续项目平滑接入，实现"一次建设、长期演进"。</w:t>
      </w:r>
    </w:p>
    <w:p>
      <w:pPr>
        <w:pStyle w:val="Heading2"/>
        <w:keepNext/>
        <w:spacing w:after="90" w:before="170"/>
      </w:pPr>
      <w:r>
        <w:rPr>
          <w:rFonts w:ascii="黑体" w:eastAsia="黑体" w:hAnsi="黑体"/>
          <w:b/>
          <w:bCs/>
          <w:i w:val="false"/>
          <w:iCs w:val="false"/>
          <w:color w:val="2E74B5"/>
          <w:sz w:val="24"/>
          <w:szCs w:val="24"/>
        </w:rPr>
        <w:t xml:space="preserve">第二部分　施工组织设计与实施方案</w:t>
      </w:r>
    </w:p>
    <w:p>
      <w:pPr>
        <w:pStyle w:val="Heading3"/>
        <w:keepNext/>
        <w:spacing w:after="70" w:before="120"/>
      </w:pPr>
      <w:r>
        <w:rPr>
          <w:rFonts w:ascii="黑体" w:eastAsia="黑体" w:hAnsi="黑体"/>
          <w:b/>
          <w:bCs/>
          <w:i w:val="false"/>
          <w:iCs w:val="false"/>
          <w:color w:val="333333"/>
          <w:sz w:val="21"/>
          <w:szCs w:val="21"/>
        </w:rPr>
        <w:t xml:space="preserve">（一）概述</w:t>
      </w:r>
    </w:p>
    <w:p>
      <w:pPr>
        <w:spacing w:after="90" w:before="0" w:line="288" w:lineRule="auto"/>
        <w:ind w:firstLine="420"/>
        <w:jc w:val="both"/>
      </w:pPr>
      <w:r>
        <w:rPr>
          <w:rFonts w:ascii="宋体" w:eastAsia="宋体" w:hAnsi="宋体"/>
          <w:b/>
          <w:bCs/>
          <w:i w:val="false"/>
          <w:iCs w:val="false"/>
          <w:color w:val="000000"/>
          <w:sz w:val="21"/>
          <w:szCs w:val="21"/>
        </w:rPr>
        <w:t xml:space="preserve">项目简介：</w:t>
      </w:r>
      <w:r>
        <w:rPr>
          <w:rFonts w:ascii="宋体" w:eastAsia="宋体" w:hAnsi="宋体"/>
          <w:b w:val="false"/>
          <w:bCs w:val="false"/>
          <w:i w:val="false"/>
          <w:iCs w:val="false"/>
          <w:color w:val="000000"/>
          <w:sz w:val="21"/>
          <w:szCs w:val="21"/>
        </w:rPr>
        <w:t xml:space="preserve">本项目为东明石化集团非生产区域视频监控的集中联网与智能化改造，将分散监控资源统一汇聚至集团监控中心，补盲、更换与智能升级并举，建成统一管理平台与可视化指挥大屏。范围含前端补盲更换与在建衔接、边缘 AI、统一平台与授权、边缘/中心存储、监控专网与安全隔离、监控中心及大屏、辅材施工与调试、培训与质保运维等 EPC 总承包内容。</w:t>
      </w:r>
    </w:p>
    <w:p>
      <w:pPr>
        <w:spacing w:after="90" w:before="0" w:line="288" w:lineRule="auto"/>
        <w:ind w:firstLine="420"/>
        <w:jc w:val="both"/>
      </w:pPr>
      <w:r>
        <w:rPr>
          <w:rFonts w:ascii="宋体" w:eastAsia="宋体" w:hAnsi="宋体"/>
          <w:b/>
          <w:bCs/>
          <w:i w:val="false"/>
          <w:iCs w:val="false"/>
          <w:color w:val="000000"/>
          <w:sz w:val="21"/>
          <w:szCs w:val="21"/>
        </w:rPr>
        <w:t xml:space="preserve">项目特点与难点：</w:t>
      </w:r>
      <w:r>
        <w:rPr>
          <w:rFonts w:ascii="宋体" w:eastAsia="宋体" w:hAnsi="宋体"/>
          <w:b w:val="false"/>
          <w:bCs w:val="false"/>
          <w:i w:val="false"/>
          <w:iCs w:val="false"/>
          <w:color w:val="000000"/>
          <w:sz w:val="21"/>
          <w:szCs w:val="21"/>
        </w:rPr>
        <w:t xml:space="preserve">点位分散、跨 12 个二级单位、多品牌异构接入；石化园区安全文明施工与作业许可要求高；须"边建设边运行、割接不停业务、不留盲区"；工期紧（10 周）、交叉作业与协调界面多。</w:t>
      </w:r>
    </w:p>
    <w:p>
      <w:pPr>
        <w:pStyle w:val="Heading3"/>
        <w:keepNext/>
        <w:spacing w:after="70" w:before="120"/>
      </w:pPr>
      <w:r>
        <w:rPr>
          <w:rFonts w:ascii="黑体" w:eastAsia="黑体" w:hAnsi="黑体"/>
          <w:b/>
          <w:bCs/>
          <w:i w:val="false"/>
          <w:iCs w:val="false"/>
          <w:color w:val="333333"/>
          <w:sz w:val="21"/>
          <w:szCs w:val="21"/>
        </w:rPr>
        <w:t xml:space="preserve">（二）项目组织机构</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实行项目经理负责制，组建项目部统一指挥、分区推进，各岗位均为本企业自有员工、社保连续在缴，组织机构如图 5-7。</w:t>
      </w:r>
    </w:p>
    <w:p>
      <w:pPr>
        <w:spacing w:after="40" w:before="100"/>
        <w:jc w:val="center"/>
      </w:pPr>
      <w:r>
        <w:drawing>
          <wp:inline distT="0" distB="0" distL="0" distR="0">
            <wp:extent cx="4953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90800"/>
                    </a:xfrm>
                    <a:prstGeom prst="rect">
                      <a:avLst/>
                    </a:prstGeom>
                  </pic:spPr>
                </pic:pic>
              </a:graphicData>
            </a:graphic>
          </wp:inline>
        </w:drawing>
      </w:r>
    </w:p>
    <w:p>
      <w:pPr>
        <w:spacing w:after="140"/>
        <w:jc w:val="center"/>
      </w:pPr>
      <w:r>
        <w:rPr>
          <w:rFonts w:ascii="宋体" w:eastAsia="宋体"/>
          <w:color w:val="595959"/>
          <w:sz w:val="18"/>
          <w:szCs w:val="18"/>
        </w:rPr>
        <w:t xml:space="preserve">图 5-7  项目组织机构图</w:t>
      </w:r>
    </w:p>
    <w:p>
      <w:pPr>
        <w:pStyle w:val="Heading3"/>
        <w:keepNext/>
        <w:spacing w:after="70" w:before="120"/>
      </w:pPr>
      <w:r>
        <w:rPr>
          <w:rFonts w:ascii="黑体" w:eastAsia="黑体" w:hAnsi="黑体"/>
          <w:b/>
          <w:bCs/>
          <w:i w:val="false"/>
          <w:iCs w:val="false"/>
          <w:color w:val="333333"/>
          <w:sz w:val="21"/>
          <w:szCs w:val="21"/>
        </w:rPr>
        <w:t xml:space="preserve">（三）总体施工工艺流程</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总体施工按"勘查设计→设备检验→布线支架→前端安装→边缘存储与 AI→网络与专网→平台与大屏→分区割接→压测试运行→竣工验收"顺序、分区并行推进，关键工序设见证点/停止点（图 5-5）。</w:t>
      </w:r>
    </w:p>
    <w:p>
      <w:pPr>
        <w:spacing w:after="40" w:before="100"/>
        <w:jc w:val="center"/>
      </w:pPr>
      <w:r>
        <w:drawing>
          <wp:inline distT="0" distB="0" distL="0" distR="0">
            <wp:extent cx="5524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695450"/>
                    </a:xfrm>
                    <a:prstGeom prst="rect">
                      <a:avLst/>
                    </a:prstGeom>
                  </pic:spPr>
                </pic:pic>
              </a:graphicData>
            </a:graphic>
          </wp:inline>
        </w:drawing>
      </w:r>
    </w:p>
    <w:p>
      <w:pPr>
        <w:spacing w:after="140"/>
        <w:jc w:val="center"/>
      </w:pPr>
      <w:r>
        <w:rPr>
          <w:rFonts w:ascii="宋体" w:eastAsia="宋体"/>
          <w:color w:val="595959"/>
          <w:sz w:val="18"/>
          <w:szCs w:val="18"/>
        </w:rPr>
        <w:t xml:space="preserve">图 5-5  施工工艺流程图</w:t>
      </w:r>
    </w:p>
    <w:p>
      <w:pPr>
        <w:pStyle w:val="Heading3"/>
        <w:keepNext/>
        <w:spacing w:after="70" w:before="120"/>
      </w:pPr>
      <w:r>
        <w:rPr>
          <w:rFonts w:ascii="黑体" w:eastAsia="黑体" w:hAnsi="黑体"/>
          <w:b/>
          <w:bCs/>
          <w:i w:val="false"/>
          <w:iCs w:val="false"/>
          <w:color w:val="333333"/>
          <w:sz w:val="21"/>
          <w:szCs w:val="21"/>
        </w:rPr>
        <w:t xml:space="preserve">（四）主要分项施工规范与工艺细节</w:t>
      </w:r>
    </w:p>
    <w:p>
      <w:pPr>
        <w:spacing w:after="90" w:before="0" w:line="288" w:lineRule="auto"/>
        <w:ind w:firstLine="420"/>
        <w:jc w:val="both"/>
      </w:pPr>
      <w:r>
        <w:rPr>
          <w:rFonts w:ascii="宋体" w:eastAsia="宋体" w:hAnsi="宋体"/>
          <w:b/>
          <w:bCs/>
          <w:i w:val="false"/>
          <w:iCs w:val="false"/>
          <w:color w:val="000000"/>
          <w:sz w:val="21"/>
          <w:szCs w:val="21"/>
        </w:rPr>
        <w:t xml:space="preserve">1. 前端设备安装：</w:t>
      </w:r>
      <w:r>
        <w:rPr>
          <w:rFonts w:ascii="宋体" w:eastAsia="宋体" w:hAnsi="宋体"/>
          <w:b w:val="false"/>
          <w:bCs w:val="false"/>
          <w:i w:val="false"/>
          <w:iCs w:val="false"/>
          <w:color w:val="000000"/>
          <w:sz w:val="21"/>
          <w:szCs w:val="21"/>
        </w:rPr>
        <w:t xml:space="preserve">立杆/支架采用热镀锌件，壁装/杆装牢固可靠，抗风与承重满足要求；摄像机安装高度与俯角按点位需求确定，逆光点位加装遮光或调整角度；室外设备做好防水（IP66）、防雷与等距滴水弯；线缆预留检修余量，接头做防水处理。执行 GB 50395、GB 50348《安全防范工程技术标准》。</w:t>
      </w:r>
    </w:p>
    <w:p>
      <w:pPr>
        <w:spacing w:after="90" w:before="0" w:line="288" w:lineRule="auto"/>
        <w:ind w:firstLine="420"/>
        <w:jc w:val="both"/>
      </w:pPr>
      <w:r>
        <w:rPr>
          <w:rFonts w:ascii="宋体" w:eastAsia="宋体" w:hAnsi="宋体"/>
          <w:b/>
          <w:bCs/>
          <w:i w:val="false"/>
          <w:iCs w:val="false"/>
          <w:color w:val="000000"/>
          <w:sz w:val="21"/>
          <w:szCs w:val="21"/>
        </w:rPr>
        <w:t xml:space="preserve">2. 综合布线与桥架管线：</w:t>
      </w:r>
      <w:r>
        <w:rPr>
          <w:rFonts w:ascii="宋体" w:eastAsia="宋体" w:hAnsi="宋体"/>
          <w:b w:val="false"/>
          <w:bCs w:val="false"/>
          <w:i w:val="false"/>
          <w:iCs w:val="false"/>
          <w:color w:val="000000"/>
          <w:sz w:val="21"/>
          <w:szCs w:val="21"/>
        </w:rPr>
        <w:t xml:space="preserve">强弱电分槽敷设、间距符合规范；桥架横平竖直、接地连续，穿墙/楼板做防火封堵；网线采用超五类/六类，单段≤90m，超距采用光纤；线缆分色、两端挂牌标识，遵循 GB 50311《综合布线系统工程设计规范》与 GB/T 50312 验收规范。</w:t>
      </w:r>
    </w:p>
    <w:p>
      <w:pPr>
        <w:spacing w:after="90" w:before="0" w:line="288" w:lineRule="auto"/>
        <w:ind w:firstLine="420"/>
        <w:jc w:val="both"/>
      </w:pPr>
      <w:r>
        <w:rPr>
          <w:rFonts w:ascii="宋体" w:eastAsia="宋体" w:hAnsi="宋体"/>
          <w:b/>
          <w:bCs/>
          <w:i w:val="false"/>
          <w:iCs w:val="false"/>
          <w:color w:val="000000"/>
          <w:sz w:val="21"/>
          <w:szCs w:val="21"/>
        </w:rPr>
        <w:t xml:space="preserve">3. 接地与防雷：</w:t>
      </w:r>
      <w:r>
        <w:rPr>
          <w:rFonts w:ascii="宋体" w:eastAsia="宋体" w:hAnsi="宋体"/>
          <w:b w:val="false"/>
          <w:bCs w:val="false"/>
          <w:i w:val="false"/>
          <w:iCs w:val="false"/>
          <w:color w:val="000000"/>
          <w:sz w:val="21"/>
          <w:szCs w:val="21"/>
        </w:rPr>
        <w:t xml:space="preserve">监控系统采用联合接地，接地电阻≤4Ω（有特殊要求处≤1Ω）；室外前端与传输线路加装信号防雷器（SPD），机房设等电位接地排，执行 GB 50343《建筑物电子信息系统防雷技术规范》。</w:t>
      </w:r>
    </w:p>
    <w:p>
      <w:pPr>
        <w:spacing w:after="90" w:before="0" w:line="288" w:lineRule="auto"/>
        <w:ind w:firstLine="420"/>
        <w:jc w:val="both"/>
      </w:pPr>
      <w:r>
        <w:rPr>
          <w:rFonts w:ascii="宋体" w:eastAsia="宋体" w:hAnsi="宋体"/>
          <w:b/>
          <w:bCs/>
          <w:i w:val="false"/>
          <w:iCs w:val="false"/>
          <w:color w:val="000000"/>
          <w:sz w:val="21"/>
          <w:szCs w:val="21"/>
        </w:rPr>
        <w:t xml:space="preserve">4. 网络与专网施工：</w:t>
      </w:r>
      <w:r>
        <w:rPr>
          <w:rFonts w:ascii="宋体" w:eastAsia="宋体" w:hAnsi="宋体"/>
          <w:b w:val="false"/>
          <w:bCs w:val="false"/>
          <w:i w:val="false"/>
          <w:iCs w:val="false"/>
          <w:color w:val="000000"/>
          <w:sz w:val="21"/>
          <w:szCs w:val="21"/>
        </w:rPr>
        <w:t xml:space="preserve">核心/汇聚双上联、双机热备，光模块/光缆按链路匹配，光纤熔接损耗≤0.05dB/点并出具测试记录；VLAN 与 IP 按《IP 与线路规划表》实施；单向光闸/网闸单向策略经专项测试验证，确保禁止反向访问。</w:t>
      </w:r>
    </w:p>
    <w:p>
      <w:pPr>
        <w:spacing w:after="90" w:before="0" w:line="288" w:lineRule="auto"/>
        <w:ind w:firstLine="420"/>
        <w:jc w:val="both"/>
      </w:pPr>
      <w:r>
        <w:rPr>
          <w:rFonts w:ascii="宋体" w:eastAsia="宋体" w:hAnsi="宋体"/>
          <w:b/>
          <w:bCs/>
          <w:i w:val="false"/>
          <w:iCs w:val="false"/>
          <w:color w:val="000000"/>
          <w:sz w:val="21"/>
          <w:szCs w:val="21"/>
        </w:rPr>
        <w:t xml:space="preserve">5. 边缘存储与 AI 部署：</w:t>
      </w:r>
      <w:r>
        <w:rPr>
          <w:rFonts w:ascii="宋体" w:eastAsia="宋体" w:hAnsi="宋体"/>
          <w:b w:val="false"/>
          <w:bCs w:val="false"/>
          <w:i w:val="false"/>
          <w:iCs w:val="false"/>
          <w:color w:val="000000"/>
          <w:sz w:val="21"/>
          <w:szCs w:val="21"/>
        </w:rPr>
        <w:t xml:space="preserve">NVR 上架、组 RAID、配置录像计划与 90 天存储策略并实测容量；AI 服务器按 32 路加载算法、标定周界/越线规则，误报率优化后移交；断网续传与补录功能验证。</w:t>
      </w:r>
    </w:p>
    <w:p>
      <w:pPr>
        <w:spacing w:after="90" w:before="0" w:line="288" w:lineRule="auto"/>
        <w:ind w:firstLine="420"/>
        <w:jc w:val="both"/>
      </w:pPr>
      <w:r>
        <w:rPr>
          <w:rFonts w:ascii="宋体" w:eastAsia="宋体" w:hAnsi="宋体"/>
          <w:b/>
          <w:bCs/>
          <w:i w:val="false"/>
          <w:iCs w:val="false"/>
          <w:color w:val="000000"/>
          <w:sz w:val="21"/>
          <w:szCs w:val="21"/>
        </w:rPr>
        <w:t xml:space="preserve">6. 平台与大屏：</w:t>
      </w:r>
      <w:r>
        <w:rPr>
          <w:rFonts w:ascii="宋体" w:eastAsia="宋体" w:hAnsi="宋体"/>
          <w:b w:val="false"/>
          <w:bCs w:val="false"/>
          <w:i w:val="false"/>
          <w:iCs w:val="false"/>
          <w:color w:val="000000"/>
          <w:sz w:val="21"/>
          <w:szCs w:val="21"/>
        </w:rPr>
        <w:t xml:space="preserve">平台按 GB/T 28181 完成各单位级联/SDK 接入与报警对接；大屏钢结构承重复核、模组无缝拼接（拼缝≤3.5mm）、色彩与亮度校正；解码上墙压测≥100 路不卡顿。</w:t>
      </w:r>
    </w:p>
    <w:p>
      <w:pPr>
        <w:pStyle w:val="Heading3"/>
        <w:keepNext/>
        <w:spacing w:after="70" w:before="120"/>
      </w:pPr>
      <w:r>
        <w:rPr>
          <w:rFonts w:ascii="黑体" w:eastAsia="黑体" w:hAnsi="黑体"/>
          <w:b/>
          <w:bCs/>
          <w:i w:val="false"/>
          <w:iCs w:val="false"/>
          <w:color w:val="333333"/>
          <w:sz w:val="21"/>
          <w:szCs w:val="21"/>
        </w:rPr>
        <w:t xml:space="preserve">（五）割接方案（不停业务）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按区域分批、低峰时段割接，双系统并行比对、确认无误后切换，保留回退窗口，做到"建设不停业务、割接不留盲区"；各二级单位现有监控室本地录像与预览功能保持不变（图 5-6）。</w:t>
      </w:r>
    </w:p>
    <w:p>
      <w:pPr>
        <w:spacing w:after="40" w:before="1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781175"/>
                    </a:xfrm>
                    <a:prstGeom prst="rect">
                      <a:avLst/>
                    </a:prstGeom>
                  </pic:spPr>
                </pic:pic>
              </a:graphicData>
            </a:graphic>
          </wp:inline>
        </w:drawing>
      </w:r>
    </w:p>
    <w:p>
      <w:pPr>
        <w:spacing w:after="140"/>
        <w:jc w:val="center"/>
      </w:pPr>
      <w:r>
        <w:rPr>
          <w:rFonts w:ascii="宋体" w:eastAsia="宋体"/>
          <w:color w:val="595959"/>
          <w:sz w:val="18"/>
          <w:szCs w:val="18"/>
        </w:rPr>
        <w:t xml:space="preserve">图 5-6  割接流程图（割接不停业务）</w:t>
      </w:r>
    </w:p>
    <w:p>
      <w:pPr>
        <w:pStyle w:val="Heading2"/>
        <w:keepNext/>
        <w:spacing w:after="90" w:before="170"/>
      </w:pPr>
      <w:r>
        <w:rPr>
          <w:rFonts w:ascii="黑体" w:eastAsia="黑体" w:hAnsi="黑体"/>
          <w:b/>
          <w:bCs/>
          <w:i w:val="false"/>
          <w:iCs w:val="false"/>
          <w:color w:val="2E74B5"/>
          <w:sz w:val="24"/>
          <w:szCs w:val="24"/>
        </w:rPr>
        <w:t xml:space="preserve">第三部分　安全文明施工与环境保护措施</w:t>
      </w:r>
    </w:p>
    <w:p>
      <w:pPr>
        <w:pStyle w:val="Heading3"/>
        <w:keepNext/>
        <w:spacing w:after="70" w:before="120"/>
      </w:pPr>
      <w:r>
        <w:rPr>
          <w:rFonts w:ascii="黑体" w:eastAsia="黑体" w:hAnsi="黑体"/>
          <w:b/>
          <w:bCs/>
          <w:i w:val="false"/>
          <w:iCs w:val="false"/>
          <w:color w:val="333333"/>
          <w:sz w:val="21"/>
          <w:szCs w:val="21"/>
        </w:rPr>
        <w:t xml:space="preserve">（一）石化园区安全作业管理</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严格遵守石化园区安全管理规定，落实安全生产责任制。进入生产装置周边区域作业前，办理动火、高处、临时用电、受限空间、吊装等作业许可票证；作业前进行 JSA 危害辨识与安全交底，专职安全员旁站监护。执行 GB 26860 电力安全工作规程相关要求及园区 HSE 制度。</w:t>
      </w:r>
    </w:p>
    <w:p>
      <w:pPr>
        <w:pStyle w:val="Heading3"/>
        <w:keepNext/>
        <w:spacing w:after="70" w:before="120"/>
      </w:pPr>
      <w:r>
        <w:rPr>
          <w:rFonts w:ascii="黑体" w:eastAsia="黑体" w:hAnsi="黑体"/>
          <w:b/>
          <w:bCs/>
          <w:i w:val="false"/>
          <w:iCs w:val="false"/>
          <w:color w:val="333333"/>
          <w:sz w:val="21"/>
          <w:szCs w:val="21"/>
        </w:rPr>
        <w:t xml:space="preserve">（二）分项安全措施</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高处作业：正确使用安全带（高挂低用）、设置安全平台/防坠器，四级以上大风、雷雨天气停止高处及吊装作业；</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临时用电：一机一闸一漏一箱、TN-S 系统、定期检测，电动工具带漏电保护；</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动火作业：清除周边可燃物、配备灭火器材、办票并气体检测合格后作业，专人监火；</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受限空间：先通风检测（氧含量、可燃/有毒气体）合格、专人监护、持续检测方可进入；</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交叉作业：分区隔离、错峰施工、设置警示与围挡，防止物体打击与坠落；</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消防与应急：配备灭火器材，制定触电、火灾、高处坠落等应急预案并演练，事故即时上报。</w:t>
      </w:r>
    </w:p>
    <w:p>
      <w:pPr>
        <w:pStyle w:val="Heading3"/>
        <w:keepNext/>
        <w:spacing w:after="70" w:before="120"/>
      </w:pPr>
      <w:r>
        <w:rPr>
          <w:rFonts w:ascii="黑体" w:eastAsia="黑体" w:hAnsi="黑体"/>
          <w:b/>
          <w:bCs/>
          <w:i w:val="false"/>
          <w:iCs w:val="false"/>
          <w:color w:val="333333"/>
          <w:sz w:val="21"/>
          <w:szCs w:val="21"/>
        </w:rPr>
        <w:t xml:space="preserve">（三）文明施工与环境保护</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文明施工、工完料净场地清；材料分类码放、施工区域围挡标识清晰；废弃线缆、包装及建筑垃圾分类收集外运处置；控制噪声与扬尘，夜间施工报批；保护园区既有设施与绿化，遵守国家建筑安全及环保法律法规，杜绝环境污染事故。</w:t>
      </w:r>
    </w:p>
    <w:p>
      <w:pPr>
        <w:pStyle w:val="Heading3"/>
        <w:keepNext/>
        <w:spacing w:after="70" w:before="120"/>
      </w:pPr>
      <w:r>
        <w:rPr>
          <w:rFonts w:ascii="黑体" w:eastAsia="黑体" w:hAnsi="黑体"/>
          <w:b/>
          <w:bCs/>
          <w:i w:val="false"/>
          <w:iCs w:val="false"/>
          <w:color w:val="333333"/>
          <w:sz w:val="21"/>
          <w:szCs w:val="21"/>
        </w:rPr>
        <w:t xml:space="preserve">（四）安全保证体系与投入</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建立以项目经理为第一责任人、专职安全负责人（持 C 证）具体负责的安全保证体系；保证必要的安全投入用于防护用品、安全设施与教育培训；开展全员安全教育与技能培训，定期隐患排查治理，做到"三不伤害"，实现零责任事故目标。</w:t>
      </w:r>
    </w:p>
    <w:p>
      <w:pPr>
        <w:pStyle w:val="Heading2"/>
        <w:keepNext/>
        <w:spacing w:after="90" w:before="170"/>
      </w:pPr>
      <w:r>
        <w:rPr>
          <w:rFonts w:ascii="黑体" w:eastAsia="黑体" w:hAnsi="黑体"/>
          <w:b/>
          <w:bCs/>
          <w:i w:val="false"/>
          <w:iCs w:val="false"/>
          <w:color w:val="2E74B5"/>
          <w:sz w:val="24"/>
          <w:szCs w:val="24"/>
        </w:rPr>
        <w:t xml:space="preserve">第四部分　质量、进度与项目管理</w:t>
      </w:r>
    </w:p>
    <w:p>
      <w:pPr>
        <w:pStyle w:val="Heading3"/>
        <w:keepNext/>
        <w:spacing w:after="70" w:before="120"/>
      </w:pPr>
      <w:r>
        <w:rPr>
          <w:rFonts w:ascii="黑体" w:eastAsia="黑体" w:hAnsi="黑体"/>
          <w:b/>
          <w:bCs/>
          <w:i w:val="false"/>
          <w:iCs w:val="false"/>
          <w:color w:val="333333"/>
          <w:sz w:val="21"/>
          <w:szCs w:val="21"/>
        </w:rPr>
        <w:t xml:space="preserve">（一）质量目标与保证措施</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质量目标：合格及以上，达到国家现行相关标准及设计文件、合同技术文件要求。建立质量保证体系，执行进货检验、隐蔽工程验收、工序自检互检与专检、见证点/停止点控制；材料设备一线品牌、符合国标，杜绝以次充好；关键工序（接地电阻、光缆熔接、单向隔离、90 天存储、100 路上墙）留存测试记录并签证。执行 GB 50348《安全防范工程技术标准》验收要求。</w:t>
      </w:r>
    </w:p>
    <w:p>
      <w:pPr>
        <w:pStyle w:val="Heading3"/>
        <w:keepNext/>
        <w:spacing w:after="70" w:before="120"/>
      </w:pPr>
      <w:r>
        <w:rPr>
          <w:rFonts w:ascii="黑体" w:eastAsia="黑体" w:hAnsi="黑体"/>
          <w:b/>
          <w:bCs/>
          <w:i w:val="false"/>
          <w:iCs w:val="false"/>
          <w:color w:val="333333"/>
          <w:sz w:val="21"/>
          <w:szCs w:val="21"/>
        </w:rPr>
        <w:t xml:space="preserve">（二）进度计划与横道图</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总工期为进场后 10 周（70 日历天），采用分区并行、割接不停业务的组织方式，关键线路为"长交期设备采购—平台与大屏部署—割接联调"。各主要工序进度横道图如下（■为该周计划作业）：</w:t>
      </w:r>
    </w:p>
    <w:tbl>
      <w:tblPr>
        <w:tblW w:type="dxa" w:w="9020"/>
        <w:tblBorders>
          <w:top w:val="single" w:color="8EAADB" w:sz="4"/>
          <w:left w:val="single" w:color="8EAADB" w:sz="4"/>
          <w:bottom w:val="single" w:color="8EAADB" w:sz="4"/>
          <w:right w:val="single" w:color="8EAADB" w:sz="4"/>
          <w:insideH w:val="single" w:color="B4C6E7" w:sz="4"/>
          <w:insideV w:val="single" w:color="B4C6E7" w:sz="4"/>
        </w:tblBorders>
      </w:tblPr>
      <w:tblGrid>
        <w:gridCol w:w="2600"/>
        <w:gridCol w:w="642"/>
        <w:gridCol w:w="642"/>
        <w:gridCol w:w="642"/>
        <w:gridCol w:w="642"/>
        <w:gridCol w:w="642"/>
        <w:gridCol w:w="642"/>
        <w:gridCol w:w="642"/>
        <w:gridCol w:w="642"/>
        <w:gridCol w:w="642"/>
        <w:gridCol w:w="642"/>
      </w:tblGrid>
      <w:tr>
        <w:tc>
          <w:tcPr>
            <w:tcW w:type="dxa" w:w="26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工序 / 周次</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W1</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W2</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W3</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W4</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W5</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W6</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W7</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W8</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W9</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W10</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勘察设计与深化</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设备采购与到货检验</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前端补盲/更换施工</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网络与万兆专网施工</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边缘存储与AI部署</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统一平台部署与接入</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监控中心与LCD大屏</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分区割接与联调</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试运行与竣工验收</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培训与资料交付</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r>
    </w:tbl>
    <w:p>
      <w:pPr>
        <w:spacing w:after="90" w:before="80" w:line="288" w:lineRule="auto"/>
        <w:jc w:val="left"/>
      </w:pPr>
      <w:r>
        <w:rPr>
          <w:rFonts w:ascii="宋体" w:eastAsia="宋体" w:hAnsi="宋体"/>
          <w:b w:val="false"/>
          <w:bCs w:val="false"/>
          <w:i w:val="false"/>
          <w:iCs w:val="false"/>
          <w:color w:val="595959"/>
          <w:sz w:val="19"/>
          <w:szCs w:val="19"/>
        </w:rPr>
        <w:t xml:space="preserve">里程碑：第2周末完成深化设计与点表；第5周末主要设备到货；第8周末前端与网络/存储/AI 完成；第9周末平台、大屏与割接联调完成；第10周末试运行合格、竣工验收并交付资料。</w:t>
      </w:r>
    </w:p>
    <w:p>
      <w:pPr>
        <w:pStyle w:val="Heading3"/>
        <w:keepNext/>
        <w:spacing w:after="70" w:before="120"/>
      </w:pPr>
      <w:r>
        <w:rPr>
          <w:rFonts w:ascii="黑体" w:eastAsia="黑体" w:hAnsi="黑体"/>
          <w:b/>
          <w:bCs/>
          <w:i w:val="false"/>
          <w:iCs w:val="false"/>
          <w:color w:val="333333"/>
          <w:sz w:val="21"/>
          <w:szCs w:val="21"/>
        </w:rPr>
        <w:t xml:space="preserve">（三）项目管理要点</w:t>
      </w:r>
    </w:p>
    <w:p>
      <w:pPr>
        <w:spacing w:after="90" w:before="0" w:line="288" w:lineRule="auto"/>
        <w:ind w:firstLine="420"/>
        <w:jc w:val="both"/>
      </w:pPr>
      <w:r>
        <w:rPr>
          <w:rFonts w:ascii="宋体" w:eastAsia="宋体" w:hAnsi="宋体"/>
          <w:b/>
          <w:bCs/>
          <w:i w:val="false"/>
          <w:iCs w:val="false"/>
          <w:color w:val="000000"/>
          <w:sz w:val="21"/>
          <w:szCs w:val="21"/>
        </w:rPr>
        <w:t xml:space="preserve">1. 合同管理：</w:t>
      </w:r>
      <w:r>
        <w:rPr>
          <w:rFonts w:ascii="宋体" w:eastAsia="宋体" w:hAnsi="宋体"/>
          <w:b w:val="false"/>
          <w:bCs w:val="false"/>
          <w:i w:val="false"/>
          <w:iCs w:val="false"/>
          <w:color w:val="000000"/>
          <w:sz w:val="21"/>
          <w:szCs w:val="21"/>
        </w:rPr>
        <w:t xml:space="preserve">严格按合同与招标文件履约，变更留痕，固定总价范围内据实实施。</w:t>
      </w:r>
    </w:p>
    <w:p>
      <w:pPr>
        <w:spacing w:after="90" w:before="0" w:line="288" w:lineRule="auto"/>
        <w:ind w:firstLine="420"/>
        <w:jc w:val="both"/>
      </w:pPr>
      <w:r>
        <w:rPr>
          <w:rFonts w:ascii="宋体" w:eastAsia="宋体" w:hAnsi="宋体"/>
          <w:b/>
          <w:bCs/>
          <w:i w:val="false"/>
          <w:iCs w:val="false"/>
          <w:color w:val="000000"/>
          <w:sz w:val="21"/>
          <w:szCs w:val="21"/>
        </w:rPr>
        <w:t xml:space="preserve">2. 资源管理：</w:t>
      </w:r>
      <w:r>
        <w:rPr>
          <w:rFonts w:ascii="宋体" w:eastAsia="宋体" w:hAnsi="宋体"/>
          <w:b w:val="false"/>
          <w:bCs w:val="false"/>
          <w:i w:val="false"/>
          <w:iCs w:val="false"/>
          <w:color w:val="000000"/>
          <w:sz w:val="21"/>
          <w:szCs w:val="21"/>
        </w:rPr>
        <w:t xml:space="preserve">按进度配置人力、设备与材料，关键岗位为本企业自有员工并提供社保证明。</w:t>
      </w:r>
    </w:p>
    <w:p>
      <w:pPr>
        <w:spacing w:after="90" w:before="0" w:line="288" w:lineRule="auto"/>
        <w:ind w:firstLine="420"/>
        <w:jc w:val="both"/>
      </w:pPr>
      <w:r>
        <w:rPr>
          <w:rFonts w:ascii="宋体" w:eastAsia="宋体" w:hAnsi="宋体"/>
          <w:b/>
          <w:bCs/>
          <w:i w:val="false"/>
          <w:iCs w:val="false"/>
          <w:color w:val="000000"/>
          <w:sz w:val="21"/>
          <w:szCs w:val="21"/>
        </w:rPr>
        <w:t xml:space="preserve">3. 进度控制：</w:t>
      </w:r>
      <w:r>
        <w:rPr>
          <w:rFonts w:ascii="宋体" w:eastAsia="宋体" w:hAnsi="宋体"/>
          <w:b w:val="false"/>
          <w:bCs w:val="false"/>
          <w:i w:val="false"/>
          <w:iCs w:val="false"/>
          <w:color w:val="000000"/>
          <w:sz w:val="21"/>
          <w:szCs w:val="21"/>
        </w:rPr>
        <w:t xml:space="preserve">以周计划滚动管控，关键线路重点盯控，滞后即纠偏。</w:t>
      </w:r>
    </w:p>
    <w:p>
      <w:pPr>
        <w:spacing w:after="90" w:before="0" w:line="288" w:lineRule="auto"/>
        <w:ind w:firstLine="420"/>
        <w:jc w:val="both"/>
      </w:pPr>
      <w:r>
        <w:rPr>
          <w:rFonts w:ascii="宋体" w:eastAsia="宋体" w:hAnsi="宋体"/>
          <w:b/>
          <w:bCs/>
          <w:i w:val="false"/>
          <w:iCs w:val="false"/>
          <w:color w:val="000000"/>
          <w:sz w:val="21"/>
          <w:szCs w:val="21"/>
        </w:rPr>
        <w:t xml:space="preserve">4. 费用控制：</w:t>
      </w:r>
      <w:r>
        <w:rPr>
          <w:rFonts w:ascii="宋体" w:eastAsia="宋体" w:hAnsi="宋体"/>
          <w:b w:val="false"/>
          <w:bCs w:val="false"/>
          <w:i w:val="false"/>
          <w:iCs w:val="false"/>
          <w:color w:val="000000"/>
          <w:sz w:val="21"/>
          <w:szCs w:val="21"/>
        </w:rPr>
        <w:t xml:space="preserve">按 WBS 分解成本，动态对比预算与实际，控制在固定总价内。</w:t>
      </w:r>
    </w:p>
    <w:p>
      <w:pPr>
        <w:spacing w:after="90" w:before="0" w:line="288" w:lineRule="auto"/>
        <w:ind w:firstLine="420"/>
        <w:jc w:val="both"/>
      </w:pPr>
      <w:r>
        <w:rPr>
          <w:rFonts w:ascii="宋体" w:eastAsia="宋体" w:hAnsi="宋体"/>
          <w:b/>
          <w:bCs/>
          <w:i w:val="false"/>
          <w:iCs w:val="false"/>
          <w:color w:val="000000"/>
          <w:sz w:val="21"/>
          <w:szCs w:val="21"/>
        </w:rPr>
        <w:t xml:space="preserve">5. 沟通协调：</w:t>
      </w:r>
      <w:r>
        <w:rPr>
          <w:rFonts w:ascii="宋体" w:eastAsia="宋体" w:hAnsi="宋体"/>
          <w:b w:val="false"/>
          <w:bCs w:val="false"/>
          <w:i w:val="false"/>
          <w:iCs w:val="false"/>
          <w:color w:val="000000"/>
          <w:sz w:val="21"/>
          <w:szCs w:val="21"/>
        </w:rPr>
        <w:t xml:space="preserve">周例会+专项协调，及时对接数智中心与各二级单位，重大事项书面报备。</w:t>
      </w:r>
    </w:p>
    <w:p>
      <w:pPr>
        <w:spacing w:after="90" w:before="0" w:line="288" w:lineRule="auto"/>
        <w:ind w:firstLine="420"/>
        <w:jc w:val="both"/>
      </w:pPr>
      <w:r>
        <w:rPr>
          <w:rFonts w:ascii="宋体" w:eastAsia="宋体" w:hAnsi="宋体"/>
          <w:b/>
          <w:bCs/>
          <w:i w:val="false"/>
          <w:iCs w:val="false"/>
          <w:color w:val="000000"/>
          <w:sz w:val="21"/>
          <w:szCs w:val="21"/>
        </w:rPr>
        <w:t xml:space="preserve">6. 风险管理：</w:t>
      </w:r>
      <w:r>
        <w:rPr>
          <w:rFonts w:ascii="宋体" w:eastAsia="宋体" w:hAnsi="宋体"/>
          <w:b w:val="false"/>
          <w:bCs w:val="false"/>
          <w:i w:val="false"/>
          <w:iCs w:val="false"/>
          <w:color w:val="000000"/>
          <w:sz w:val="21"/>
          <w:szCs w:val="21"/>
        </w:rPr>
        <w:t xml:space="preserve">识别割接中断、交叉作业、交付延期等风险并制定预案与应急措施。</w:t>
      </w:r>
    </w:p>
    <w:p>
      <w:pPr>
        <w:spacing w:after="90" w:before="0" w:line="288" w:lineRule="auto"/>
        <w:ind w:firstLine="420"/>
        <w:jc w:val="both"/>
      </w:pPr>
      <w:r>
        <w:rPr>
          <w:rFonts w:ascii="宋体" w:eastAsia="宋体" w:hAnsi="宋体"/>
          <w:b/>
          <w:bCs/>
          <w:i w:val="false"/>
          <w:iCs w:val="false"/>
          <w:color w:val="000000"/>
          <w:sz w:val="21"/>
          <w:szCs w:val="21"/>
        </w:rPr>
        <w:t xml:space="preserve">7. 文件信息：</w:t>
      </w:r>
      <w:r>
        <w:rPr>
          <w:rFonts w:ascii="宋体" w:eastAsia="宋体" w:hAnsi="宋体"/>
          <w:b w:val="false"/>
          <w:bCs w:val="false"/>
          <w:i w:val="false"/>
          <w:iCs w:val="false"/>
          <w:color w:val="000000"/>
          <w:sz w:val="21"/>
          <w:szCs w:val="21"/>
        </w:rPr>
        <w:t xml:space="preserve">统一编号归档全过程资料，交付点表、IP 与线路规划表、拓扑图与运维手册。</w:t>
      </w:r>
    </w:p>
    <w:p>
      <w:pPr>
        <w:pStyle w:val="Heading2"/>
        <w:keepNext/>
        <w:spacing w:after="90" w:before="170"/>
      </w:pPr>
      <w:r>
        <w:rPr>
          <w:rFonts w:ascii="黑体" w:eastAsia="黑体" w:hAnsi="黑体"/>
          <w:b/>
          <w:bCs/>
          <w:i w:val="false"/>
          <w:iCs w:val="false"/>
          <w:color w:val="2E74B5"/>
          <w:sz w:val="24"/>
          <w:szCs w:val="24"/>
        </w:rPr>
        <w:t xml:space="preserve">第五部分　售后服务承诺</w:t>
      </w:r>
    </w:p>
    <w:p>
      <w:pPr>
        <w:pStyle w:val="Heading3"/>
        <w:keepNext/>
        <w:spacing w:after="70" w:before="120"/>
      </w:pPr>
      <w:r>
        <w:rPr>
          <w:rFonts w:ascii="黑体" w:eastAsia="黑体" w:hAnsi="黑体"/>
          <w:b/>
          <w:bCs/>
          <w:i w:val="false"/>
          <w:iCs w:val="false"/>
          <w:color w:val="333333"/>
          <w:sz w:val="21"/>
          <w:szCs w:val="21"/>
        </w:rPr>
        <w:t xml:space="preserve">1. 质保期限</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提供不少于 1 年（可按合同延长）的免费质保，自竣工验收合格之日起计；质保期内免费维修、更换非人为损坏设备与部件，软件提供版本升级与 AI 算法迭代。</w:t>
      </w:r>
    </w:p>
    <w:p>
      <w:pPr>
        <w:pStyle w:val="Heading3"/>
        <w:keepNext/>
        <w:spacing w:after="70" w:before="120"/>
      </w:pPr>
      <w:r>
        <w:rPr>
          <w:rFonts w:ascii="黑体" w:eastAsia="黑体" w:hAnsi="黑体"/>
          <w:b/>
          <w:bCs/>
          <w:i w:val="false"/>
          <w:iCs w:val="false"/>
          <w:color w:val="333333"/>
          <w:sz w:val="21"/>
          <w:szCs w:val="21"/>
        </w:rPr>
        <w:t xml:space="preserve">2. 响应时效</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7×24 小时报障响应：一般故障 2 小时内响应、24 小时内解决；重大故障 2 小时内响应、按约定时限到场；紧急故障优先处置并提供临时替代方案。</w:t>
      </w:r>
    </w:p>
    <w:p>
      <w:pPr>
        <w:pStyle w:val="Heading3"/>
        <w:keepNext/>
        <w:spacing w:after="70" w:before="120"/>
      </w:pPr>
      <w:r>
        <w:rPr>
          <w:rFonts w:ascii="黑体" w:eastAsia="黑体" w:hAnsi="黑体"/>
          <w:b/>
          <w:bCs/>
          <w:i w:val="false"/>
          <w:iCs w:val="false"/>
          <w:color w:val="333333"/>
          <w:sz w:val="21"/>
          <w:szCs w:val="21"/>
        </w:rPr>
        <w:t xml:space="preserve">3. 服务团队与备件</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设立本地化服务团队与专职售后联系人，建立备品备件库；提供海康威视、华为原厂技术支持通道。</w:t>
      </w:r>
    </w:p>
    <w:p>
      <w:pPr>
        <w:pStyle w:val="Heading3"/>
        <w:keepNext/>
        <w:spacing w:after="70" w:before="120"/>
      </w:pPr>
      <w:r>
        <w:rPr>
          <w:rFonts w:ascii="黑体" w:eastAsia="黑体" w:hAnsi="黑体"/>
          <w:b/>
          <w:bCs/>
          <w:i w:val="false"/>
          <w:iCs w:val="false"/>
          <w:color w:val="333333"/>
          <w:sz w:val="21"/>
          <w:szCs w:val="21"/>
        </w:rPr>
        <w:t xml:space="preserve">4. 定期巡检与运维</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质保期内每季度不少于一次巡检，对平台、存储、网络与前端进行健康检查、固件升级与隐患排查，形成巡检报告。</w:t>
      </w:r>
    </w:p>
    <w:p>
      <w:pPr>
        <w:pStyle w:val="Heading3"/>
        <w:keepNext/>
        <w:spacing w:after="70" w:before="120"/>
      </w:pPr>
      <w:r>
        <w:rPr>
          <w:rFonts w:ascii="黑体" w:eastAsia="黑体" w:hAnsi="黑体"/>
          <w:b/>
          <w:bCs/>
          <w:i w:val="false"/>
          <w:iCs w:val="false"/>
          <w:color w:val="333333"/>
          <w:sz w:val="21"/>
          <w:szCs w:val="21"/>
        </w:rPr>
        <w:t xml:space="preserve">5. 培训</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面向监控值班、数智中心管理员及各二级单位维保人员分层培训，交付操作与运维手册。</w:t>
      </w:r>
    </w:p>
    <w:p>
      <w:pPr>
        <w:pStyle w:val="Heading3"/>
        <w:keepNext/>
        <w:spacing w:after="70" w:before="120"/>
      </w:pPr>
      <w:r>
        <w:rPr>
          <w:rFonts w:ascii="黑体" w:eastAsia="黑体" w:hAnsi="黑体"/>
          <w:b/>
          <w:bCs/>
          <w:i w:val="false"/>
          <w:iCs w:val="false"/>
          <w:color w:val="333333"/>
          <w:sz w:val="21"/>
          <w:szCs w:val="21"/>
        </w:rPr>
        <w:t xml:space="preserve">6. 竣工资料与验收</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交付点表、IP 与线路规划表、拓扑图、平台配置文档、操作与运维手册；配合竣工验收与质保金手续，缺陷责任期满按约办理。</w:t>
      </w:r>
    </w:p>
    <w:p>
      <w:pPr>
        <w:pStyle w:val="Heading1"/>
        <w:keepNext/>
        <w:pageBreakBefore/>
        <w:spacing w:after="130" w:before="260"/>
      </w:pPr>
      <w:r>
        <w:rPr>
          <w:rFonts w:ascii="黑体" w:eastAsia="黑体" w:hAnsi="黑体"/>
          <w:b/>
          <w:bCs/>
          <w:i w:val="false"/>
          <w:iCs w:val="false"/>
          <w:color w:val="1F4E79"/>
          <w:sz w:val="30"/>
          <w:szCs w:val="30"/>
        </w:rPr>
        <w:t xml:space="preserve">六、项目管理机构</w:t>
      </w:r>
    </w:p>
    <w:p>
      <w:pPr>
        <w:pStyle w:val="Heading2"/>
        <w:keepNext/>
        <w:spacing w:after="90" w:before="170"/>
      </w:pPr>
      <w:r>
        <w:rPr>
          <w:rFonts w:ascii="黑体" w:eastAsia="黑体" w:hAnsi="黑体"/>
          <w:b/>
          <w:bCs/>
          <w:i w:val="false"/>
          <w:iCs w:val="false"/>
          <w:color w:val="2E74B5"/>
          <w:sz w:val="24"/>
          <w:szCs w:val="24"/>
        </w:rPr>
        <w:t xml:space="preserve">（一）项目管理机构组成表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项目经理须具备相应专业二级及以上注册建造师执业证且未担任其它在建工程项目经理；技术负责人具中级及以上职称；安全负责人具安全生产考核合格证（C 证）；质量员、施工员配备齐全。所列人员均为本企业自有员工并提供近 6 个月社保证明（详见"七、资格审查资料·社保人员一览表"）。</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2000"/>
        <w:gridCol w:w="1100"/>
        <w:gridCol w:w="1250"/>
        <w:gridCol w:w="2626"/>
        <w:gridCol w:w="850"/>
        <w:gridCol w:w="1200"/>
      </w:tblGrid>
      <w:tr>
        <w:tc>
          <w:tcPr>
            <w:tcW w:type="dxa" w:w="20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职务</w:t>
            </w:r>
          </w:p>
        </w:tc>
        <w:tc>
          <w:tcPr>
            <w:tcW w:type="dxa" w:w="11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姓名</w:t>
            </w:r>
          </w:p>
        </w:tc>
        <w:tc>
          <w:tcPr>
            <w:tcW w:type="dxa" w:w="125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职称</w:t>
            </w:r>
          </w:p>
        </w:tc>
        <w:tc>
          <w:tcPr>
            <w:tcW w:type="dxa" w:w="26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执业/职业资格（证书·级别·证号）</w:t>
            </w:r>
          </w:p>
        </w:tc>
        <w:tc>
          <w:tcPr>
            <w:tcW w:type="dxa" w:w="85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社保</w:t>
            </w:r>
          </w:p>
        </w:tc>
        <w:tc>
          <w:tcPr>
            <w:tcW w:type="dxa" w:w="12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身份证号</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项目经理</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曾维杰</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二级注册建造师（机电/建筑），证号见附件</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421023199403117313</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技术负责人</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陈漫生</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中级职称（智能化/电子信息）</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420117199201283919</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安全负责人</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丁维</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安全生产考核合格证（C证）</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422202198208100052</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质量负责人（质量员）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方平</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质量员岗位证书</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420222198703079426</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施工负责人（施工员）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梅明建</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施工员岗位证书</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362527199207111712</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资料员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李美娴</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资料员岗位证书</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441323199312063727</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安装/弱电工程师</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王海龙</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弱电/网络工程</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42058319880514403X</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网络与平台工程师</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谢杰平</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网络/系统集成</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44162319831129201X</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AI与存储调试工程师</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杨月超</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智能分析/存储</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430522198608294935</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造价/合约员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陈舒婷</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造价/合约管理</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441423199602232061</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材料/采购员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庞超萍</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材料与采购管理</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450923198408258763</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测量/质检员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周贺林</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质量检验</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362401198502204037</w:t>
            </w:r>
          </w:p>
        </w:tc>
      </w:tr>
      <w:tr>
        <w:tc>
          <w:tcPr>
            <w:tcW w:type="dxa" w:w="20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综合协调/文明施工员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朱照祥</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安全文明施工</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513723198509020891</w:t>
            </w:r>
          </w:p>
        </w:tc>
      </w:tr>
    </w:tbl>
    <w:p>
      <w:pPr>
        <w:spacing w:after="90" w:before="80" w:line="288" w:lineRule="auto"/>
        <w:jc w:val="left"/>
      </w:pPr>
      <w:r>
        <w:rPr>
          <w:rFonts w:ascii="宋体" w:eastAsia="宋体" w:hAnsi="宋体"/>
          <w:b w:val="false"/>
          <w:bCs w:val="false"/>
          <w:i w:val="false"/>
          <w:iCs w:val="false"/>
          <w:color w:val="595959"/>
          <w:sz w:val="19"/>
          <w:szCs w:val="19"/>
        </w:rPr>
        <w:t xml:space="preserve">注：以上人员均为本企业自有员工、社保连续在缴（2024.09—2026.08）；项目经理、技术负责人、安全负责人及质量/施工/资料员齐全，实际执业/职业资格证号及职称证书以随附扫描件为准。项目经理在本项目实施期间不担任其他在建项目职务。</w:t>
      </w:r>
    </w:p>
    <w:p>
      <w:pPr>
        <w:pStyle w:val="Heading2"/>
        <w:keepNext/>
        <w:spacing w:after="90" w:before="170"/>
      </w:pPr>
      <w:r>
        <w:rPr>
          <w:rFonts w:ascii="黑体" w:eastAsia="黑体" w:hAnsi="黑体"/>
          <w:b/>
          <w:bCs/>
          <w:i w:val="false"/>
          <w:iCs w:val="false"/>
          <w:color w:val="2E74B5"/>
          <w:sz w:val="24"/>
          <w:szCs w:val="24"/>
        </w:rPr>
        <w:t xml:space="preserve">（二）项目经理简历表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应附注册建造师执业资格证书、身份证、职称证、学历证、养老保险复印件；管理过的项目业绩须附合同协议书复印件。</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1400"/>
        <w:gridCol w:w="1600"/>
        <w:gridCol w:w="1200"/>
        <w:gridCol w:w="1400"/>
        <w:gridCol w:w="1400"/>
        <w:gridCol w:w="2026"/>
      </w:tblGrid>
      <w:tr>
        <w:tc>
          <w:tcPr>
            <w:tcW w:type="dxa" w:w="14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姓名</w:t>
            </w:r>
          </w:p>
        </w:tc>
        <w:tc>
          <w:tcPr>
            <w:tcW w:type="dxa" w:w="16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c>
          <w:tcPr>
            <w:tcW w:type="dxa" w:w="1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年龄</w:t>
            </w:r>
          </w:p>
        </w:tc>
        <w:tc>
          <w:tcPr>
            <w:tcW w:type="dxa" w:w="14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c>
          <w:tcPr>
            <w:tcW w:type="dxa" w:w="14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学历</w:t>
            </w:r>
          </w:p>
        </w:tc>
        <w:tc>
          <w:tcPr>
            <w:tcW w:type="dxa" w:w="20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14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职称</w:t>
            </w:r>
          </w:p>
        </w:tc>
        <w:tc>
          <w:tcPr>
            <w:tcW w:type="dxa" w:w="16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c>
          <w:tcPr>
            <w:tcW w:type="dxa" w:w="1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职务</w:t>
            </w:r>
          </w:p>
        </w:tc>
        <w:tc>
          <w:tcPr>
            <w:tcW w:type="dxa" w:w="14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c>
          <w:tcPr>
            <w:tcW w:type="dxa" w:w="14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拟任本合同</w:t>
            </w:r>
          </w:p>
        </w:tc>
        <w:tc>
          <w:tcPr>
            <w:tcW w:type="dxa" w:w="20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项目经理</w:t>
            </w:r>
          </w:p>
        </w:tc>
      </w:tr>
      <w:tr>
        <w:tc>
          <w:tcPr>
            <w:tcW w:type="dxa" w:w="3000"/>
            <w:gridSpan w:val="2"/>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注册建造师证号</w:t>
            </w:r>
          </w:p>
        </w:tc>
        <w:tc>
          <w:tcPr>
            <w:tcW w:type="dxa" w:w="6026"/>
            <w:gridSpan w:val="4"/>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9026"/>
            <w:gridSpan w:val="6"/>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主要工作经历（类似项目、担任职务、发包人及联系电话）</w:t>
            </w:r>
          </w:p>
        </w:tc>
      </w:tr>
      <w:tr>
        <w:tc>
          <w:tcPr>
            <w:tcW w:type="dxa" w:w="9026"/>
            <w:gridSpan w:val="6"/>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9026"/>
            <w:gridSpan w:val="6"/>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9026"/>
            <w:gridSpan w:val="6"/>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bl>
    <w:p>
      <w:pPr>
        <w:pStyle w:val="Heading1"/>
        <w:keepNext/>
        <w:pageBreakBefore/>
        <w:spacing w:after="130" w:before="260"/>
      </w:pPr>
      <w:r>
        <w:rPr>
          <w:rFonts w:ascii="黑体" w:eastAsia="黑体" w:hAnsi="黑体"/>
          <w:b/>
          <w:bCs/>
          <w:i w:val="false"/>
          <w:iCs w:val="false"/>
          <w:color w:val="1F4E79"/>
          <w:sz w:val="30"/>
          <w:szCs w:val="30"/>
        </w:rPr>
        <w:t xml:space="preserve">七、资格审查资料</w:t>
      </w:r>
    </w:p>
    <w:p>
      <w:pPr>
        <w:pStyle w:val="Heading2"/>
        <w:keepNext/>
        <w:spacing w:after="90" w:before="170"/>
      </w:pPr>
      <w:r>
        <w:rPr>
          <w:rFonts w:ascii="黑体" w:eastAsia="黑体" w:hAnsi="黑体"/>
          <w:b/>
          <w:bCs/>
          <w:i w:val="false"/>
          <w:iCs w:val="false"/>
          <w:color w:val="2E74B5"/>
          <w:sz w:val="24"/>
          <w:szCs w:val="24"/>
        </w:rPr>
        <w:t xml:space="preserve">（一）报价人基本情况表</w:t>
      </w:r>
    </w:p>
    <w:tbl>
      <w:tblPr>
        <w:tblW w:type="dxa" w:w="8426"/>
        <w:tblBorders>
          <w:top w:val="single" w:color="8EAADB" w:sz="4"/>
          <w:left w:val="single" w:color="8EAADB" w:sz="4"/>
          <w:bottom w:val="single" w:color="8EAADB" w:sz="4"/>
          <w:right w:val="single" w:color="8EAADB" w:sz="4"/>
          <w:insideH w:val="single" w:color="B4C6E7" w:sz="4"/>
          <w:insideV w:val="single" w:color="B4C6E7" w:sz="4"/>
        </w:tblBorders>
      </w:tblPr>
      <w:tblGrid>
        <w:gridCol w:w="2000"/>
        <w:gridCol w:w="2626"/>
        <w:gridCol w:w="1800"/>
        <w:gridCol w:w="2000"/>
      </w:tblGrid>
      <w:tr>
        <w:tc>
          <w:tcPr>
            <w:tcW w:type="dxa" w:w="20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报价人名称</w:t>
            </w:r>
          </w:p>
        </w:tc>
        <w:tc>
          <w:tcPr>
            <w:tcW w:type="dxa" w:w="6426"/>
            <w:gridSpan w:val="3"/>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深圳鹏网智能股份有限公司</w:t>
            </w:r>
          </w:p>
        </w:tc>
      </w:tr>
      <w:tr>
        <w:tc>
          <w:tcPr>
            <w:tcW w:type="dxa" w:w="20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注册地址</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深圳市福田区莲花街道康欣社区香梅路2002号俊景豪园2栋8A</w:t>
            </w:r>
          </w:p>
        </w:tc>
        <w:tc>
          <w:tcPr>
            <w:tcW w:type="dxa" w:w="18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统一社会信用代码</w:t>
            </w:r>
          </w:p>
        </w:tc>
        <w:tc>
          <w:tcPr>
            <w:tcW w:type="dxa" w:w="20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91440300727136267R</w:t>
            </w:r>
          </w:p>
        </w:tc>
      </w:tr>
      <w:tr>
        <w:tc>
          <w:tcPr>
            <w:tcW w:type="dxa" w:w="20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法定代表人</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冯小青</w:t>
            </w:r>
          </w:p>
        </w:tc>
        <w:tc>
          <w:tcPr>
            <w:tcW w:type="dxa" w:w="18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企业类型</w:t>
            </w:r>
          </w:p>
        </w:tc>
        <w:tc>
          <w:tcPr>
            <w:tcW w:type="dxa" w:w="20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股份有限公司(非上市、自然人投资或控股)</w:t>
            </w:r>
          </w:p>
        </w:tc>
      </w:tr>
      <w:tr>
        <w:tc>
          <w:tcPr>
            <w:tcW w:type="dxa" w:w="20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成立时间</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2001年3月5日</w:t>
            </w:r>
          </w:p>
        </w:tc>
        <w:tc>
          <w:tcPr>
            <w:tcW w:type="dxa" w:w="18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核准日期</w:t>
            </w:r>
          </w:p>
        </w:tc>
        <w:tc>
          <w:tcPr>
            <w:tcW w:type="dxa" w:w="20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2025-07-09</w:t>
            </w:r>
          </w:p>
        </w:tc>
      </w:tr>
      <w:tr>
        <w:tc>
          <w:tcPr>
            <w:tcW w:type="dxa" w:w="20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注册资本</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2333万元人民币</w:t>
            </w:r>
          </w:p>
        </w:tc>
        <w:tc>
          <w:tcPr>
            <w:tcW w:type="dxa" w:w="18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实收资本</w:t>
            </w:r>
          </w:p>
        </w:tc>
        <w:tc>
          <w:tcPr>
            <w:tcW w:type="dxa" w:w="20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1333万元</w:t>
            </w:r>
          </w:p>
        </w:tc>
      </w:tr>
      <w:tr>
        <w:tc>
          <w:tcPr>
            <w:tcW w:type="dxa" w:w="20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登记机关</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深圳市市场监督管理局</w:t>
            </w:r>
          </w:p>
        </w:tc>
        <w:tc>
          <w:tcPr>
            <w:tcW w:type="dxa" w:w="18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登记状态</w:t>
            </w:r>
          </w:p>
        </w:tc>
        <w:tc>
          <w:tcPr>
            <w:tcW w:type="dxa" w:w="20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存续（在营）</w:t>
            </w:r>
          </w:p>
        </w:tc>
      </w:tr>
      <w:tr>
        <w:tc>
          <w:tcPr>
            <w:tcW w:type="dxa" w:w="20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企业资质等级</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电子与智能化工程专业承包壹级</w:t>
            </w:r>
          </w:p>
        </w:tc>
        <w:tc>
          <w:tcPr>
            <w:tcW w:type="dxa" w:w="18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安防设计施工</w:t>
            </w:r>
          </w:p>
        </w:tc>
        <w:tc>
          <w:tcPr>
            <w:tcW w:type="dxa" w:w="20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能力壹级</w:t>
            </w:r>
          </w:p>
        </w:tc>
      </w:tr>
      <w:tr>
        <w:tc>
          <w:tcPr>
            <w:tcW w:type="dxa" w:w="20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联系电话</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18938906573</w:t>
            </w:r>
          </w:p>
        </w:tc>
        <w:tc>
          <w:tcPr>
            <w:tcW w:type="dxa" w:w="18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员工总人数</w:t>
            </w:r>
          </w:p>
        </w:tc>
        <w:tc>
          <w:tcPr>
            <w:tcW w:type="dxa" w:w="20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20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开户银行</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
            </w:r>
          </w:p>
        </w:tc>
        <w:tc>
          <w:tcPr>
            <w:tcW w:type="dxa" w:w="18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账号</w:t>
            </w:r>
          </w:p>
        </w:tc>
        <w:tc>
          <w:tcPr>
            <w:tcW w:type="dxa" w:w="20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20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经营范围</w:t>
            </w:r>
          </w:p>
        </w:tc>
        <w:tc>
          <w:tcPr>
            <w:tcW w:type="dxa" w:w="6426"/>
            <w:gridSpan w:val="3"/>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安全技术防范工程的设计、施工；建筑智能化工程；计算机系统集成；网络工程；计算机机房工程；机电设备安装工程；软件开发；信息系统集成服务；物联网技术服务；建筑装饰装修工程；建筑劳务分包等。</w:t>
            </w:r>
          </w:p>
        </w:tc>
      </w:tr>
    </w:tbl>
    <w:p>
      <w:pPr>
        <w:spacing w:after="90" w:before="80" w:line="288" w:lineRule="auto"/>
        <w:jc w:val="left"/>
      </w:pPr>
      <w:r>
        <w:rPr>
          <w:rFonts w:ascii="宋体" w:eastAsia="宋体" w:hAnsi="宋体"/>
          <w:b w:val="false"/>
          <w:bCs w:val="false"/>
          <w:i w:val="false"/>
          <w:iCs w:val="false"/>
          <w:color w:val="595959"/>
          <w:sz w:val="19"/>
          <w:szCs w:val="19"/>
        </w:rPr>
        <w:t xml:space="preserve">说明：满足招标资格要求——电子与智能化工程专业承包贰级及以上（我方为壹级）、在有效期内的安全生产许可证、营业执照（多证合一）。开户行/账号、员工与职称人数由投标人据实填写。</w:t>
      </w:r>
    </w:p>
    <w:p>
      <w:pPr>
        <w:pStyle w:val="Heading2"/>
        <w:keepNext/>
        <w:spacing w:after="90" w:before="170"/>
      </w:pPr>
      <w:r>
        <w:rPr>
          <w:rFonts w:ascii="黑体" w:eastAsia="黑体" w:hAnsi="黑体"/>
          <w:b/>
          <w:bCs/>
          <w:i w:val="false"/>
          <w:iCs w:val="false"/>
          <w:color w:val="2E74B5"/>
          <w:sz w:val="24"/>
          <w:szCs w:val="24"/>
        </w:rPr>
        <w:t xml:space="preserve">（二）近三年财务状况表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连续三年（2023—2025 年）经第三方审计的年度财务报告主要指标如下（单位：万元；详见随附审计财务报表）：</w:t>
      </w:r>
    </w:p>
    <w:tbl>
      <w:tblPr>
        <w:tblW w:type="dxa" w:w="8026"/>
        <w:tblBorders>
          <w:top w:val="single" w:color="8EAADB" w:sz="4"/>
          <w:left w:val="single" w:color="8EAADB" w:sz="4"/>
          <w:bottom w:val="single" w:color="8EAADB" w:sz="4"/>
          <w:right w:val="single" w:color="8EAADB" w:sz="4"/>
          <w:insideH w:val="single" w:color="B4C6E7" w:sz="4"/>
          <w:insideV w:val="single" w:color="B4C6E7" w:sz="4"/>
        </w:tblBorders>
      </w:tblPr>
      <w:tblGrid>
        <w:gridCol w:w="2600"/>
        <w:gridCol w:w="1808"/>
        <w:gridCol w:w="1808"/>
        <w:gridCol w:w="1810"/>
      </w:tblGrid>
      <w:tr>
        <w:tc>
          <w:tcPr>
            <w:tcW w:type="dxa" w:w="26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指标 / 年度</w:t>
            </w:r>
          </w:p>
        </w:tc>
        <w:tc>
          <w:tcPr>
            <w:tcW w:type="dxa" w:w="1808"/>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2023 年</w:t>
            </w:r>
          </w:p>
        </w:tc>
        <w:tc>
          <w:tcPr>
            <w:tcW w:type="dxa" w:w="1808"/>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2024 年</w:t>
            </w:r>
          </w:p>
        </w:tc>
        <w:tc>
          <w:tcPr>
            <w:tcW w:type="dxa" w:w="181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2025 年</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营业收入</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4002.01</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5281.47</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3785.00</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净利润</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81.33</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459.82</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-46.35</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资产总额</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6244.44</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4965.23</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3286.53</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负债总额</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4566.98</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2827.15</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1193.91</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所有者权益</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1677.46</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2138.09</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2092.62</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经营活动现金流净额</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-261.12</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157.63</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-127.42</w:t>
            </w:r>
          </w:p>
        </w:tc>
      </w:tr>
    </w:tbl>
    <w:p>
      <w:pPr>
        <w:spacing w:after="90" w:before="80" w:line="288" w:lineRule="auto"/>
        <w:jc w:val="left"/>
      </w:pPr>
      <w:r>
        <w:rPr>
          <w:rFonts w:ascii="宋体" w:eastAsia="宋体" w:hAnsi="宋体"/>
          <w:b w:val="false"/>
          <w:bCs w:val="false"/>
          <w:i w:val="false"/>
          <w:iCs w:val="false"/>
          <w:color w:val="595959"/>
          <w:sz w:val="19"/>
          <w:szCs w:val="19"/>
        </w:rPr>
        <w:t xml:space="preserve">注：近三年未出现连续三年亏损（2023、2024 年度均盈利），资产负债率逐年下降、无银行借款，资金运用状况良好，具备承担本项目的财务能力。</w:t>
      </w:r>
    </w:p>
    <w:p>
      <w:pPr>
        <w:pStyle w:val="Heading2"/>
        <w:keepNext/>
        <w:spacing w:after="90" w:before="170"/>
      </w:pPr>
      <w:r>
        <w:rPr>
          <w:rFonts w:ascii="黑体" w:eastAsia="黑体" w:hAnsi="黑体"/>
          <w:b/>
          <w:bCs/>
          <w:i w:val="false"/>
          <w:iCs w:val="false"/>
          <w:color w:val="2E74B5"/>
          <w:sz w:val="24"/>
          <w:szCs w:val="24"/>
        </w:rPr>
        <w:t xml:space="preserve">（三）近年完成的类似项目业绩一览表</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600"/>
        <w:gridCol w:w="4200"/>
        <w:gridCol w:w="1500"/>
        <w:gridCol w:w="1400"/>
        <w:gridCol w:w="1326"/>
      </w:tblGrid>
      <w:tr>
        <w:tc>
          <w:tcPr>
            <w:tcW w:type="dxa" w:w="6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序号</w:t>
            </w:r>
          </w:p>
        </w:tc>
        <w:tc>
          <w:tcPr>
            <w:tcW w:type="dxa" w:w="42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工程名称</w:t>
            </w:r>
          </w:p>
        </w:tc>
        <w:tc>
          <w:tcPr>
            <w:tcW w:type="dxa" w:w="15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建设地点</w:t>
            </w:r>
          </w:p>
        </w:tc>
        <w:tc>
          <w:tcPr>
            <w:tcW w:type="dxa" w:w="14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时间</w:t>
            </w:r>
          </w:p>
        </w:tc>
        <w:tc>
          <w:tcPr>
            <w:tcW w:type="dxa" w:w="13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合同价（万元）</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w:t>
            </w:r>
          </w:p>
        </w:tc>
        <w:tc>
          <w:tcPr>
            <w:tcW w:type="dxa" w:w="42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山东高端化工研究院智能化项目</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山东菏泽</w:t>
            </w:r>
          </w:p>
        </w:tc>
        <w:tc>
          <w:tcPr>
            <w:tcW w:type="dxa" w:w="14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2025.01</w:t>
            </w:r>
          </w:p>
        </w:tc>
        <w:tc>
          <w:tcPr>
            <w:tcW w:type="dxa" w:w="13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553.25</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w:t>
            </w:r>
          </w:p>
        </w:tc>
        <w:tc>
          <w:tcPr>
            <w:tcW w:type="dxa" w:w="42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福田外国语学校小学部（侨香小学）智能化系统工程</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广东深圳</w:t>
            </w:r>
          </w:p>
        </w:tc>
        <w:tc>
          <w:tcPr>
            <w:tcW w:type="dxa" w:w="14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2020.07</w:t>
            </w:r>
          </w:p>
        </w:tc>
        <w:tc>
          <w:tcPr>
            <w:tcW w:type="dxa" w:w="13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716.21</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w:t>
            </w:r>
          </w:p>
        </w:tc>
        <w:tc>
          <w:tcPr>
            <w:tcW w:type="dxa" w:w="42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深圳担保集团有限公司办公总部装饰改造工程</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广东深圳</w:t>
            </w:r>
          </w:p>
        </w:tc>
        <w:tc>
          <w:tcPr>
            <w:tcW w:type="dxa" w:w="14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2022.06</w:t>
            </w:r>
          </w:p>
        </w:tc>
        <w:tc>
          <w:tcPr>
            <w:tcW w:type="dxa" w:w="13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499.10</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w:t>
            </w:r>
          </w:p>
        </w:tc>
        <w:tc>
          <w:tcPr>
            <w:tcW w:type="dxa" w:w="42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东源县120急救指挥中心建设项目智能化系统采购项目</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广东河源</w:t>
            </w:r>
          </w:p>
        </w:tc>
        <w:tc>
          <w:tcPr>
            <w:tcW w:type="dxa" w:w="14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2021.01</w:t>
            </w:r>
          </w:p>
        </w:tc>
        <w:tc>
          <w:tcPr>
            <w:tcW w:type="dxa" w:w="13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290.00</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w:t>
            </w:r>
          </w:p>
        </w:tc>
        <w:tc>
          <w:tcPr>
            <w:tcW w:type="dxa" w:w="42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2026年深汕公安警用无人机网络服务ICT项目框架实施合同</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广东深汕</w:t>
            </w:r>
          </w:p>
        </w:tc>
        <w:tc>
          <w:tcPr>
            <w:tcW w:type="dxa" w:w="14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2026.04</w:t>
            </w:r>
          </w:p>
        </w:tc>
        <w:tc>
          <w:tcPr>
            <w:tcW w:type="dxa" w:w="13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22.44</w:t>
            </w:r>
          </w:p>
        </w:tc>
      </w:tr>
    </w:tbl>
    <w:p>
      <w:pPr>
        <w:spacing w:after="90" w:before="80" w:line="288" w:lineRule="auto"/>
        <w:jc w:val="left"/>
      </w:pPr>
      <w:r>
        <w:rPr>
          <w:rFonts w:ascii="宋体" w:eastAsia="宋体" w:hAnsi="宋体"/>
          <w:b w:val="false"/>
          <w:bCs w:val="false"/>
          <w:i w:val="false"/>
          <w:iCs w:val="false"/>
          <w:color w:val="595959"/>
          <w:sz w:val="19"/>
          <w:szCs w:val="19"/>
        </w:rPr>
        <w:t xml:space="preserve">注：上述业绩含"山东高端化工研究院智能化项目"等化工/园区智能化同类工程，业绩合同协议书复印件另附。</w:t>
      </w:r>
    </w:p>
    <w:p>
      <w:pPr>
        <w:pStyle w:val="Heading2"/>
        <w:keepNext/>
        <w:spacing w:after="90" w:before="170"/>
      </w:pPr>
      <w:r>
        <w:rPr>
          <w:rFonts w:ascii="黑体" w:eastAsia="黑体" w:hAnsi="黑体"/>
          <w:b/>
          <w:bCs/>
          <w:i w:val="false"/>
          <w:iCs w:val="false"/>
          <w:color w:val="2E74B5"/>
          <w:sz w:val="24"/>
          <w:szCs w:val="24"/>
        </w:rPr>
        <w:t xml:space="preserve">（四）拟投入人员社保一览表（本企业自有员工）</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下列人员为本企业自有员工，已连续缴纳社会保险（2024 年 9 月至 2026 年 8 月），参保单位：深圳鹏网智能股份有限公司（单位编号 283465）。社保缴费明细见随附证明。</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700"/>
        <w:gridCol w:w="2200"/>
        <w:gridCol w:w="4200"/>
        <w:gridCol w:w="1926"/>
      </w:tblGrid>
      <w:tr>
        <w:tc>
          <w:tcPr>
            <w:tcW w:type="dxa" w:w="7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序号</w:t>
            </w:r>
          </w:p>
        </w:tc>
        <w:tc>
          <w:tcPr>
            <w:tcW w:type="dxa" w:w="22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姓名</w:t>
            </w:r>
          </w:p>
        </w:tc>
        <w:tc>
          <w:tcPr>
            <w:tcW w:type="dxa" w:w="42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身份证号码</w:t>
            </w:r>
          </w:p>
        </w:tc>
        <w:tc>
          <w:tcPr>
            <w:tcW w:type="dxa" w:w="19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社保状态</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曾维杰</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421023199403117313</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陈漫生</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420117199201283919</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陈舒婷</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441423199602232061</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丁维</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422202198208100052</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方平</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420222198703079426</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6</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李美娴</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441323199312063727</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7</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梅明建</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362527199207111712</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8</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庞超萍</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450923198408258763</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9</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王海龙</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42058319880514403X</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10</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谢杰平</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44162319831129201X</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杨月超</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430522198608294935</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12</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周贺林</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362401198502204037</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13</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朱照祥</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513723198509020891</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bl>
    <w:p>
      <w:pPr>
        <w:pStyle w:val="Heading2"/>
        <w:keepNext/>
        <w:spacing w:after="90" w:before="170"/>
      </w:pPr>
      <w:r>
        <w:rPr>
          <w:rFonts w:ascii="黑体" w:eastAsia="黑体" w:hAnsi="黑体"/>
          <w:b/>
          <w:bCs/>
          <w:i w:val="false"/>
          <w:iCs w:val="false"/>
          <w:color w:val="2E74B5"/>
          <w:sz w:val="24"/>
          <w:szCs w:val="24"/>
        </w:rPr>
        <w:t xml:space="preserve">（五）资信与诚信证明</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电子与智能化工程专业承包壹级：粤建许深准〔2021〕1728号（有效期至 2026-12-06）；</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建筑施工企业安全生产许可证：粤建许质深准〔2023〕4483号（有效期至 2026-10-11）；</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安防设计施工能力壹级、建筑劳务分包资质；</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质量/环境/职业健康安全/信息安全/服务管理体系认证：ISO 9001、ISO 14001、ISO 45001、ISO 27001、ISO 20000；</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纳税信用 A 级纳税人（2020—2025 连续六年），系"守信激励对象"；</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信用中国及全国企业信用信息公示系统：无严重失信、无经营异常、无失信被执行人记录（网页截图另附）；</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三年无重大安全事故承诺书（加盖公章）、近三年未被暂停报价资格承诺书；</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多项实用新型专利与软件著作权（智慧园区、楼宇安防、物联监测等）。</w:t>
      </w:r>
    </w:p>
    <w:p>
      <w:pPr>
        <w:pStyle w:val="Heading2"/>
        <w:keepNext/>
        <w:spacing w:after="90" w:before="170"/>
      </w:pPr>
      <w:r>
        <w:rPr>
          <w:rFonts w:ascii="黑体" w:eastAsia="黑体" w:hAnsi="黑体"/>
          <w:b/>
          <w:bCs/>
          <w:i w:val="false"/>
          <w:iCs w:val="false"/>
          <w:color w:val="2E74B5"/>
          <w:sz w:val="24"/>
          <w:szCs w:val="24"/>
        </w:rPr>
        <w:t xml:space="preserve">（六）其他资格审查资料（清单）</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企业法人营业执照（多证合一）扫描件；</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上述资质证书、安全生产许可证、体系认证证书扫描件；</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连续三年（2023—2025）经审计的财务报告；</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项目经理及主要管理人员的注册建造师/职称/C 证及近 6 个月社保证明；</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类似项目业绩合同协议书复印件；企业简介与管理人员配置计划。</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eastAsia="宋体" w:hAnsi="宋体"/>
        <w:b w:val="false"/>
        <w:bCs w:val="false"/>
        <w:i w:val="false"/>
        <w:iCs w:val="false"/>
        <w:color w:val="808080"/>
        <w:sz w:val="16"/>
        <w:szCs w:val="16"/>
      </w:rPr>
      <w:t xml:space="preserve">第 </w:t>
    </w:r>
    <w:r>
      <w:rPr>
        <w:color w:val="808080"/>
        <w:sz w:val="16"/>
        <w:szCs w:val="16"/>
      </w:rPr>
      <w:fldChar w:fldCharType="begin"/>
      <w:instrText xml:space="preserve">PAGE</w:instrText>
      <w:fldChar w:fldCharType="separate"/>
      <w:fldChar w:fldCharType="end"/>
    </w:r>
    <w:r>
      <w:rPr>
        <w:rFonts w:ascii="宋体" w:eastAsia="宋体" w:hAnsi="宋体"/>
        <w:b w:val="false"/>
        <w:bCs w:val="false"/>
        <w:i w:val="false"/>
        <w:iCs w:val="false"/>
        <w:color w:val="808080"/>
        <w:sz w:val="16"/>
        <w:szCs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宋体" w:eastAsia="宋体" w:hAnsi="宋体"/>
        <w:b w:val="false"/>
        <w:bCs w:val="false"/>
        <w:i w:val="false"/>
        <w:iCs w:val="false"/>
        <w:color w:val="000000"/>
        <w:sz w:val="21"/>
        <w:szCs w:val="21"/>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ADB" w:sz="4" w:space="2"/>
      </w:pBdr>
      <w:spacing w:after="0"/>
      <w:jc w:val="right"/>
    </w:pPr>
    <w:r>
      <w:rPr>
        <w:rFonts w:ascii="宋体" w:eastAsia="宋体" w:hAnsi="宋体"/>
        <w:b w:val="false"/>
        <w:bCs w:val="false"/>
        <w:i w:val="false"/>
        <w:iCs w:val="false"/>
        <w:color w:val="808080"/>
        <w:sz w:val="15"/>
        <w:szCs w:val="15"/>
      </w:rPr>
      <w:t xml:space="preserve">东明石化集团 · 非生产区域集中监控联网改造项目 报价文件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宋体" w:eastAsia="宋体" w:hAnsi="宋体"/>
        <w:b w:val="false"/>
        <w:bCs w:val="false"/>
        <w:i w:val="false"/>
        <w:iCs w:val="false"/>
        <w:color w:val="000000"/>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2E74B5"/>
      </w:r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黑体" w:eastAsia="黑体" w:hAnsi="黑体"/>
      <w:b/>
      <w:bCs/>
      <w:color w:val="1F4E79"/>
      <w:sz w:val="30"/>
      <w:szCs w:val="30"/>
    </w:rPr>
  </w:style>
  <w:style w:type="paragraph" w:styleId="Heading2">
    <w:name w:val="Heading 2"/>
    <w:basedOn w:val="Normal"/>
    <w:next w:val="Normal"/>
    <w:qFormat/>
    <w:rPr>
      <w:rFonts w:ascii="黑体" w:eastAsia="黑体" w:hAnsi="黑体"/>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27271a8c233d5fb1bc5d5e0f7926a5e1f89426c.png"/><Relationship Id="rId12" Type="http://schemas.openxmlformats.org/officeDocument/2006/relationships/image" Target="media/889f710403da163e2ac9afa06458d20b2cf8acf6.png"/><Relationship Id="rId13" Type="http://schemas.openxmlformats.org/officeDocument/2006/relationships/image" Target="media/814d7de58659d6d7e2761e2362debb18871626a4.png"/><Relationship Id="rId14" Type="http://schemas.openxmlformats.org/officeDocument/2006/relationships/image" Target="media/63a6feb7f2d6b30d23f8d5b3999eec539666aceb.png"/><Relationship Id="rId15" Type="http://schemas.openxmlformats.org/officeDocument/2006/relationships/image" Target="media/517c841f9e281c240ffc21dc8699f156be6a5876.png"/><Relationship Id="rId16" Type="http://schemas.openxmlformats.org/officeDocument/2006/relationships/image" Target="media/c7a3a4bb6a431225f197601c4d0e0f8f155de089.png"/><Relationship Id="rId17" Type="http://schemas.openxmlformats.org/officeDocument/2006/relationships/image" Target="media/d67154b2625d3149981558d719a9bf1cf42d186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非生产区域集中监控联网改造项目 报价文件</dc:title>
  <dc:creator>深圳鹏网智能股份有限公司</dc:creator>
  <cp:lastModifiedBy>Un-named</cp:lastModifiedBy>
  <cp:revision>1</cp:revision>
  <dcterms:created xsi:type="dcterms:W3CDTF">2026-08-20T14:21:55.590Z</dcterms:created>
  <dcterms:modified xsi:type="dcterms:W3CDTF">2026-08-20T14:21:55.604Z</dcterms:modified>
</cp:coreProperties>
</file>

<file path=docProps/custom.xml><?xml version="1.0" encoding="utf-8"?>
<Properties xmlns="http://schemas.openxmlformats.org/officeDocument/2006/custom-properties" xmlns:vt="http://schemas.openxmlformats.org/officeDocument/2006/docPropsVTypes"/>
</file>