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160"/>
        <w:jc w:val="center"/>
      </w:pPr>
      <w:r>
        <w:rPr>
          <w:rFonts w:ascii="微软雅黑" w:cs="微软雅黑" w:eastAsia="微软雅黑" w:hAnsi="微软雅黑"/>
          <w:b/>
          <w:bCs/>
          <w:color w:val="178A7A"/>
          <w:sz w:val="30"/>
          <w:szCs w:val="30"/>
        </w:rPr>
        <w:t xml:space="preserve">阳光电源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0B3B5C"/>
          <w:sz w:val="56"/>
          <w:szCs w:val="56"/>
        </w:rPr>
        <w:t xml:space="preserve">园区智慧物流方案建议书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5F5E5A"/>
          <w:sz w:val="22"/>
          <w:szCs w:val="22"/>
        </w:rPr>
        <w:t xml:space="preserve">货车调度与货物转运效率提升 · 位置与时效可视管理 · 接入 IOC 平台</w:t>
      </w:r>
    </w:p>
    <w:p>
      <w:pPr>
        <w:spacing w:after="40" w:before="1600"/>
        <w:jc w:val="center"/>
      </w:pPr>
      <w:r>
        <w:rPr>
          <w:rFonts w:ascii="微软雅黑" w:cs="微软雅黑" w:eastAsia="微软雅黑" w:hAnsi="微软雅黑"/>
          <w:color w:val="5F5E5A"/>
          <w:sz w:val="20"/>
          <w:szCs w:val="20"/>
        </w:rPr>
        <w:t xml:space="preserve">面向三大工业园区 · 智能预约 + YMS + 厂内定位 一体化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color w:val="5F5E5A"/>
          <w:sz w:val="20"/>
          <w:szCs w:val="20"/>
        </w:rPr>
        <w:t xml:space="preserve">方案建议 · 供内部评审与选型参考</w:t>
      </w:r>
    </w:p>
    <w:p>
      <w:r>
        <w:br w:type="page"/>
      </w:r>
    </w:p>
    <w:p>
      <w:pPr>
        <w:spacing w:after="240"/>
      </w:pPr>
      <w:r>
        <w:rPr>
          <w:rFonts w:ascii="微软雅黑" w:cs="微软雅黑" w:eastAsia="微软雅黑" w:hAnsi="微软雅黑"/>
          <w:b/>
          <w:bCs/>
          <w:color w:val="0B3B5C"/>
          <w:sz w:val="32"/>
          <w:szCs w:val="32"/>
        </w:rPr>
        <w:t xml:space="preserve">目录</w:t>
      </w:r>
    </w:p>
    <w:p>
      <w:pPr>
        <w:pBdr>
          <w:bottom w:val="dotted" w:color="C7D2D8" w:sz="2" w:space="6"/>
        </w:pBdr>
        <w:spacing w:after="140" w:line="300"/>
      </w:pPr>
      <w:r>
        <w:rPr>
          <w:rFonts w:ascii="微软雅黑" w:cs="微软雅黑" w:eastAsia="微软雅黑" w:hAnsi="微软雅黑"/>
          <w:color w:val="2C2C2A"/>
          <w:sz w:val="22"/>
          <w:szCs w:val="22"/>
        </w:rPr>
        <w:t xml:space="preserve">一、项目背景与目标</w:t>
      </w:r>
    </w:p>
    <w:p>
      <w:pPr>
        <w:pBdr>
          <w:bottom w:val="dotted" w:color="C7D2D8" w:sz="2" w:space="6"/>
        </w:pBdr>
        <w:spacing w:after="140" w:line="300"/>
      </w:pPr>
      <w:r>
        <w:rPr>
          <w:rFonts w:ascii="微软雅黑" w:cs="微软雅黑" w:eastAsia="微软雅黑" w:hAnsi="微软雅黑"/>
          <w:color w:val="2C2C2A"/>
          <w:sz w:val="22"/>
          <w:szCs w:val="22"/>
        </w:rPr>
        <w:t xml:space="preserve">二、需求分析与方案定位</w:t>
      </w:r>
    </w:p>
    <w:p>
      <w:pPr>
        <w:pBdr>
          <w:bottom w:val="dotted" w:color="C7D2D8" w:sz="2" w:space="6"/>
        </w:pBdr>
        <w:spacing w:after="140" w:line="300"/>
      </w:pPr>
      <w:r>
        <w:rPr>
          <w:rFonts w:ascii="微软雅黑" w:cs="微软雅黑" w:eastAsia="微软雅黑" w:hAnsi="微软雅黑"/>
          <w:color w:val="2C2C2A"/>
          <w:sz w:val="22"/>
          <w:szCs w:val="22"/>
        </w:rPr>
        <w:t xml:space="preserve">三、总体方案架构</w:t>
      </w:r>
    </w:p>
    <w:p>
      <w:pPr>
        <w:pBdr>
          <w:bottom w:val="dotted" w:color="C7D2D8" w:sz="2" w:space="6"/>
        </w:pBdr>
        <w:spacing w:after="140" w:line="300"/>
      </w:pPr>
      <w:r>
        <w:rPr>
          <w:rFonts w:ascii="微软雅黑" w:cs="微软雅黑" w:eastAsia="微软雅黑" w:hAnsi="微软雅黑"/>
          <w:color w:val="2C2C2A"/>
          <w:sz w:val="22"/>
          <w:szCs w:val="22"/>
        </w:rPr>
        <w:t xml:space="preserve">四、关键功能设计</w:t>
      </w:r>
    </w:p>
    <w:p>
      <w:pPr>
        <w:pBdr>
          <w:bottom w:val="dotted" w:color="C7D2D8" w:sz="2" w:space="6"/>
        </w:pBdr>
        <w:spacing w:after="140" w:line="300"/>
      </w:pPr>
      <w:r>
        <w:rPr>
          <w:rFonts w:ascii="微软雅黑" w:cs="微软雅黑" w:eastAsia="微软雅黑" w:hAnsi="微软雅黑"/>
          <w:color w:val="2C2C2A"/>
          <w:sz w:val="22"/>
          <w:szCs w:val="22"/>
        </w:rPr>
        <w:t xml:space="preserve">五、与 IOC 平台及业务系统集成</w:t>
      </w:r>
    </w:p>
    <w:p>
      <w:pPr>
        <w:pBdr>
          <w:bottom w:val="dotted" w:color="C7D2D8" w:sz="2" w:space="6"/>
        </w:pBdr>
        <w:spacing w:after="140" w:line="300"/>
      </w:pPr>
      <w:r>
        <w:rPr>
          <w:rFonts w:ascii="微软雅黑" w:cs="微软雅黑" w:eastAsia="微软雅黑" w:hAnsi="微软雅黑"/>
          <w:color w:val="2C2C2A"/>
          <w:sz w:val="22"/>
          <w:szCs w:val="22"/>
        </w:rPr>
        <w:t xml:space="preserve">六、系统选型建议</w:t>
      </w:r>
    </w:p>
    <w:p>
      <w:pPr>
        <w:pBdr>
          <w:bottom w:val="dotted" w:color="C7D2D8" w:sz="2" w:space="6"/>
        </w:pBdr>
        <w:spacing w:after="140" w:line="300"/>
      </w:pPr>
      <w:r>
        <w:rPr>
          <w:rFonts w:ascii="微软雅黑" w:cs="微软雅黑" w:eastAsia="微软雅黑" w:hAnsi="微软雅黑"/>
          <w:color w:val="2C2C2A"/>
          <w:sz w:val="22"/>
          <w:szCs w:val="22"/>
        </w:rPr>
        <w:t xml:space="preserve">七、实施路径与分期建议</w:t>
      </w:r>
    </w:p>
    <w:p>
      <w:pPr>
        <w:pBdr>
          <w:bottom w:val="dotted" w:color="C7D2D8" w:sz="2" w:space="6"/>
        </w:pBdr>
        <w:spacing w:after="140" w:line="300"/>
      </w:pPr>
      <w:r>
        <w:rPr>
          <w:rFonts w:ascii="微软雅黑" w:cs="微软雅黑" w:eastAsia="微软雅黑" w:hAnsi="微软雅黑"/>
          <w:color w:val="2C2C2A"/>
          <w:sz w:val="22"/>
          <w:szCs w:val="22"/>
        </w:rPr>
        <w:t xml:space="preserve">八、预期效益</w:t>
      </w:r>
    </w:p>
    <w:p>
      <w:pPr>
        <w:pBdr>
          <w:bottom w:val="dotted" w:color="C7D2D8" w:sz="2" w:space="6"/>
        </w:pBdr>
        <w:spacing w:after="140" w:line="300"/>
      </w:pPr>
      <w:r>
        <w:rPr>
          <w:rFonts w:ascii="微软雅黑" w:cs="微软雅黑" w:eastAsia="微软雅黑" w:hAnsi="微软雅黑"/>
          <w:color w:val="2C2C2A"/>
          <w:sz w:val="22"/>
          <w:szCs w:val="22"/>
        </w:rPr>
        <w:t xml:space="preserve">九、下一步建议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0B3B5C"/>
          <w:sz w:val="30"/>
          <w:szCs w:val="30"/>
        </w:rPr>
        <w:t xml:space="preserve">一、项目背景与目标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阳光电源现有三个工业园区，单个园区占地约 350–480 亩（约 23–32 万平方米），每个园区每天货车吞吐量约 200 车次。随着业务规模扩大，园区内货车进出、排队、月台装卸等环节缺乏统一调度与实时管控，容易在高峰时段出现拥堵、等待时间长、月台利用不均等问题，影响整体转运效率。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本项目的核心目标是围绕园区内物流，构建一套可落地的智慧物流管理体系，实现以下四点：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提升园区内货车调度与货物转运效率，缩短车辆在园停留与等待时间；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对货车位置进行实时可视化管理，做到"车在哪、停多久、去哪个月台"一目了然；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对各环节转运时间进行量化与可视管理，形成可分析、可优化的时效数据；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数据统一接入园区 IOC 平台，实现一张图指挥与数据决策，并与业务系统联动。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0B3B5C"/>
          <w:sz w:val="30"/>
          <w:szCs w:val="30"/>
        </w:rPr>
        <w:t xml:space="preserve">二、需求分析与方案定位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需要特别指出的是：本项目的核心诉求（园区内货车调度、货车位置可视、转运时效管理），本质上属于厂内 / 园区物流（In-plant Logistics）范畴，而非传统 TMS 所擅长的领域。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经典 TMS（运输管理系统）主要解决的是"出厂之后的在途运输"问题，例如承运商协同、路线优化、运费结算、在途轨迹可视等；它对"园区内一辆车停在哪个月台、排队多久、装卸花了多长时间"这类厂内场景的覆盖能力较弱。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因此，本方案的重心确定为：以"智能预约 + YMS（园区 / 堆场管理）+ 厂内定位感知"为核心，TMS 作为外部运输环节的补充。这一定位将直接决定后续的功能设计与系统选型方向。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0B3B5C"/>
          <w:sz w:val="30"/>
          <w:szCs w:val="30"/>
        </w:rPr>
        <w:t xml:space="preserve">三、总体方案架构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方案采用"感知 — 网络 — 平台 — 集成 — IOC"分层架构，数据自下而上逐层汇聚，最终统一呈现于 IOC 平台。各层职责如下表所示。</w:t>
      </w:r>
    </w:p>
    <w:tbl>
      <w:tblPr>
        <w:tblW w:type="dxa" w:w="9000"/>
        <w:tblBorders>
          <w:top w:val="single" w:color="B9C6CE" w:sz="4"/>
          <w:left w:val="single" w:color="B9C6CE" w:sz="4"/>
          <w:bottom w:val="single" w:color="B9C6CE" w:sz="4"/>
          <w:right w:val="single" w:color="B9C6CE" w:sz="4"/>
          <w:insideH w:val="single" w:color="D5DEE3" w:sz="2"/>
          <w:insideV w:val="single" w:color="D5DEE3" w:sz="2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0B3B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7100"/>
            <w:shd w:fill="0B3B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主要职责与组成</w:t>
            </w:r>
          </w:p>
        </w:tc>
      </w:tr>
      <w:tr>
        <w:tc>
          <w:tcPr>
            <w:tcW w:type="dxa" w:w="19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IOC 决策层</w:t>
            </w:r>
          </w:p>
        </w:tc>
        <w:tc>
          <w:tcPr>
            <w:tcW w:type="dxa" w:w="71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园区智能运营中心：统一大屏、一张图指挥、跨园数据决策。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集成层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通过 API / Kafka / MQTT 等标准接口，与 SAP、WMS、MES 等业务系统对接，向 IOC 上送数据。</w:t>
            </w:r>
          </w:p>
        </w:tc>
      </w:tr>
      <w:tr>
        <w:tc>
          <w:tcPr>
            <w:tcW w:type="dxa" w:w="19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平台层</w:t>
            </w:r>
          </w:p>
        </w:tc>
        <w:tc>
          <w:tcPr>
            <w:tcW w:type="dxa" w:w="71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智能预约、排队叫号、YMS 在园调度、转运时效引擎、可视化一张图等核心应用。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网络层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5G / 工业 WiFi / 物联网专网，承载感知数据回传与终端联动。</w:t>
            </w:r>
          </w:p>
        </w:tc>
      </w:tr>
      <w:tr>
        <w:tc>
          <w:tcPr>
            <w:tcW w:type="dxa" w:w="19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感知层</w:t>
            </w:r>
          </w:p>
        </w:tc>
        <w:tc>
          <w:tcPr>
            <w:tcW w:type="dxa" w:w="71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LPR 车牌识别与道闸、视频 AI、电子围栏、北斗 / UWB 定位、司机端小程序、地磅等。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园区现场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三个工业园区的货车、月台、蓄车场等物理作业对象。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0B3B5C"/>
          <w:sz w:val="30"/>
          <w:szCs w:val="30"/>
        </w:rPr>
        <w:t xml:space="preserve">四、关键功能设计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78A7A"/>
          <w:sz w:val="24"/>
          <w:szCs w:val="24"/>
        </w:rPr>
        <w:t xml:space="preserve">4.1 智能预约（削峰是第一优先级）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单园区 200 车次 / 天的总量并不算高，拥堵主要来自到场时间集中形成的"波峰"。通过让承运商 / 司机在小程序上按时间窗自主预约、系统按月台产能分配配额，并配合绿色通道、紧急插单、晚点过号等策略，可有效削峰填谷。这是投入产出比最高的一环，建议优先建设。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78A7A"/>
          <w:sz w:val="24"/>
          <w:szCs w:val="24"/>
        </w:rPr>
        <w:t xml:space="preserve">4.2 无人化准入与排队叫号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大门采用车牌识别（LPR）联动道闸、地磅，实现自动抬杆、自动过磅、身份核验；到场车辆先进入蓄车场等候，系统根据月台空闲情况叫号进厂并自动分配月台，避免车辆在园内无序聚集。当前主流 LPR 设备识别率可达 99.5% 以上、识别速度约 200 毫秒，支持蓝牌 / 黄牌 / 新能源等多种车牌，足以支撑无人值守出入口。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78A7A"/>
          <w:sz w:val="24"/>
          <w:szCs w:val="24"/>
        </w:rPr>
        <w:t xml:space="preserve">4.3 厂内定位与货车位置可视（分级部署）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这是"位置可视管理"的核心。建议按精度需求分级部署，避免全园区铺设高精度定位造成过度投资：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大门与关键卡口：LPR + 道闸，掌握车辆"进 / 出 / 在场"状态；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主干道与月台区：复用或新增视频监控做 AI 分析 + 电子围栏，实现米级位置、月台占用识别、违停与超时预警，成本低且能利用存量摄像头；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危化 / 装卸等关键作业区（可选）：北斗 RTK（室外厘米级）+ UWB（厂房内亚米级）融合，实现室内外无缝高精度定位；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司机端小程序：辅助 GPS / 北斗定位，并推送任务与叫号信息。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对多数货车调度场景，"LPR 门禁 + 视频 AI + 电子围栏 + 司机端"即可满足位置可视需求，无需全园区铺设 UWB 基站（后者更适用于叉车与人员安全定位）。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78A7A"/>
          <w:sz w:val="24"/>
          <w:szCs w:val="24"/>
        </w:rPr>
        <w:t xml:space="preserve">4.4 转运时效引擎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为每辆车打上全流程时间戳：预约 → 到场 → 入园 → 排队 → 上台 → 装卸开始 → 装卸完成 → 离场，自动计算各环节时长、在园停留、月台占用，并对超时自动预警。这是"转运时间可视管理"与后续持续优化的数据底座。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78A7A"/>
          <w:sz w:val="24"/>
          <w:szCs w:val="24"/>
        </w:rPr>
        <w:t xml:space="preserve">4.5 可视化"一张图"与多园协同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三个园区统一平台、数据打通，一张图实时呈现车辆位置、排队状态与月台利用率，跨园调拨同样可视。建议重点上大屏的 KPI 指标见下表。</w:t>
      </w:r>
    </w:p>
    <w:tbl>
      <w:tblPr>
        <w:tblW w:type="dxa" w:w="9000"/>
        <w:tblBorders>
          <w:top w:val="single" w:color="B9C6CE" w:sz="4"/>
          <w:left w:val="single" w:color="B9C6CE" w:sz="4"/>
          <w:bottom w:val="single" w:color="B9C6CE" w:sz="4"/>
          <w:right w:val="single" w:color="B9C6CE" w:sz="4"/>
          <w:insideH w:val="single" w:color="D5DEE3" w:sz="2"/>
          <w:insideV w:val="single" w:color="D5DEE3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B3B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 指标</w:t>
            </w:r>
          </w:p>
        </w:tc>
        <w:tc>
          <w:tcPr>
            <w:tcW w:type="dxa" w:w="6000"/>
            <w:shd w:fill="0B3B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管理价值</w:t>
            </w:r>
          </w:p>
        </w:tc>
      </w:tr>
      <w:tr>
        <w:tc>
          <w:tcPr>
            <w:tcW w:type="dxa" w:w="3000"/>
            <w:shd w:fill="F7EE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平均在园时长</w:t>
            </w:r>
          </w:p>
        </w:tc>
        <w:tc>
          <w:tcPr>
            <w:tcW w:type="dxa" w:w="6000"/>
            <w:shd w:fill="F7EE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衡量整体转运效率，是最核心的总量指标。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平均排队时长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反映预约与叫号调度效果，指导削峰策略。</w:t>
            </w:r>
          </w:p>
        </w:tc>
      </w:tr>
      <w:tr>
        <w:tc>
          <w:tcPr>
            <w:tcW w:type="dxa" w:w="3000"/>
            <w:shd w:fill="F7EE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平均装卸时长</w:t>
            </w:r>
          </w:p>
        </w:tc>
        <w:tc>
          <w:tcPr>
            <w:tcW w:type="dxa" w:w="6000"/>
            <w:shd w:fill="F7EE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定位月台与作业瓶颈。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月台利用率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评估月台资源配置是否均衡。</w:t>
            </w:r>
          </w:p>
        </w:tc>
      </w:tr>
      <w:tr>
        <w:tc>
          <w:tcPr>
            <w:tcW w:type="dxa" w:w="3000"/>
            <w:shd w:fill="F7EE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预约准时率</w:t>
            </w:r>
          </w:p>
        </w:tc>
        <w:tc>
          <w:tcPr>
            <w:tcW w:type="dxa" w:w="6000"/>
            <w:shd w:fill="F7EE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衡量承运商履约与预约机制成效。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超时车次 / 日吞吐量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异常监控与运营规模的日常跟踪。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0B3B5C"/>
          <w:sz w:val="30"/>
          <w:szCs w:val="30"/>
        </w:rPr>
        <w:t xml:space="preserve">五、与 IOC 平台及业务系统集成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采集侧数据（车辆实时位置、状态、各环节时效、KPI）通过标准接口上送 IOC：实时位置 / 状态走 MQTT 或 Kafka 消息流，KPI / 报表类走 RESTful API，统一在 IOC 大屏呈现与决策。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同时，物流平台需与阳光电源的业务系统打通。作为大型制造企业，其大概率使用 SAP ERP，装卸任务需与 WMS / 仓储、MES / 生产计划联动（到货齐套、线边库补料等），实现物流与生产的协同。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建议在方案落地前明确两个关键前提，它们将直接影响接口工作量与选型：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IOC 平台的生态归属（如华为、阿里、新华三等）及其数据接入规范；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企业 ERP 是否为 SAP，以确定采用原生集成还是标准接口对接。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0B3B5C"/>
          <w:sz w:val="30"/>
          <w:szCs w:val="30"/>
        </w:rPr>
        <w:t xml:space="preserve">六、系统选型建议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结论：本项目需要的不是一套单纯的 TMS，而是以"智能预约 + YMS + 感知定位"为核心、TMS 为外部运输补充的组合。按此重心，推荐路线如下（详细逐项对比见随附《系统选型对比表》）。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78A7A"/>
          <w:sz w:val="24"/>
          <w:szCs w:val="24"/>
        </w:rPr>
        <w:t xml:space="preserve">6.1 主选：园区 / 厂内一体化（国产、本地化好、实施快）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唯智信息 vTradEx —— 同时具备 TMS、WMS、OMS 以及预约叫号 YMS、路径优化 ROS，大型制造企业客户多，可一家覆盖大部分诉求；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巨沃 GWALL YMS —— 园区预约管理为其主打，车辆预约、月台调度、道闸联动、在园可视做得专，且原生集成道闸 / 地磅 / 大屏硬件，与本场景高度贴合；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科箭 Comtop —— TMS 云 + 全程可视化，制造 / 汽车行业落地经验丰富，SaaS 与私有化部署均可。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78A7A"/>
          <w:sz w:val="24"/>
          <w:szCs w:val="24"/>
        </w:rPr>
        <w:t xml:space="preserve">6.2 若已上 SAP，值得同步评估的原生路线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SAP TM + EWM Yard Logistics 与 ERP 原生集成、数据一致性最好，但实施重、成本高、周期长。适合作为"集成深度优先"的备选，与国产"实施快、成本低但需做 SAP 接口"方案做对比评估。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78A7A"/>
          <w:sz w:val="24"/>
          <w:szCs w:val="24"/>
        </w:rPr>
        <w:t xml:space="preserve">6.3 外部车队 / 在途可视（如有出厂运输需求再加）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可选 G7 易流（车辆 IoT / 北斗在途可视强）或 oTMS（承运商协同强），作为在途环节的补充，与园区平台对接。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78A7A"/>
          <w:sz w:val="24"/>
          <w:szCs w:val="24"/>
        </w:rPr>
        <w:t xml:space="preserve">6.4 感知硬件层（与软件平台解耦采购）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车牌识别、视频 AI、道闸大屏一般选海康威视 / 大华；高精度定位选专业厂商（如品铂、汉远等），由软件平台统一对接。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0B3B5C"/>
          <w:sz w:val="30"/>
          <w:szCs w:val="30"/>
        </w:rPr>
        <w:t xml:space="preserve">七、实施路径与分期建议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建议遵循"单园试点 → 复制推广"的路径，风险最低、也最容易取得内部认可。</w:t>
      </w:r>
    </w:p>
    <w:tbl>
      <w:tblPr>
        <w:tblW w:type="dxa" w:w="9000"/>
        <w:tblBorders>
          <w:top w:val="single" w:color="B9C6CE" w:sz="4"/>
          <w:left w:val="single" w:color="B9C6CE" w:sz="4"/>
          <w:bottom w:val="single" w:color="B9C6CE" w:sz="4"/>
          <w:right w:val="single" w:color="B9C6CE" w:sz="4"/>
          <w:insideH w:val="single" w:color="D5DEE3" w:sz="2"/>
          <w:insideV w:val="single" w:color="D5DEE3" w:sz="2"/>
        </w:tblBorders>
      </w:tblPr>
      <w:tblGrid>
        <w:gridCol w:w="1700"/>
        <w:gridCol w:w="2600"/>
        <w:gridCol w:w="4700"/>
      </w:tblGrid>
      <w:tr>
        <w:trPr>
          <w:tblHeader/>
        </w:trPr>
        <w:tc>
          <w:tcPr>
            <w:tcW w:type="dxa" w:w="1700"/>
            <w:shd w:fill="0B3B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600"/>
            <w:shd w:fill="0B3B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周期（建议）</w:t>
            </w:r>
          </w:p>
        </w:tc>
        <w:tc>
          <w:tcPr>
            <w:tcW w:type="dxa" w:w="4700"/>
            <w:shd w:fill="0B3B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主要工作</w:t>
            </w:r>
          </w:p>
        </w:tc>
      </w:tr>
      <w:tr>
        <w:tc>
          <w:tcPr>
            <w:tcW w:type="dxa" w:w="17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第一阶段：试点</w:t>
            </w:r>
          </w:p>
        </w:tc>
        <w:tc>
          <w:tcPr>
            <w:tcW w:type="dxa" w:w="26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约 2–3 个月</w:t>
            </w:r>
          </w:p>
        </w:tc>
        <w:tc>
          <w:tcPr>
            <w:tcW w:type="dxa" w:w="47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选一个园区做 POC：建设智能预约、LPR 门禁、视频 AI 定位、时效引擎，打通 IOC 与 SAP 接口，跑通一套 KPI。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第二阶段：优化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约 1–2 个月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基于试点数据优化预约配额、叫号与调度策略，视需要在关键区补充高精度定位。</w:t>
            </w:r>
          </w:p>
        </w:tc>
      </w:tr>
      <w:tr>
        <w:tc>
          <w:tcPr>
            <w:tcW w:type="dxa" w:w="17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第三阶段：复制</w:t>
            </w:r>
          </w:p>
        </w:tc>
        <w:tc>
          <w:tcPr>
            <w:tcW w:type="dxa" w:w="26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约 2–3 个月</w:t>
            </w:r>
          </w:p>
        </w:tc>
        <w:tc>
          <w:tcPr>
            <w:tcW w:type="dxa" w:w="4700"/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将成熟方案复制到另外两个园区，构建三园统一平台与多园协同一张图。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0B3B5C"/>
          <w:sz w:val="30"/>
          <w:szCs w:val="30"/>
        </w:rPr>
        <w:t xml:space="preserve">八、预期效益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效率提升：通过预约削峰与叫号调度，显著缩短车辆排队与在园停留时间；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管理透明：货车位置与各环节时效实时可视，异常自动预警，管理由"事后"转向"实时"；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资源优化：月台利用率与调度策略可量化，减少月台闲置与冲突；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数据驱动：统一接入 IOC，形成可持续分析与优化的运营数据资产；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可复制性：单园跑通后快速复制三园，降低整体实施风险。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0B3B5C"/>
          <w:sz w:val="30"/>
          <w:szCs w:val="30"/>
        </w:rPr>
        <w:t xml:space="preserve">九、下一步建议</w:t>
      </w:r>
    </w:p>
    <w:p>
      <w:pPr>
        <w:spacing w:after="14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2C2A"/>
          <w:sz w:val="21"/>
          <w:szCs w:val="21"/>
        </w:rPr>
        <w:t xml:space="preserve">建议尽快确认 IOC 平台生态与 ERP 是否为 SAP 两项前提，并选定一个园区启动 POC。在此基础上邀请候选厂商进行方案演示与试点比对，以实际数据验证预约削峰效果、定位可视精度与系统对接顺畅度，再据此做最终选型与三园推广。</w:t>
      </w:r>
    </w:p>
    <w:p>
      <w:pPr>
        <w:spacing w:before="20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F5E5A"/>
          <w:sz w:val="19"/>
          <w:szCs w:val="19"/>
        </w:rPr>
        <w:t xml:space="preserve">（附：《阳光电源园区智慧物流系统选型对比表》另附 Excel 文件。）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AA5AB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AA5A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AA5A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AA5AB"/>
        <w:sz w:val="16"/>
        <w:szCs w:val="16"/>
      </w:rPr>
      <w:t xml:space="preserve">阳光电源 · 园区智慧物流方案建议书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阳光电源园区智慧物流方案建议书</dc:title>
  <dc:creator>方案建议</dc:creator>
  <cp:lastModifiedBy>Un-named</cp:lastModifiedBy>
  <cp:revision>1</cp:revision>
  <dcterms:created xsi:type="dcterms:W3CDTF">2026-08-06T05:18:06.823Z</dcterms:created>
  <dcterms:modified xsi:type="dcterms:W3CDTF">2026-08-06T05:18:06.825Z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