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2"/>
          <w:szCs w:val="32"/>
        </w:rPr>
        <w:t xml:space="preserve">智慧园区一期项目</w:t>
      </w:r>
    </w:p>
    <w:p>
      <w:pPr>
        <w:spacing w:after="240" w:before="0"/>
        <w:jc w:val="center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32"/>
          <w:szCs w:val="32"/>
        </w:rPr>
        <w:t xml:space="preserve">POC 演示剧本与资料需求清单</w:t>
      </w:r>
    </w:p>
    <w:tbl>
      <w:tblPr>
        <w:tblW w:type="dxa" w:w="974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1600"/>
        <w:gridCol w:w="2400"/>
        <w:gridCol w:w="1600"/>
        <w:gridCol w:w="4146"/>
      </w:tblGrid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版本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V1.0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日期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2026 年 8 月 30 日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用途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与贵方确认演示范围、明确资料收集清单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密级</w:t>
            </w:r>
          </w:p>
        </w:tc>
        <w:tc>
          <w:tcPr>
            <w:tcW w:type="dxa" w:w="41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重要级</w:t>
            </w:r>
          </w:p>
        </w:tc>
      </w:tr>
    </w:tbl>
    <w:p>
      <w:pPr>
        <w:pBdr>
          <w:bottom w:val="single" w:color="1F4E79" w:sz="6"/>
        </w:pBdr>
        <w:spacing w:after="160" w:before="12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1"/>
        <w:keepNext/>
        <w:spacing w:after="160" w:befor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8"/>
          <w:szCs w:val="28"/>
        </w:rPr>
        <w:t xml:space="preserve">一、已完成的数据盘点</w:t>
      </w:r>
    </w:p>
    <w:p>
      <w:pPr>
        <w:spacing w:after="100" w:before="6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基于贵方提供的《智慧园区场景需求统计表》《报警主机设备清单》《阳光电源产业园监控数量清单》，我方已完成产业园现状盘点，结论如下：</w:t>
      </w:r>
    </w:p>
    <w:p>
      <w:pPr>
        <w:spacing w:after="6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4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6246"/>
        <w:gridCol w:w="3500"/>
      </w:tblGrid>
      <w:tr>
        <w:trPr>
          <w:tblHeader/>
        </w:trPr>
        <w:tc>
          <w:tcPr>
            <w:tcW w:type="dxa" w:w="624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项目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数量</w:t>
            </w:r>
          </w:p>
        </w:tc>
      </w:tr>
      <w:tr>
        <w:tc>
          <w:tcPr>
            <w:tcW w:type="dxa" w:w="62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视频监控点位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5,928 台（分布于 246 个区域分组）</w:t>
            </w:r>
          </w:p>
        </w:tc>
      </w:tr>
      <w:tr>
        <w:tc>
          <w:tcPr>
            <w:tcW w:type="dxa" w:w="62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消防报警主机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86 台（主机 24：火灾报警 22 + 可燃气体 2；从机 62）</w:t>
            </w:r>
          </w:p>
        </w:tc>
      </w:tr>
      <w:tr>
        <w:tc>
          <w:tcPr>
            <w:tcW w:type="dxa" w:w="62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消防物联点位（不含摄像头）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约 1,300 个</w:t>
            </w:r>
          </w:p>
        </w:tc>
      </w:tr>
      <w:tr>
        <w:tc>
          <w:tcPr>
            <w:tcW w:type="dxa" w:w="62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主机品牌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 个（青鸟 69、海湾 6、左向 3、鼎信 2、惟泰安 2，其余各 1）</w:t>
            </w:r>
          </w:p>
        </w:tc>
      </w:tr>
      <w:tr>
        <w:tc>
          <w:tcPr>
            <w:tcW w:type="dxa" w:w="62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消防控制室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 处（M5 消控室 45 台、M15 消控室 16 台）</w:t>
            </w:r>
          </w:p>
        </w:tc>
      </w:tr>
      <w:tr>
        <w:tc>
          <w:tcPr>
            <w:tcW w:type="dxa" w:w="62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未接入火灾报警主机的设备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47 / 86 台，占 55%</w:t>
            </w:r>
          </w:p>
        </w:tc>
      </w:tr>
    </w:tbl>
    <w:p>
      <w:pPr>
        <w:spacing w:after="10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00" w:before="6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最后一项与 SOW 1.1 所述"消防系统分散、无法实现统一管理"完全吻合。全部电气火灾主机、电源监控主机、防火门主机、应急照明主机及 9 台气体灭火从机目前均未接入火灾报警主机，这既是一期集成工作量的主要来源，也是平台价值最直接的体现点。</w:t>
      </w:r>
    </w:p>
    <w:p>
      <w:pPr>
        <w:spacing w:after="100" w:before="6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1"/>
          <w:szCs w:val="21"/>
        </w:rPr>
        <w:t xml:space="preserve">POC 演示将基于上述真实家底展开，不使用样例数据。</w:t>
      </w:r>
    </w:p>
    <w:p>
      <w:pPr>
        <w:pStyle w:val="Heading1"/>
        <w:keepNext/>
        <w:spacing w:after="160" w:befor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8"/>
          <w:szCs w:val="28"/>
        </w:rPr>
        <w:t xml:space="preserve">二、拟演示剧本清单</w:t>
      </w:r>
    </w:p>
    <w:p>
      <w:pPr>
        <w:spacing w:after="100" w:before="6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共 10 条，全部取自贵方《场景需求统计表》中的实际位置与优先级。</w:t>
      </w:r>
    </w:p>
    <w:p>
      <w:pPr>
        <w:spacing w:after="6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4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520"/>
        <w:gridCol w:w="1900"/>
        <w:gridCol w:w="1420"/>
        <w:gridCol w:w="1900"/>
        <w:gridCol w:w="3006"/>
        <w:gridCol w:w="1000"/>
      </w:tblGrid>
      <w:tr>
        <w:trPr>
          <w:tblHeader/>
        </w:trPr>
        <w:tc>
          <w:tcPr>
            <w:tcW w:type="dxa" w:w="52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序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剧本</w:t>
            </w:r>
          </w:p>
        </w:tc>
        <w:tc>
          <w:tcPr>
            <w:tcW w:type="dxa" w:w="142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涉及模块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主场景</w:t>
            </w:r>
          </w:p>
        </w:tc>
        <w:tc>
          <w:tcPr>
            <w:tcW w:type="dxa" w:w="300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现状依据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时长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园区家底一张图（开场）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统一平台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全园区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5,928 台 / 1,300 点 / 86 主机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 min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M6 老化测试区烟感报警处置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智慧消防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M6 一楼东侧老化测试区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已有 24 台，优先级"高"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 min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M6 行车下方吊装作业违规识别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智慧安防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M6 一楼行车下方工作区域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已有 0 台，需新增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 min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周界翻越协同追踪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智慧安防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园区围墙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周界 108 台 + 震动光纤 4,000m + 鹰眼 + 无人机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min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化学品库泄漏三域联动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消防 + 安防 + 外协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园区东 / 西侧化学品库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危化品库 16 台；可燃气体主机现"未接入"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 min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M15 电芯堆叠区火警联动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消防 + 安防 + 物流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M15 一楼电芯堆叠区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已有 3 台，优先级"高"；M15 主机与 M5 异构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 min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MF3 宿舍夜间火警疏散清点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消防 + 安防 + 宿舍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MF3 宿舍楼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 层 + B1 48 台 + B2 51 台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min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外协动火作业全链闭环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外协 + 安防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动火作业区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作业票人证比对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min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宿舍入住—调寝—退宿与费用结算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宿舍管理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MF1–MF4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房态与费用试算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 min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物流预约到出园全流程</w:t>
            </w:r>
          </w:p>
        </w:tc>
        <w:tc>
          <w:tcPr>
            <w:tcW w:type="dxa" w:w="1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智慧物流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西门—月台</w:t>
            </w:r>
          </w:p>
        </w:tc>
        <w:tc>
          <w:tcPr>
            <w:tcW w:type="dxa" w:w="30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已完成，本次仅作衔接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双轨</w:t>
            </w:r>
          </w:p>
        </w:tc>
      </w:tr>
    </w:tbl>
    <w:p>
      <w:pPr>
        <w:spacing w:after="14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3"/>
          <w:szCs w:val="23"/>
        </w:rPr>
        <w:t xml:space="preserve">设计说明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剧本 2 特意选择"已有摄像头 0 台"的高危点位，与"利旧 5,928 台"形成对照，用于说明哪些场景可依托既有资源、哪些确需新增投入。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剧本 4 直接采用贵方在设备清单中标注为"数据未接入火灾报警主机"的危险品仓库可燃气体主机（惟泰安 VT320H），演示接入后的完整处置链路。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剧本 5 选择 M15，因其火灾报警主机为利达品牌、与 M5 的青鸟主机分属不同厂商、分处两个消控室，最能体现跨品牌统一接入的必要性。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剧本 4 / 5 / 6 为跨模块联动剧本，是"五大子系统 + 一体化统一运营平台"的核心体现。</w:t>
      </w:r>
    </w:p>
    <w:p>
      <w:pPr>
        <w:spacing w:after="6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00" w:before="6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正式演示建议采用精简动线（剧本 0 + 4 + 5 + 2 + 8），总时长约 25 分钟；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分模块深聊时再展开完整版。</w:t>
      </w:r>
    </w:p>
    <w:p>
      <w:r>
        <w:br w:type="page"/>
      </w:r>
    </w:p>
    <w:p>
      <w:pPr>
        <w:pStyle w:val="Heading1"/>
        <w:keepNext/>
        <w:spacing w:after="160" w:befor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8"/>
          <w:szCs w:val="28"/>
        </w:rPr>
        <w:t xml:space="preserve">三、需要贵方提供的资料</w:t>
      </w:r>
    </w:p>
    <w:p>
      <w:pPr>
        <w:pStyle w:val="Heading2"/>
        <w:keepNext/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3"/>
          <w:szCs w:val="23"/>
        </w:rPr>
        <w:t xml:space="preserve">3.1  首先请补全图纸台账</w:t>
      </w:r>
    </w:p>
    <w:p>
      <w:pPr>
        <w:spacing w:after="100" w:before="6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《编码图_建筑图_水施_电气_暖通图纸汇总》中，建筑图、水施、电气、暖通四列目前为空。恳请按下表口径补全，我方据此判断各剧本的落地条件：</w:t>
      </w:r>
    </w:p>
    <w:p>
      <w:pPr>
        <w:spacing w:after="6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4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1600"/>
        <w:gridCol w:w="1900"/>
        <w:gridCol w:w="2646"/>
        <w:gridCol w:w="2100"/>
        <w:gridCol w:w="1500"/>
      </w:tblGrid>
      <w:tr>
        <w:trPr>
          <w:tblHeader/>
        </w:trPr>
        <w:tc>
          <w:tcPr>
            <w:tcW w:type="dxa" w:w="1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楼栋号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图纸类别</w:t>
            </w:r>
          </w:p>
        </w:tc>
        <w:tc>
          <w:tcPr>
            <w:tcW w:type="dxa" w:w="264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状态（电子版 / 纸质 / 无 / 需审批）</w:t>
            </w:r>
          </w:p>
        </w:tc>
        <w:tc>
          <w:tcPr>
            <w:tcW w:type="dxa" w:w="21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格式（dwg / pdf / 图片）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pStyle w:val="Heading2"/>
        <w:keepNext/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3"/>
          <w:szCs w:val="23"/>
        </w:rPr>
        <w:t xml:space="preserve">3.2  第一批图纸（5 份，启动所必需）</w:t>
      </w:r>
    </w:p>
    <w:p>
      <w:pPr>
        <w:spacing w:after="4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4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520"/>
        <w:gridCol w:w="5726"/>
        <w:gridCol w:w="2200"/>
        <w:gridCol w:w="1300"/>
      </w:tblGrid>
      <w:tr>
        <w:trPr>
          <w:tblHeader/>
        </w:trPr>
        <w:tc>
          <w:tcPr>
            <w:tcW w:type="dxa" w:w="52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57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图纸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对应剧本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优先级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园区总平面图 / 编码图——含建筑轮廓、道路、围墙、七处门岗（北一门、北二门、东门、南门、南一门、南二门、西门）、堆场、停车场、电动车车棚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全部剧本共用底图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必需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M6 一楼建筑平面图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剧本 1、2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必需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M15 一楼建筑平面图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剧本 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必需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危化品库 1F / 2F 平面图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剧本 4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7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M5 消控室位置图 + 消防给水系统原理图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剧本 1、5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高</w:t>
            </w:r>
          </w:p>
        </w:tc>
      </w:tr>
    </w:tbl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00" w:before="6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1"/>
          <w:szCs w:val="21"/>
        </w:rPr>
        <w:t xml:space="preserve">此 5 份到位即可启动首个模块建模，无需一次性提供全部图纸。</w:t>
      </w:r>
    </w:p>
    <w:p>
      <w:pPr>
        <w:pStyle w:val="Heading2"/>
        <w:keepNext/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3"/>
          <w:szCs w:val="23"/>
        </w:rPr>
        <w:t xml:space="preserve">3.3  第二批（深化消防，可并行准备）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M6 / M15 水施图：喷淋、消火栓、末端试水点位，及防火分区划分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M6 / M15 电气图中的火灾自动报警平面：烟感、温感、手报、报警阀位置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7 处消防水泵房 + 6 处稳压泵房位置图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屋面图：30 个屋面测试栓位置、屋面光伏区域范围</w:t>
      </w:r>
    </w:p>
    <w:p>
      <w:pPr>
        <w:pStyle w:val="Heading2"/>
        <w:keepNext/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3"/>
          <w:szCs w:val="23"/>
        </w:rPr>
        <w:t xml:space="preserve">3.4  第三批（后续扩展）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MF3 宿舍标准层平面 + B1 / B2（剧本 6）</w:t>
      </w:r>
    </w:p>
    <w:p>
      <w:pPr>
        <w:pStyle w:val="ListParagraph"/>
        <w:numPr>
          <w:ilvl w:val="0"/>
          <w:numId w:val="2"/>
        </w:numPr>
        <w:spacing w:after="60" w:before="4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M5 / M8 / M9 / M10 一楼平面（后续扩充 EHS 场景）</w:t>
      </w:r>
    </w:p>
    <w:p>
      <w:pPr>
        <w:pStyle w:val="Heading2"/>
        <w:keepNext/>
        <w:spacing w:after="120" w:before="24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2E5F8A"/>
          <w:sz w:val="23"/>
          <w:szCs w:val="23"/>
        </w:rPr>
        <w:t xml:space="preserve">3.5  图纸格式要求</w:t>
      </w:r>
    </w:p>
    <w:p>
      <w:pPr>
        <w:spacing w:after="4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4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1900"/>
        <w:gridCol w:w="7846"/>
      </w:tblGrid>
      <w:tr>
        <w:trPr>
          <w:tblHeader/>
        </w:trP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项目</w:t>
            </w:r>
          </w:p>
        </w:tc>
        <w:tc>
          <w:tcPr>
            <w:tcW w:type="dxa" w:w="784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优先格式</w:t>
            </w:r>
          </w:p>
        </w:tc>
        <w:tc>
          <w:tcPr>
            <w:tcW w:type="dxa" w:w="7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CAD（.dwg）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次选</w:t>
            </w:r>
          </w:p>
        </w:tc>
        <w:tc>
          <w:tcPr>
            <w:tcW w:type="dxa" w:w="7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矢量 PDF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位图</w:t>
            </w:r>
          </w:p>
        </w:tc>
        <w:tc>
          <w:tcPr>
            <w:tcW w:type="dxa" w:w="7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需带比例尺与指北针；扫描纸质图纸时请在图边放置直尺或标注已知长度作为比例参照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密级</w:t>
            </w:r>
          </w:p>
        </w:tc>
        <w:tc>
          <w:tcPr>
            <w:tcW w:type="dxa" w:w="78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图纸属重要级，交付前请告知脱敏与水印要求，我方按贵方规范处理，并在项目结束后出具数据销毁证明</w:t>
            </w:r>
          </w:p>
        </w:tc>
      </w:tr>
    </w:tbl>
    <w:p>
      <w:pPr>
        <w:spacing w:after="8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00" w:before="60" w:line="300"/>
      </w:pPr>
      <w:r>
        <w:rPr>
          <w:rFonts w:ascii="微软雅黑" w:cs="微软雅黑" w:eastAsia="微软雅黑" w:hAnsi="微软雅黑"/>
          <w:b w:val="false"/>
          <w:bCs w:val="false"/>
          <w:i/>
          <w:iCs/>
          <w:sz w:val="21"/>
          <w:szCs w:val="21"/>
        </w:rPr>
        <w:t xml:space="preserve">《图纸汇总表》中 M15 已标注为"纸质图纸"，如尚有同类情况请一并说明。</w:t>
      </w:r>
    </w:p>
    <w:p>
      <w:pPr>
        <w:pStyle w:val="Heading1"/>
        <w:keepNext/>
        <w:spacing w:after="160" w:befor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8"/>
          <w:szCs w:val="28"/>
        </w:rPr>
        <w:t xml:space="preserve">四、需贵方核对的三处数据差异</w:t>
      </w:r>
    </w:p>
    <w:p>
      <w:pPr>
        <w:spacing w:after="100" w:before="60" w:line="30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>盘点过程中发现以下不一致，请协助确认，以免影响后续设计口径：</w:t>
      </w:r>
    </w:p>
    <w:p>
      <w:pPr>
        <w:spacing w:after="6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4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520"/>
        <w:gridCol w:w="2200"/>
        <w:gridCol w:w="7026"/>
      </w:tblGrid>
      <w:tr>
        <w:trPr>
          <w:tblHeader/>
        </w:trPr>
        <w:tc>
          <w:tcPr>
            <w:tcW w:type="dxa" w:w="52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事项</w:t>
            </w:r>
          </w:p>
        </w:tc>
        <w:tc>
          <w:tcPr>
            <w:tcW w:type="dxa" w:w="70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差异说明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可燃气体报警主机数量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《场景需求统计表》记"接入消防平台 8 个"；《报警主机设备清单》仅列 2 台（危险品仓库 VT320H、危废品仓库 VT310），相差 6 台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排烟风机数量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SOW 附录五记"排烟风速计量（含风向）110"；《场景需求统计表》记 89 台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消防主机数量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《场景需求统计表》"主机信号传输 22"与设备清单火灾报警主机 22 台一致，无需处理，供交叉验证参考</w:t>
            </w:r>
          </w:p>
        </w:tc>
      </w:tr>
    </w:tbl>
    <w:p>
      <w:pPr>
        <w:pStyle w:val="Heading1"/>
        <w:keepNext/>
        <w:spacing w:after="160" w:befor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8"/>
          <w:szCs w:val="28"/>
        </w:rPr>
        <w:t xml:space="preserve">五、其他需贵方确认的事项</w:t>
      </w:r>
    </w:p>
    <w:p>
      <w:pPr>
        <w:spacing w:after="4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4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520"/>
        <w:gridCol w:w="4426"/>
        <w:gridCol w:w="4800"/>
      </w:tblGrid>
      <w:tr>
        <w:trPr>
          <w:tblHeader/>
        </w:trPr>
        <w:tc>
          <w:tcPr>
            <w:tcW w:type="dxa" w:w="52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44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事项</w:t>
            </w:r>
          </w:p>
        </w:tc>
        <w:tc>
          <w:tcPr>
            <w:tcW w:type="dxa" w:w="4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集团 12 个园区的正式名称与简称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跨园区调度模块的园区编码，一次确定后不宜调整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EHS 平台 5S 责任区编码规则，及是否可直接取用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区域级空间编码（SOW 1.4.3.2.4.6 要求自动抓取）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建筑编号权威来源——图纸 M1–M19 / MF1–MF8 是否即为主数据编号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全平台空间编码基准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EHS 现有事件与隐患类型字典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平台告警类型需与其对齐，避免另立标准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人员主数据来源（PS/WTS 工号规则；外协人员是否已有统一编号）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支撑黑名单全集团联动、疏散清点等跨系统场景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门禁系统（达实）授权组的既有编码方式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人员授权与权限回收</w:t>
            </w:r>
          </w:p>
        </w:tc>
      </w:tr>
      <w:tr>
        <w:tc>
          <w:tcPr>
            <w:tcW w:type="dxa" w:w="5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IOC 平台归属与数据接入规范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决定数据看板由本平台实现还是嵌入 IOC</w:t>
            </w:r>
          </w:p>
        </w:tc>
      </w:tr>
    </w:tbl>
    <w:p>
      <w:pPr>
        <w:pStyle w:val="Heading1"/>
        <w:keepNext/>
        <w:spacing w:after="160" w:before="320"/>
      </w:pPr>
      <w:r>
        <w:rPr>
          <w:rFonts w:ascii="微软雅黑" w:cs="微软雅黑" w:eastAsia="微软雅黑" w:hAnsi="微软雅黑"/>
          <w:b/>
          <w:bCs/>
          <w:i w:val="false"/>
          <w:iCs w:val="false"/>
          <w:color w:val="1F4E79"/>
          <w:sz w:val="28"/>
          <w:szCs w:val="28"/>
        </w:rPr>
        <w:t xml:space="preserve">六、时间与配合建议</w:t>
      </w:r>
    </w:p>
    <w:p>
      <w:pPr>
        <w:spacing w:after="4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/>
      </w:r>
    </w:p>
    <w:tbl>
      <w:tblPr>
        <w:tblW w:type="dxa" w:w="9746"/>
        <w:tblBorders>
          <w:top w:val="single" w:color="B7C4D2" w:sz="4"/>
          <w:left w:val="single" w:color="B7C4D2" w:sz="4"/>
          <w:bottom w:val="single" w:color="B7C4D2" w:sz="4"/>
          <w:right w:val="single" w:color="B7C4D2" w:sz="4"/>
          <w:insideH w:val="single" w:color="D6DEE7" w:sz="3"/>
          <w:insideV w:val="single" w:color="D6DEE7" w:sz="3"/>
        </w:tblBorders>
      </w:tblPr>
      <w:tblGrid>
        <w:gridCol w:w="1400"/>
        <w:gridCol w:w="5346"/>
        <w:gridCol w:w="3000"/>
      </w:tblGrid>
      <w:tr>
        <w:trPr>
          <w:tblHeader/>
        </w:trPr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阶段</w:t>
            </w:r>
          </w:p>
        </w:tc>
        <w:tc>
          <w:tcPr>
            <w:tcW w:type="dxa" w:w="534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内容</w:t>
            </w:r>
          </w:p>
        </w:tc>
        <w:tc>
          <w:tcPr>
            <w:tcW w:type="dxa" w:w="3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sz w:val="19"/>
                <w:szCs w:val="19"/>
              </w:rPr>
              <w:t xml:space="preserve">需贵方配合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 1 周</w:t>
            </w:r>
          </w:p>
        </w:tc>
        <w:tc>
          <w:tcPr>
            <w:tcW w:type="dxa" w:w="53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补全图纸台账（3.1）、提供第一批 5 份图纸（3.2）、答复第四 / 五节确认事项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图纸管理、EHS、消防、IT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 2–3 周</w:t>
            </w:r>
          </w:p>
        </w:tc>
        <w:tc>
          <w:tcPr>
            <w:tcW w:type="dxa" w:w="53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首个模块建模与剧本实现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现场答疑 1–2 次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第 4 周</w:t>
            </w:r>
          </w:p>
        </w:tc>
        <w:tc>
          <w:tcPr>
            <w:tcW w:type="dxa" w:w="534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首轮演示与评审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业务与管理层参会</w:t>
            </w:r>
          </w:p>
        </w:tc>
      </w:tr>
    </w:tbl>
    <w:p>
      <w:pPr>
        <w:spacing w:after="100" w:before="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00" w:before="60" w:line="300"/>
      </w:pPr>
      <w:r>
        <w:rPr>
          <w:rFonts w:ascii="微软雅黑" w:cs="微软雅黑" w:eastAsia="微软雅黑" w:hAnsi="微软雅黑"/>
          <w:b/>
          <w:bCs/>
          <w:i w:val="false"/>
          <w:iCs w:val="false"/>
          <w:sz w:val="21"/>
          <w:szCs w:val="21"/>
        </w:rPr>
        <w:t xml:space="preserve">第一批图纸与第五节第 1–3 项为启动前置条件，恳请优先安排。</w:t>
      </w:r>
    </w:p>
    <w:p>
      <w:pPr>
        <w:pBdr>
          <w:top w:val="single" w:color="1F4E79" w:sz="6" w:space="10"/>
        </w:pBdr>
        <w:spacing w:after="0" w:before="300"/>
        <w:jc w:val="center"/>
      </w:pPr>
      <w:r>
        <w:rPr>
          <w:rFonts w:ascii="微软雅黑" w:cs="微软雅黑" w:eastAsia="微软雅黑" w:hAnsi="微软雅黑"/>
          <w:b w:val="false"/>
          <w:bCs w:val="false"/>
          <w:i/>
          <w:iCs/>
          <w:color w:val="767676"/>
          <w:sz w:val="18"/>
          <w:szCs w:val="18"/>
        </w:rPr>
        <w:t xml:space="preserve">本清单为 POC 阶段工作文件，剧本范围与资料清单可根据贵方反馈调整。</w:t>
      </w:r>
    </w:p>
    <w:sectPr>
      <w:footerReference w:type="default" r:id="rId7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888888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20"/>
      </w:pPr>
      <w:rPr>
        <w:rFonts w:ascii="微软雅黑" w:cs="微软雅黑" w:eastAsia="微软雅黑" w:hAnsi="微软雅黑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2026-08-29T17:21:53.951Z</dcterms:created>
  <dcterms:modified xsi:type="dcterms:W3CDTF">2026-08-29T17:21:53.951Z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