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2"/>
        </w:rPr>
        <w:t>Acceptance Testing</w:t>
      </w:r>
    </w:p>
    <w:p>
      <w:pPr>
        <w:spacing w:after="160"/>
        <w:jc w:val="center"/>
      </w:pPr>
      <w:r>
        <w:rPr>
          <w:b/>
          <w:sz w:val="22"/>
        </w:rPr>
        <w:t>UAT Execution &amp; Report Submission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15"/>
        <w:gridCol w:w="5616"/>
      </w:tblGrid>
      <w:tr>
        <w:tc>
          <w:tcPr>
            <w:tcW w:type="dxa" w:w="2016"/>
          </w:tcPr>
          <w:p>
            <w:pPr>
              <w:spacing w:after="0"/>
            </w:pPr>
            <w:r>
              <w:rPr>
                <w:sz w:val="20"/>
              </w:rPr>
              <w:t>Date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sz w:val="20"/>
              </w:rPr>
              <w:t>30 September 2026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20"/>
              </w:rPr>
              <w:t>Team ID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sz w:val="20"/>
              </w:rPr>
              <w:t>SWTID-2026-5468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20"/>
              </w:rPr>
              <w:t>Project Name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sz w:val="20"/>
              </w:rPr>
              <w:t>Implement Client Script &amp; UI Policy (Incident)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20"/>
              </w:rPr>
              <w:t>Maximum Marks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sz w:val="20"/>
              </w:rPr>
              <w:t>4 Marks</w:t>
            </w:r>
          </w:p>
        </w:tc>
      </w:tr>
    </w:tbl>
    <w:p>
      <w:pPr>
        <w:spacing w:after="80" w:before="280"/>
      </w:pPr>
      <w:r>
        <w:rPr>
          <w:b/>
          <w:color w:val="9B2D30"/>
          <w:sz w:val="24"/>
        </w:rPr>
        <w:t>1. Purpose of Document</w:t>
      </w:r>
    </w:p>
    <w:p>
      <w:pPr>
        <w:spacing w:after="120"/>
        <w:ind w:left="360"/>
      </w:pPr>
      <w:r>
        <w:rPr>
          <w:b w:val="0"/>
          <w:sz w:val="20"/>
        </w:rPr>
        <w:t>The purpose of this document is to briefly explain the test coverage and open issues of the Implement Client Script &amp; UI Policy (Incident) project at the time of the release to User Acceptance Testing (UAT).</w:t>
      </w:r>
    </w:p>
    <w:p>
      <w:pPr>
        <w:spacing w:after="80" w:before="280"/>
      </w:pPr>
      <w:r>
        <w:rPr>
          <w:b/>
          <w:color w:val="9B2D30"/>
          <w:sz w:val="24"/>
        </w:rPr>
        <w:t>2. Defect Analysis</w:t>
      </w:r>
    </w:p>
    <w:p>
      <w:pPr>
        <w:spacing w:after="120"/>
        <w:ind w:left="360"/>
      </w:pPr>
      <w:r>
        <w:rPr>
          <w:b w:val="0"/>
          <w:sz w:val="20"/>
        </w:rPr>
        <w:t>This report shows the number of resolved or closed bugs at each severity level, and how they were resolved. No defects were raised during UAT, so all counts are zero.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368"/>
        <w:gridCol w:w="1368"/>
        <w:gridCol w:w="1368"/>
        <w:gridCol w:w="1368"/>
        <w:gridCol w:w="1368"/>
      </w:tblGrid>
      <w:tr>
        <w:tc>
          <w:tcPr>
            <w:tcW w:type="dxa" w:w="1872"/>
            <w:shd w:val="clear" w:color="auto" w:fill="F2F2F2"/>
          </w:tcPr>
          <w:p>
            <w:pPr>
              <w:spacing w:after="60" w:before="60"/>
            </w:pPr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1368"/>
            <w:shd w:val="clear" w:color="auto" w:fill="F2F2F2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Severity 1</w:t>
            </w:r>
          </w:p>
        </w:tc>
        <w:tc>
          <w:tcPr>
            <w:tcW w:type="dxa" w:w="1368"/>
            <w:shd w:val="clear" w:color="auto" w:fill="F2F2F2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Severity 2</w:t>
            </w:r>
          </w:p>
        </w:tc>
        <w:tc>
          <w:tcPr>
            <w:tcW w:type="dxa" w:w="1368"/>
            <w:shd w:val="clear" w:color="auto" w:fill="F2F2F2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Severity 3</w:t>
            </w:r>
          </w:p>
        </w:tc>
        <w:tc>
          <w:tcPr>
            <w:tcW w:type="dxa" w:w="1368"/>
            <w:shd w:val="clear" w:color="auto" w:fill="F2F2F2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Severity 4</w:t>
            </w:r>
          </w:p>
        </w:tc>
        <w:tc>
          <w:tcPr>
            <w:tcW w:type="dxa" w:w="1368"/>
            <w:shd w:val="clear" w:color="auto" w:fill="F2F2F2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Subtotal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By Design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Duplicate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External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Fixed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Not Reproduced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Skipped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Won't Fix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Totals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68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</w:tr>
    </w:tbl>
    <w:p>
      <w:pPr>
        <w:spacing w:after="80" w:before="280"/>
      </w:pPr>
      <w:r>
        <w:rPr>
          <w:b/>
          <w:color w:val="9B2D30"/>
          <w:sz w:val="24"/>
        </w:rPr>
        <w:t>3. Test Case Analysis</w:t>
      </w:r>
    </w:p>
    <w:p>
      <w:pPr>
        <w:spacing w:after="120"/>
        <w:ind w:left="360"/>
      </w:pPr>
      <w:r>
        <w:rPr>
          <w:b w:val="0"/>
          <w:sz w:val="20"/>
        </w:rPr>
        <w:t>This report shows the number of test cases that have passed, failed, and untested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1440"/>
        <w:gridCol w:w="1440"/>
        <w:gridCol w:w="1152"/>
        <w:gridCol w:w="1152"/>
      </w:tblGrid>
      <w:tr>
        <w:tc>
          <w:tcPr>
            <w:tcW w:type="dxa" w:w="3744"/>
            <w:shd w:val="clear" w:color="auto" w:fill="F2F2F2"/>
          </w:tcPr>
          <w:p>
            <w:pPr>
              <w:spacing w:after="60" w:before="60"/>
            </w:pPr>
            <w:r>
              <w:rPr>
                <w:b/>
                <w:sz w:val="18"/>
              </w:rPr>
              <w:t>Section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Total Cases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Not Tested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Fail</w:t>
            </w:r>
          </w:p>
        </w:tc>
        <w:tc>
          <w:tcPr>
            <w:tcW w:type="dxa" w:w="1152"/>
            <w:shd w:val="clear" w:color="auto" w:fill="F2F2F2"/>
          </w:tcPr>
          <w:p>
            <w:pPr>
              <w:spacing w:after="60" w:before="60"/>
              <w:jc w:val="center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3744"/>
          </w:tcPr>
          <w:p>
            <w:pPr>
              <w:spacing w:after="60" w:before="60"/>
            </w:pPr>
            <w:r>
              <w:rPr>
                <w:sz w:val="18"/>
              </w:rPr>
              <w:t>UI Policy (High Impact Control)</w:t>
            </w:r>
          </w:p>
        </w:tc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744"/>
          </w:tcPr>
          <w:p>
            <w:pPr>
              <w:spacing w:after="60" w:before="60"/>
            </w:pPr>
            <w:r>
              <w:rPr>
                <w:sz w:val="18"/>
              </w:rPr>
              <w:t>onChange Client Script</w:t>
            </w:r>
          </w:p>
        </w:tc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744"/>
          </w:tcPr>
          <w:p>
            <w:pPr>
              <w:spacing w:after="60" w:before="60"/>
            </w:pPr>
            <w:r>
              <w:rPr>
                <w:sz w:val="18"/>
              </w:rPr>
              <w:t>onSubmit Client Script</w:t>
            </w:r>
          </w:p>
        </w:tc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744"/>
          </w:tcPr>
          <w:p>
            <w:pPr>
              <w:spacing w:after="60" w:before="60"/>
            </w:pPr>
            <w:r>
              <w:rPr>
                <w:sz w:val="18"/>
              </w:rPr>
              <w:t>Reverse Condition</w:t>
            </w:r>
          </w:p>
        </w:tc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744"/>
          </w:tcPr>
          <w:p>
            <w:pPr>
              <w:spacing w:after="60" w:before="60"/>
            </w:pPr>
            <w:r>
              <w:rPr>
                <w:sz w:val="18"/>
              </w:rPr>
              <w:t>onCellEdit Client Script</w:t>
            </w:r>
          </w:p>
        </w:tc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744"/>
          </w:tcPr>
          <w:p>
            <w:pPr>
              <w:spacing w:after="60" w:before="60"/>
            </w:pPr>
            <w:r>
              <w:rPr>
                <w:sz w:val="18"/>
              </w:rPr>
              <w:t>Form-based State Update</w:t>
            </w:r>
          </w:p>
        </w:tc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pPr>
              <w:spacing w:after="60" w:before="60"/>
              <w:jc w:val="center"/>
            </w:pPr>
            <w:r>
              <w:rPr>
                <w:sz w:val="18"/>
              </w:rPr>
              <w:t>1</w:t>
            </w:r>
          </w:p>
        </w:tc>
      </w:tr>
    </w:tbl>
    <w:p>
      <w:pPr>
        <w:spacing w:after="0"/>
      </w:pPr>
      <w:r>
        <w:rPr>
          <w:b w:val="0"/>
          <w:sz w:val="20"/>
        </w:rPr>
      </w:r>
    </w:p>
    <w:p>
      <w:pPr>
        <w:spacing w:after="120"/>
        <w:ind w:left="360"/>
      </w:pPr>
      <w:r>
        <w:rPr>
          <w:b w:val="0"/>
          <w:sz w:val="18"/>
        </w:rPr>
        <w:t>Total test cases: 7; Passed: 7; Failed: 0; Not tested: 0 (see User Acceptance Testing FSD, test cases TC-001 to TC-007).</w:t>
      </w:r>
    </w:p>
    <w:sectPr w:rsidR="00FC693F" w:rsidRPr="0006063C" w:rsidSect="00034616">
      <w:pgSz w:w="11909" w:h="16834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