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0"/>
          <w:szCs w:val="40"/>
        </w:rPr>
        <w:t xml:space="preserve">SOSTAC Plan and Strategy Definition</w:t>
      </w:r>
    </w:p>
    <w:p>
      <w:pPr>
        <w:spacing w:after="60"/>
      </w:pPr>
      <w:r>
        <w:rPr>
          <w:rFonts w:ascii="Arial" w:cs="Arial" w:eastAsia="Arial" w:hAnsi="Arial"/>
          <w:color w:val="555555"/>
          <w:sz w:val="24"/>
          <w:szCs w:val="24"/>
        </w:rPr>
        <w:t xml:space="preserve">Mortah (مرتاح) | Ergonomic gaming chairs, office chairs, and desks</w:t>
      </w:r>
    </w:p>
    <w:p>
      <w:pPr>
        <w:pBdr>
          <w:bottom w:val="single" w:color="1F3A5F" w:sz="8" w:space="4"/>
        </w:pBdr>
        <w:spacing w:after="200"/>
      </w:pPr>
      <w:r>
        <w:rPr>
          <w:rFonts w:ascii="Arial" w:cs="Arial" w:eastAsia="Arial" w:hAnsi="Arial"/>
          <w:color w:val="777777"/>
          <w:sz w:val="19"/>
          <w:szCs w:val="19"/>
        </w:rPr>
        <w:t xml:space="preserve">Digital Marketing Specialist Final Project | Milestone 1 | Plan period: first 6 months after launch</w:t>
      </w:r>
    </w:p>
    <w:p>
      <w:pPr>
        <w:pStyle w:val="Heading1"/>
        <w:spacing w:after="140" w:before="320"/>
      </w:pPr>
      <w:r>
        <w:rPr>
          <w:rFonts w:ascii="Arial" w:cs="Arial" w:eastAsia="Arial" w:hAnsi="Arial"/>
          <w:b/>
          <w:bCs/>
          <w:color w:val="1F3A5F"/>
          <w:sz w:val="30"/>
          <w:szCs w:val="30"/>
        </w:rPr>
        <w:t xml:space="preserve">Plan overview</w:t>
      </w:r>
    </w:p>
    <w:p>
      <w:pPr>
        <w:spacing w:after="120" w:line="276"/>
      </w:pPr>
      <w:r>
        <w:rPr>
          <w:rFonts w:ascii="Arial" w:cs="Arial" w:eastAsia="Arial" w:hAnsi="Arial"/>
          <w:sz w:val="21"/>
          <w:szCs w:val="21"/>
        </w:rPr>
        <w:t xml:space="preserve">Mortah is a website and social media brand selling locally made, health-supportive office furniture in Egypt: gaming chairs, office chairs, and desks. This plan follows the SOSTAC model (Situation, Objectives, Strategy, Tactics, Action, Control) and covers the first six months after launch. The plan is based on organic content only, with no paid advertising.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6" w:sz="4"/>
              <w:left w:val="single" w:color="C9CED6" w:sz="4"/>
              <w:bottom w:val="single" w:color="C9CED6" w:sz="4"/>
              <w:right w:val="single" w:color="C9CED6" w:sz="4"/>
            </w:tcBorders>
            <w:shd w:fill="F2F4F7" w:color="auto" w:val="clear"/>
            <w:tcMar>
              <w:top w:type="dxa" w:w="100"/>
              <w:left w:type="dxa" w:w="160"/>
              <w:bottom w:type="dxa" w:w="100"/>
              <w:right w:type="dxa" w:w="160"/>
            </w:tcMar>
          </w:tcPr>
          <w:p>
            <w:r>
              <w:rPr>
                <w:rFonts w:ascii="Arial" w:cs="Arial" w:eastAsia="Arial" w:hAnsi="Arial"/>
                <w:b/>
                <w:bCs/>
                <w:sz w:val="21"/>
                <w:szCs w:val="21"/>
              </w:rPr>
              <w:t xml:space="preserve">Brand promise: </w:t>
            </w:r>
            <w:r>
              <w:rPr>
                <w:rFonts w:ascii="Arial" w:cs="Arial" w:eastAsia="Arial" w:hAnsi="Arial"/>
                <w:sz w:val="21"/>
                <w:szCs w:val="21"/>
              </w:rPr>
              <w:t xml:space="preserve">Comfort and trust are the right of everyone who spends their day at a desk.</w:t>
            </w:r>
          </w:p>
        </w:tc>
      </w:tr>
    </w:tbl>
    <w:p>
      <w:pPr>
        <w:pStyle w:val="Heading1"/>
        <w:spacing w:after="140" w:before="320"/>
      </w:pPr>
      <w:r>
        <w:rPr>
          <w:rFonts w:ascii="Arial" w:cs="Arial" w:eastAsia="Arial" w:hAnsi="Arial"/>
          <w:b/>
          <w:bCs/>
          <w:color w:val="1F3A5F"/>
          <w:sz w:val="30"/>
          <w:szCs w:val="30"/>
        </w:rPr>
        <w:t xml:space="preserve">1.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Area</w:t>
            </w:r>
          </w:p>
        </w:tc>
        <w:tc>
          <w:tcPr>
            <w:tcW w:type="dxa" w:w="74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Current position</w:t>
            </w:r>
          </w:p>
        </w:tc>
      </w:tr>
      <w:tr>
        <w:tc>
          <w:tcPr>
            <w:tcW w:type="dxa" w:w="22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Market</w:t>
            </w:r>
          </w:p>
        </w:tc>
        <w:tc>
          <w:tcPr>
            <w:tcW w:type="dxa" w:w="7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Egypt’s furniture market is growing at roughly 6 to 8 percent a year, and office furniture is forecast to be among the fastest-growing segments. Office furniture alone was valued at about USD 230 million in 2024.</w:t>
            </w:r>
          </w:p>
        </w:tc>
      </w:tr>
      <w:tr>
        <w:tc>
          <w:tcPr>
            <w:tcW w:type="dxa" w:w="22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Customers</w:t>
            </w:r>
          </w:p>
        </w:tc>
        <w:tc>
          <w:tcPr>
            <w:tcW w:type="dxa" w:w="7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Primary: gamers, content creators, and freelancers who buy online and sit for long hours. Secondary: students and companies. Cash on delivery is preferred by most online shoppers, and Facebook pages and WhatsApp are the most used channels among online buyers.</w:t>
            </w:r>
          </w:p>
        </w:tc>
      </w:tr>
      <w:tr>
        <w:tc>
          <w:tcPr>
            <w:tcW w:type="dxa" w:w="22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Competitors</w:t>
            </w:r>
          </w:p>
        </w:tc>
        <w:tc>
          <w:tcPr>
            <w:tcW w:type="dxa" w:w="7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IKEA, Amazon Egypt, Noon, Games2Egypt, and second-hand listings on Dubizzle. Imported gaming chairs sell for about EGP 11,800 to 25,000, and branded ergonomic office chairs for about EGP 3,500 to 20,000.</w:t>
            </w:r>
          </w:p>
        </w:tc>
      </w:tr>
      <w:tr>
        <w:tc>
          <w:tcPr>
            <w:tcW w:type="dxa" w:w="22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Product and price</w:t>
            </w:r>
          </w:p>
        </w:tc>
        <w:tc>
          <w:tcPr>
            <w:tcW w:type="dxa" w:w="7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Six launch products: one gaming chair, one office chair, and four desk types (straight, L-shaped, U-shaped, height-adjustable). Prices are set about 20 percent below comparable branded alternatives.</w:t>
            </w:r>
          </w:p>
        </w:tc>
      </w:tr>
      <w:tr>
        <w:tc>
          <w:tcPr>
            <w:tcW w:type="dxa" w:w="22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Services</w:t>
            </w:r>
          </w:p>
        </w:tc>
        <w:tc>
          <w:tcPr>
            <w:tcW w:type="dxa" w:w="7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Custom orders, one-year warranty, 14-day returns with product inspection, assembled delivery, cash on delivery and InstaPay, and a health-guidance booklet with every product.</w:t>
            </w:r>
          </w:p>
        </w:tc>
      </w:tr>
      <w:tr>
        <w:tc>
          <w:tcPr>
            <w:tcW w:type="dxa" w:w="22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Environment (PEST)</w:t>
            </w:r>
          </w:p>
        </w:tc>
        <w:tc>
          <w:tcPr>
            <w:tcW w:type="dxa" w:w="7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Inflation of 12.8 percent and a volatile exchange rate raise cost pressure; internet and mobile payment adoption support online selling; online buying and social commerce are growing quickly.</w:t>
            </w:r>
          </w:p>
        </w:tc>
      </w:tr>
      <w:tr>
        <w:tc>
          <w:tcPr>
            <w:tcW w:type="dxa" w:w="22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Resources</w:t>
            </w:r>
          </w:p>
        </w:tc>
        <w:tc>
          <w:tcPr>
            <w:tcW w:type="dxa" w:w="7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 team of five, a website with direct ordering, social media pages, and contracted local factories. Marketing is organic only; paid media budget is EGP 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Strengths and opportunities</w:t>
            </w:r>
          </w:p>
        </w:tc>
        <w:tc>
          <w:tcPr>
            <w:tcW w:type="dxa" w:w="4819"/>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Weaknesses and threats</w:t>
            </w:r>
          </w:p>
        </w:tc>
      </w:tr>
      <w:tr>
        <w:tc>
          <w:tcPr>
            <w:tcW w:type="dxa" w:w="4819"/>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Locally made ergonomic products with quality control and a warranty; prices about 20 percent below branded alternatives; custom orders; health booklet; a price gap between imported brands and generic products.</w:t>
            </w:r>
          </w:p>
        </w:tc>
        <w:tc>
          <w:tcPr>
            <w:tcW w:type="dxa" w:w="4819"/>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Several segments may blur the brand message; stock requires upfront capital; a new brand with no reviews yet; strong competitors; inflation and exchange-rate swings; shipping large assembled items to the governorates.</w:t>
            </w:r>
          </w:p>
        </w:tc>
      </w:tr>
    </w:tbl>
    <w:p>
      <w:pPr>
        <w:pStyle w:val="Heading1"/>
        <w:spacing w:after="140" w:before="320"/>
      </w:pPr>
      <w:r>
        <w:rPr>
          <w:rFonts w:ascii="Arial" w:cs="Arial" w:eastAsia="Arial" w:hAnsi="Arial"/>
          <w:b/>
          <w:bCs/>
          <w:color w:val="1F3A5F"/>
          <w:sz w:val="30"/>
          <w:szCs w:val="30"/>
        </w:rPr>
        <w:t xml:space="preserve">2. Objectives</w:t>
      </w:r>
    </w:p>
    <w:p>
      <w:pPr>
        <w:spacing w:after="120" w:line="276"/>
      </w:pPr>
      <w:r>
        <w:rPr>
          <w:rFonts w:ascii="Arial" w:cs="Arial" w:eastAsia="Arial" w:hAnsi="Arial"/>
          <w:sz w:val="21"/>
          <w:szCs w:val="21"/>
        </w:rPr>
        <w:t xml:space="preserve">Objectives follow the 5S framework (Sell, Serve, Speak, Sizzle, Save) and the SMART criteria. All targets apply to the first six months after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438"/>
        <w:gridCol w:w="1900"/>
      </w:tblGrid>
      <w:tr>
        <w:trPr>
          <w:tblHeader/>
        </w:trPr>
        <w:tc>
          <w:tcPr>
            <w:tcW w:type="dxa" w:w="8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5S</w:t>
            </w:r>
          </w:p>
        </w:tc>
        <w:tc>
          <w:tcPr>
            <w:tcW w:type="dxa" w:w="3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Objective</w:t>
            </w:r>
          </w:p>
        </w:tc>
        <w:tc>
          <w:tcPr>
            <w:tcW w:type="dxa" w:w="34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Target</w:t>
            </w:r>
          </w:p>
        </w:tc>
        <w:tc>
          <w:tcPr>
            <w:tcW w:type="dxa" w:w="19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Deadline</w:t>
            </w:r>
          </w:p>
        </w:tc>
      </w:tr>
      <w:tr>
        <w:tc>
          <w:tcPr>
            <w:tcW w:type="dxa" w:w="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Sizzle</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Build brand awareness among gamers, creators, freelancers, students, and companies</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3,000 followers across Instagram (1,200), TikTok (1,000), Facebook (600), and LinkedIn (200); 100,000 total content views</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 6</w:t>
            </w:r>
          </w:p>
        </w:tc>
      </w:tr>
      <w:tr>
        <w:tc>
          <w:tcPr>
            <w:tcW w:type="dxa" w:w="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Speak</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Create active conversation around ergonomics and workspace setup</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Average engagement rate of at least 3 percent on Instagram; at least 20 comments or direct messages per week by month 3</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 3 and 6</w:t>
            </w:r>
          </w:p>
        </w:tc>
      </w:tr>
      <w:tr>
        <w:tc>
          <w:tcPr>
            <w:tcW w:type="dxa" w:w="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Sell</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Turn inquiries into orders through the website and WhatsApp</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300 inquiries in total; at least 15 percent converted into orders (about 45 orders)</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 6</w:t>
            </w:r>
          </w:p>
        </w:tc>
      </w:tr>
      <w:tr>
        <w:tc>
          <w:tcPr>
            <w:tcW w:type="dxa" w:w="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Serve</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Give fast, reliable customer support</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Reply to at least 90 percent of messages within 1 hour during working hours</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From launch</w:t>
            </w:r>
          </w:p>
        </w:tc>
      </w:tr>
      <w:tr>
        <w:tc>
          <w:tcPr>
            <w:tcW w:type="dxa" w:w="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Save</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Reach customers without paid media</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Paid advertising spend of EGP 0; free tools only</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Throughout</w:t>
            </w:r>
          </w:p>
        </w:tc>
      </w:tr>
    </w:tbl>
    <w:p>
      <w:pPr>
        <w:pStyle w:val="Heading1"/>
        <w:spacing w:after="140" w:before="320"/>
      </w:pPr>
      <w:r>
        <w:rPr>
          <w:rFonts w:ascii="Arial" w:cs="Arial" w:eastAsia="Arial" w:hAnsi="Arial"/>
          <w:b/>
          <w:bCs/>
          <w:color w:val="1F3A5F"/>
          <w:sz w:val="30"/>
          <w:szCs w:val="30"/>
        </w:rPr>
        <w:t xml:space="preserve">3. Strategy</w:t>
      </w:r>
    </w:p>
    <w:p>
      <w:pPr>
        <w:pStyle w:val="Heading2"/>
        <w:spacing w:after="100" w:before="200"/>
      </w:pPr>
      <w:r>
        <w:rPr>
          <w:rFonts w:ascii="Arial" w:cs="Arial" w:eastAsia="Arial" w:hAnsi="Arial"/>
          <w:b/>
          <w:bCs/>
          <w:color w:val="1F3A5F"/>
          <w:sz w:val="24"/>
          <w:szCs w:val="24"/>
        </w:rPr>
        <w:t xml:space="preserve">3.1 Strategy definition</w:t>
      </w:r>
    </w:p>
    <w:p>
      <w:pPr>
        <w:spacing w:after="120" w:line="276"/>
      </w:pPr>
      <w:r>
        <w:rPr>
          <w:rFonts w:ascii="Arial" w:cs="Arial" w:eastAsia="Arial" w:hAnsi="Arial"/>
          <w:sz w:val="21"/>
          <w:szCs w:val="21"/>
        </w:rPr>
        <w:t xml:space="preserve">Mortah builds trust and demand through organic, educational, and proof-based content: showing how the products protect users’ health, proving the quality of local manufacturing, and making it easy to ask a question or order. The strategy relies on social media for discovery, WhatsApp for conversation, and the website for ordering.</w:t>
      </w:r>
    </w:p>
    <w:p>
      <w:pPr>
        <w:pStyle w:val="Heading2"/>
        <w:spacing w:after="100" w:before="200"/>
      </w:pPr>
      <w:r>
        <w:rPr>
          <w:rFonts w:ascii="Arial" w:cs="Arial" w:eastAsia="Arial" w:hAnsi="Arial"/>
          <w:b/>
          <w:bCs/>
          <w:color w:val="1F3A5F"/>
          <w:sz w:val="24"/>
          <w:szCs w:val="24"/>
        </w:rPr>
        <w:t xml:space="preserve">3.2 Segmentation, targeting, and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Element</w:t>
            </w:r>
          </w:p>
        </w:tc>
        <w:tc>
          <w:tcPr>
            <w:tcW w:type="dxa" w:w="72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Definition</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Primary target</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Gamers, content creators, and freelancers in Cairo, Giza, Alexandria, and the northern governorates who buy online and look for a comfortable, health-supportive setup at a fair price.</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Secondary target</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Students (affordable posture-friendly study setups) and companies (bulk quotations and consistent quality).</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Positioning</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Comfort and health at a competitive price: a locally made office furniture brand that combines ergonomic design, reliable quality, and health guidance.</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Unique selling proposition</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 health-guidance booklet with every product, backed by ergonomic design made locally with quality control, a one-year warranty, a 14-day return policy, and prices about 20 percent below comparable branded alternatives.</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Geography</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Cairo, Giza, Alexandria, and the northern governorates first, then the rest of Egypt.</w:t>
            </w:r>
          </w:p>
        </w:tc>
      </w:tr>
    </w:tbl>
    <w:p>
      <w:pPr>
        <w:pStyle w:val="Heading2"/>
        <w:spacing w:after="100" w:before="200"/>
      </w:pPr>
      <w:r>
        <w:rPr>
          <w:rFonts w:ascii="Arial" w:cs="Arial" w:eastAsia="Arial" w:hAnsi="Arial"/>
          <w:b/>
          <w:bCs/>
          <w:color w:val="1F3A5F"/>
          <w:sz w:val="24"/>
          <w:szCs w:val="24"/>
        </w:rPr>
        <w:t xml:space="preserve">3.3 Customer journey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338"/>
      </w:tblGrid>
      <w:tr>
        <w:trPr>
          <w:tblHeader/>
        </w:trPr>
        <w:tc>
          <w:tcPr>
            <w:tcW w:type="dxa" w:w="17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Stage (RACE)</w:t>
            </w:r>
          </w:p>
        </w:tc>
        <w:tc>
          <w:tcPr>
            <w:tcW w:type="dxa" w:w="36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What happens</w:t>
            </w:r>
          </w:p>
        </w:tc>
        <w:tc>
          <w:tcPr>
            <w:tcW w:type="dxa" w:w="43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Where it happens</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Reach</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The audience discovers Mortah through educational and visual content.</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Instagram Reels, TikTok videos, Facebook posts, LinkedIn posts</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Act</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People follow, visit the profile or website, and ask questions.</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Profiles, website product pages, WhatsApp Business</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Convert</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Inquiries become orders, with customization notes if needed.</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WhatsApp conversations and website checkout (cash on delivery or InstaPay)</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Engage</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Customers share reviews and setups and stay connected.</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Customer stories, reviews, community replies, health booklet</w:t>
            </w:r>
          </w:p>
        </w:tc>
      </w:tr>
    </w:tbl>
    <w:p>
      <w:pPr>
        <w:pStyle w:val="Heading2"/>
        <w:spacing w:after="100" w:before="200"/>
      </w:pPr>
      <w:r>
        <w:rPr>
          <w:rFonts w:ascii="Arial" w:cs="Arial" w:eastAsia="Arial" w:hAnsi="Arial"/>
          <w:b/>
          <w:bCs/>
          <w:color w:val="1F3A5F"/>
          <w:sz w:val="24"/>
          <w:szCs w:val="24"/>
        </w:rPr>
        <w:t xml:space="preserve">3.4 Strategic phases</w:t>
      </w:r>
    </w:p>
    <w:p>
      <w:pPr>
        <w:pStyle w:val="ListParagraph"/>
        <w:numPr>
          <w:ilvl w:val="0"/>
          <w:numId w:val="2"/>
        </w:numPr>
        <w:spacing w:after="80" w:line="276"/>
      </w:pPr>
      <w:r>
        <w:rPr>
          <w:rFonts w:ascii="Arial" w:cs="Arial" w:eastAsia="Arial" w:hAnsi="Arial"/>
          <w:b/>
          <w:bCs/>
          <w:sz w:val="21"/>
          <w:szCs w:val="21"/>
        </w:rPr>
        <w:t xml:space="preserve">Phase 1, awareness (months 1 and 2): </w:t>
      </w:r>
      <w:r>
        <w:rPr>
          <w:rFonts w:ascii="Arial" w:cs="Arial" w:eastAsia="Arial" w:hAnsi="Arial"/>
          <w:sz w:val="21"/>
          <w:szCs w:val="21"/>
        </w:rPr>
        <w:t xml:space="preserve">introduce the brand, the products, and the health message.</w:t>
      </w:r>
    </w:p>
    <w:p>
      <w:pPr>
        <w:pStyle w:val="ListParagraph"/>
        <w:numPr>
          <w:ilvl w:val="0"/>
          <w:numId w:val="2"/>
        </w:numPr>
        <w:spacing w:after="80" w:line="276"/>
      </w:pPr>
      <w:r>
        <w:rPr>
          <w:rFonts w:ascii="Arial" w:cs="Arial" w:eastAsia="Arial" w:hAnsi="Arial"/>
          <w:b/>
          <w:bCs/>
          <w:sz w:val="21"/>
          <w:szCs w:val="21"/>
        </w:rPr>
        <w:t xml:space="preserve">Phase 2, trust and conversion (months 3 and 4): </w:t>
      </w:r>
      <w:r>
        <w:rPr>
          <w:rFonts w:ascii="Arial" w:cs="Arial" w:eastAsia="Arial" w:hAnsi="Arial"/>
          <w:sz w:val="21"/>
          <w:szCs w:val="21"/>
        </w:rPr>
        <w:t xml:space="preserve">show factory proof, product tests, customer reviews, and custom-order stories to turn interest into inquiries and orders.</w:t>
      </w:r>
    </w:p>
    <w:p>
      <w:pPr>
        <w:pStyle w:val="ListParagraph"/>
        <w:numPr>
          <w:ilvl w:val="0"/>
          <w:numId w:val="2"/>
        </w:numPr>
        <w:spacing w:after="80" w:line="276"/>
      </w:pPr>
      <w:r>
        <w:rPr>
          <w:rFonts w:ascii="Arial" w:cs="Arial" w:eastAsia="Arial" w:hAnsi="Arial"/>
          <w:b/>
          <w:bCs/>
          <w:sz w:val="21"/>
          <w:szCs w:val="21"/>
        </w:rPr>
        <w:t xml:space="preserve">Phase 3, growth (months 5 and 6): </w:t>
      </w:r>
      <w:r>
        <w:rPr>
          <w:rFonts w:ascii="Arial" w:cs="Arial" w:eastAsia="Arial" w:hAnsi="Arial"/>
          <w:sz w:val="21"/>
          <w:szCs w:val="21"/>
        </w:rPr>
        <w:t xml:space="preserve">add company outreach, bulk quotations, creator and student community collaborations, and repeat engagement.</w:t>
      </w:r>
    </w:p>
    <w:p>
      <w:pPr>
        <w:pStyle w:val="Heading1"/>
        <w:spacing w:after="140" w:before="320"/>
      </w:pPr>
      <w:r>
        <w:rPr>
          <w:rFonts w:ascii="Arial" w:cs="Arial" w:eastAsia="Arial" w:hAnsi="Arial"/>
          <w:b/>
          <w:bCs/>
          <w:color w:val="1F3A5F"/>
          <w:sz w:val="30"/>
          <w:szCs w:val="30"/>
        </w:rPr>
        <w:t xml:space="preserve">4. Tactics</w:t>
      </w:r>
    </w:p>
    <w:p>
      <w:pPr>
        <w:pStyle w:val="Heading2"/>
        <w:spacing w:after="100" w:before="200"/>
      </w:pPr>
      <w:r>
        <w:rPr>
          <w:rFonts w:ascii="Arial" w:cs="Arial" w:eastAsia="Arial" w:hAnsi="Arial"/>
          <w:b/>
          <w:bCs/>
          <w:color w:val="1F3A5F"/>
          <w:sz w:val="24"/>
          <w:szCs w:val="24"/>
        </w:rPr>
        <w:t xml:space="preserve">4.1 Content pillars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838"/>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Pillar</w:t>
            </w:r>
          </w:p>
        </w:tc>
        <w:tc>
          <w:tcPr>
            <w:tcW w:type="dxa" w:w="43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Content</w:t>
            </w:r>
          </w:p>
        </w:tc>
        <w:tc>
          <w:tcPr>
            <w:tcW w:type="dxa" w:w="28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Main segment</w:t>
            </w:r>
          </w:p>
        </w:tc>
      </w:tr>
      <w:tr>
        <w:tc>
          <w:tcPr>
            <w:tcW w:type="dxa" w:w="2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Health and ergonomics</w:t>
            </w:r>
          </w:p>
        </w:tc>
        <w:tc>
          <w:tcPr>
            <w:tcW w:type="dxa" w:w="4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Posture tips, sitting-time guidance, workspace setup, and extracts from the health booklet.</w:t>
            </w:r>
          </w:p>
        </w:tc>
        <w:tc>
          <w:tcPr>
            <w:tcW w:type="dxa" w:w="2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All segments</w:t>
            </w:r>
          </w:p>
        </w:tc>
      </w:tr>
      <w:tr>
        <w:tc>
          <w:tcPr>
            <w:tcW w:type="dxa" w:w="2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Quality proof</w:t>
            </w:r>
          </w:p>
        </w:tc>
        <w:tc>
          <w:tcPr>
            <w:tcW w:type="dxa" w:w="4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Factory visits, product tests, materials, and warranty and return policy.</w:t>
            </w:r>
          </w:p>
        </w:tc>
        <w:tc>
          <w:tcPr>
            <w:tcW w:type="dxa" w:w="2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All segments</w:t>
            </w:r>
          </w:p>
        </w:tc>
      </w:tr>
      <w:tr>
        <w:tc>
          <w:tcPr>
            <w:tcW w:type="dxa" w:w="2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Product showcase</w:t>
            </w:r>
          </w:p>
        </w:tc>
        <w:tc>
          <w:tcPr>
            <w:tcW w:type="dxa" w:w="4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Photos and short videos of the chair and desk models, dimensions, and features.</w:t>
            </w:r>
          </w:p>
        </w:tc>
        <w:tc>
          <w:tcPr>
            <w:tcW w:type="dxa" w:w="2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Gamers, creators, freelancers</w:t>
            </w:r>
          </w:p>
        </w:tc>
      </w:tr>
      <w:tr>
        <w:tc>
          <w:tcPr>
            <w:tcW w:type="dxa" w:w="2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Setups and customization</w:t>
            </w:r>
          </w:p>
        </w:tc>
        <w:tc>
          <w:tcPr>
            <w:tcW w:type="dxa" w:w="4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Example setups, custom-order stories, and cable-management ideas.</w:t>
            </w:r>
          </w:p>
        </w:tc>
        <w:tc>
          <w:tcPr>
            <w:tcW w:type="dxa" w:w="2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Gamers, creators, freelancers</w:t>
            </w:r>
          </w:p>
        </w:tc>
      </w:tr>
      <w:tr>
        <w:tc>
          <w:tcPr>
            <w:tcW w:type="dxa" w:w="2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Student and company content</w:t>
            </w:r>
          </w:p>
        </w:tc>
        <w:tc>
          <w:tcPr>
            <w:tcW w:type="dxa" w:w="4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Study-setup tips; bulk quotations and office packages.</w:t>
            </w:r>
          </w:p>
        </w:tc>
        <w:tc>
          <w:tcPr>
            <w:tcW w:type="dxa" w:w="2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Students, companies</w:t>
            </w:r>
          </w:p>
        </w:tc>
      </w:tr>
      <w:tr>
        <w:tc>
          <w:tcPr>
            <w:tcW w:type="dxa" w:w="2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Community and reviews</w:t>
            </w:r>
          </w:p>
        </w:tc>
        <w:tc>
          <w:tcPr>
            <w:tcW w:type="dxa" w:w="4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Customer photos, reviews, unboxing, and answers to common questions.</w:t>
            </w:r>
          </w:p>
        </w:tc>
        <w:tc>
          <w:tcPr>
            <w:tcW w:type="dxa" w:w="2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All segments</w:t>
            </w:r>
          </w:p>
        </w:tc>
      </w:tr>
    </w:tbl>
    <w:p>
      <w:pPr>
        <w:pStyle w:val="Heading2"/>
        <w:spacing w:after="100" w:before="200"/>
      </w:pPr>
      <w:r>
        <w:rPr>
          <w:rFonts w:ascii="Arial" w:cs="Arial" w:eastAsia="Arial" w:hAnsi="Arial"/>
          <w:b/>
          <w:bCs/>
          <w:color w:val="1F3A5F"/>
          <w:sz w:val="24"/>
          <w:szCs w:val="24"/>
        </w:rPr>
        <w:t xml:space="preserve">4.2 Platform tactics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438"/>
      </w:tblGrid>
      <w:tr>
        <w:trPr>
          <w:tblHeader/>
        </w:trPr>
        <w:tc>
          <w:tcPr>
            <w:tcW w:type="dxa" w:w="18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Platform</w:t>
            </w:r>
          </w:p>
        </w:tc>
        <w:tc>
          <w:tcPr>
            <w:tcW w:type="dxa" w:w="44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Activity</w:t>
            </w:r>
          </w:p>
        </w:tc>
        <w:tc>
          <w:tcPr>
            <w:tcW w:type="dxa" w:w="34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Frequency</w:t>
            </w:r>
          </w:p>
        </w:tc>
      </w:tr>
      <w:tr>
        <w:tc>
          <w:tcPr>
            <w:tcW w:type="dxa" w:w="1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Instagram</w:t>
            </w:r>
          </w:p>
        </w:tc>
        <w:tc>
          <w:tcPr>
            <w:tcW w:type="dxa" w:w="4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Reels, carousels, Stories, highlights for FAQs and reviews, and a link to the website.</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4 posts per week plus daily Stories</w:t>
            </w:r>
          </w:p>
        </w:tc>
      </w:tr>
      <w:tr>
        <w:tc>
          <w:tcPr>
            <w:tcW w:type="dxa" w:w="1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TikTok</w:t>
            </w:r>
          </w:p>
        </w:tc>
        <w:tc>
          <w:tcPr>
            <w:tcW w:type="dxa" w:w="4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Short videos on factory behind-the-scenes, posture tips, and setups.</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4 videos per week</w:t>
            </w:r>
          </w:p>
        </w:tc>
      </w:tr>
      <w:tr>
        <w:tc>
          <w:tcPr>
            <w:tcW w:type="dxa" w:w="1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Facebook</w:t>
            </w:r>
          </w:p>
        </w:tc>
        <w:tc>
          <w:tcPr>
            <w:tcW w:type="dxa" w:w="4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Product posts, educational posts, groups and communities, and a page message button.</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3 posts per week</w:t>
            </w:r>
          </w:p>
        </w:tc>
      </w:tr>
      <w:tr>
        <w:tc>
          <w:tcPr>
            <w:tcW w:type="dxa" w:w="1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LinkedIn</w:t>
            </w:r>
          </w:p>
        </w:tc>
        <w:tc>
          <w:tcPr>
            <w:tcW w:type="dxa" w:w="4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Company page posts on workplace ergonomics and bulk office furniture offers.</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 to 2 posts per week</w:t>
            </w:r>
          </w:p>
        </w:tc>
      </w:tr>
      <w:tr>
        <w:tc>
          <w:tcPr>
            <w:tcW w:type="dxa" w:w="1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WhatsApp Business</w:t>
            </w:r>
          </w:p>
        </w:tc>
        <w:tc>
          <w:tcPr>
            <w:tcW w:type="dxa" w:w="4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Product catalog, greeting message, quick replies, and labels for leads and orders.</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Daily</w:t>
            </w:r>
          </w:p>
        </w:tc>
      </w:tr>
      <w:tr>
        <w:tc>
          <w:tcPr>
            <w:tcW w:type="dxa" w:w="1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Website</w:t>
            </w:r>
          </w:p>
        </w:tc>
        <w:tc>
          <w:tcPr>
            <w:tcW w:type="dxa" w:w="4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Product pages with full descriptions and an order form with a notes field for customization.</w:t>
            </w:r>
          </w:p>
        </w:tc>
        <w:tc>
          <w:tcPr>
            <w:tcW w:type="dxa" w:w="34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Updated with each new product</w:t>
            </w:r>
          </w:p>
        </w:tc>
      </w:tr>
    </w:tbl>
    <w:p>
      <w:pPr>
        <w:pStyle w:val="Heading2"/>
        <w:spacing w:after="100" w:before="200"/>
      </w:pPr>
      <w:r>
        <w:rPr>
          <w:rFonts w:ascii="Arial" w:cs="Arial" w:eastAsia="Arial" w:hAnsi="Arial"/>
          <w:b/>
          <w:bCs/>
          <w:color w:val="1F3A5F"/>
          <w:sz w:val="24"/>
          <w:szCs w:val="24"/>
        </w:rPr>
        <w:t xml:space="preserve">4.3 Other organic tactics</w:t>
      </w:r>
    </w:p>
    <w:p>
      <w:pPr>
        <w:pStyle w:val="ListParagraph"/>
        <w:numPr>
          <w:ilvl w:val="0"/>
          <w:numId w:val="2"/>
        </w:numPr>
        <w:spacing w:after="80" w:line="276"/>
      </w:pPr>
      <w:r>
        <w:rPr>
          <w:rFonts w:ascii="Arial" w:cs="Arial" w:eastAsia="Arial" w:hAnsi="Arial"/>
          <w:sz w:val="21"/>
          <w:szCs w:val="21"/>
        </w:rPr>
        <w:t xml:space="preserve">A free downloadable posture and workspace guide, based on the health booklet, to attract inquiries.</w:t>
      </w:r>
    </w:p>
    <w:p>
      <w:pPr>
        <w:pStyle w:val="ListParagraph"/>
        <w:numPr>
          <w:ilvl w:val="0"/>
          <w:numId w:val="2"/>
        </w:numPr>
        <w:spacing w:after="80" w:line="276"/>
      </w:pPr>
      <w:r>
        <w:rPr>
          <w:rFonts w:ascii="Arial" w:cs="Arial" w:eastAsia="Arial" w:hAnsi="Arial"/>
          <w:sz w:val="21"/>
          <w:szCs w:val="21"/>
        </w:rPr>
        <w:t xml:space="preserve">Collaborations with micro-creators and student communities who demonstrate the products in real setups.</w:t>
      </w:r>
    </w:p>
    <w:p>
      <w:pPr>
        <w:pStyle w:val="ListParagraph"/>
        <w:numPr>
          <w:ilvl w:val="0"/>
          <w:numId w:val="2"/>
        </w:numPr>
        <w:spacing w:after="80" w:line="276"/>
      </w:pPr>
      <w:r>
        <w:rPr>
          <w:rFonts w:ascii="Arial" w:cs="Arial" w:eastAsia="Arial" w:hAnsi="Arial"/>
          <w:sz w:val="21"/>
          <w:szCs w:val="21"/>
        </w:rPr>
        <w:t xml:space="preserve">Customer reviews and photos collected after delivery and shared with permission.</w:t>
      </w:r>
    </w:p>
    <w:p>
      <w:pPr>
        <w:pStyle w:val="ListParagraph"/>
        <w:numPr>
          <w:ilvl w:val="0"/>
          <w:numId w:val="2"/>
        </w:numPr>
        <w:spacing w:after="80" w:line="276"/>
      </w:pPr>
      <w:r>
        <w:rPr>
          <w:rFonts w:ascii="Arial" w:cs="Arial" w:eastAsia="Arial" w:hAnsi="Arial"/>
          <w:sz w:val="21"/>
          <w:szCs w:val="21"/>
        </w:rPr>
        <w:t xml:space="preserve">Clear calls to action on every post: send a message on WhatsApp, visit the website, or ask for a quotation.</w:t>
      </w:r>
    </w:p>
    <w:p>
      <w:pPr>
        <w:pStyle w:val="Heading1"/>
        <w:spacing w:after="140" w:before="320"/>
      </w:pPr>
      <w:r>
        <w:rPr>
          <w:rFonts w:ascii="Arial" w:cs="Arial" w:eastAsia="Arial" w:hAnsi="Arial"/>
          <w:b/>
          <w:bCs/>
          <w:color w:val="1F3A5F"/>
          <w:sz w:val="30"/>
          <w:szCs w:val="30"/>
        </w:rPr>
        <w:t xml:space="preserve">5. Action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338"/>
        <w:gridCol w:w="2100"/>
      </w:tblGrid>
      <w:tr>
        <w:trPr>
          <w:tblHeader/>
        </w:trPr>
        <w:tc>
          <w:tcPr>
            <w:tcW w:type="dxa" w:w="17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Phase</w:t>
            </w:r>
          </w:p>
        </w:tc>
        <w:tc>
          <w:tcPr>
            <w:tcW w:type="dxa" w:w="1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Timing</w:t>
            </w:r>
          </w:p>
        </w:tc>
        <w:tc>
          <w:tcPr>
            <w:tcW w:type="dxa" w:w="43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Activities</w:t>
            </w:r>
          </w:p>
        </w:tc>
        <w:tc>
          <w:tcPr>
            <w:tcW w:type="dxa" w:w="21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Owner</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Preparation</w:t>
            </w:r>
          </w:p>
        </w:tc>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Weeks 1 and 2 before launch</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Create and brand all accounts; set up WhatsApp Business catalog; prepare product photos and videos; build a bank of 20 posts; finalize the health booklet and the free guide.</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Content Lead, Design Lead</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Launch</w:t>
            </w:r>
          </w:p>
        </w:tc>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 1</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Publish launch content on all platforms; start the weekly posting rhythm; begin replying to messages within one hour.</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Social Media Manager, Community Manager</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Awareness</w:t>
            </w:r>
          </w:p>
        </w:tc>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 2</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Run the health and ergonomics series; contact first micro-creators; post FAQs and Stories.</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Content Lead, Community Manager</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Trust</w:t>
            </w:r>
          </w:p>
        </w:tc>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 3</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Publish factory and quality-proof content; collect the first customer reviews; run the first checkpoint review.</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Content Lead, Sales and Customer Service Lead</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Conversion</w:t>
            </w:r>
          </w:p>
        </w:tc>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 4</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Share custom-order stories and customer setups; promote website orders and WhatsApp quotations.</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Sales and Customer Service Lead</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Growth</w:t>
            </w:r>
          </w:p>
        </w:tc>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 5</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Start company outreach on LinkedIn and WhatsApp; publish student-focused content; expand creator collaborations.</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Social Media Manager, Sales Lead</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Review</w:t>
            </w:r>
          </w:p>
        </w:tc>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 6</w:t>
            </w:r>
          </w:p>
        </w:tc>
        <w:tc>
          <w:tcPr>
            <w:tcW w:type="dxa" w:w="43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Final performance review; document lessons; plan the next period.</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Analytics Lead, whole team</w:t>
            </w:r>
          </w:p>
        </w:tc>
      </w:tr>
    </w:tbl>
    <w:p>
      <w:pPr>
        <w:spacing w:after="100"/>
      </w:pPr>
    </w:p>
    <w:p>
      <w:pPr>
        <w:spacing w:after="120" w:line="276"/>
      </w:pPr>
      <w:r>
        <w:rPr>
          <w:rFonts w:ascii="Arial" w:cs="Arial" w:eastAsia="Arial" w:hAnsi="Arial"/>
          <w:b/>
          <w:bCs/>
          <w:sz w:val="21"/>
          <w:szCs w:val="21"/>
        </w:rPr>
        <w:t xml:space="preserve">Resources: </w:t>
      </w:r>
      <w:r>
        <w:rPr>
          <w:rFonts w:ascii="Arial" w:cs="Arial" w:eastAsia="Arial" w:hAnsi="Arial"/>
          <w:sz w:val="21"/>
          <w:szCs w:val="21"/>
        </w:rPr>
        <w:t xml:space="preserve">team time, product samples for demonstration content, and free tools (Canva, Meta Business Suite, TikTok Analytics, LinkedIn Analytics, Google Analytics, and WhatsApp Business statistics). Paid media budget: EGP 0.</w:t>
      </w:r>
    </w:p>
    <w:p>
      <w:pPr>
        <w:pStyle w:val="Heading1"/>
        <w:spacing w:after="140" w:before="320"/>
      </w:pPr>
      <w:r>
        <w:rPr>
          <w:rFonts w:ascii="Arial" w:cs="Arial" w:eastAsia="Arial" w:hAnsi="Arial"/>
          <w:b/>
          <w:bCs/>
          <w:color w:val="1F3A5F"/>
          <w:sz w:val="30"/>
          <w:szCs w:val="30"/>
        </w:rPr>
        <w:t xml:space="preserve">6.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400"/>
        <w:gridCol w:w="2138"/>
      </w:tblGrid>
      <w:tr>
        <w:trPr>
          <w:tblHeader/>
        </w:trPr>
        <w:tc>
          <w:tcPr>
            <w:tcW w:type="dxa" w:w="23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KPI</w:t>
            </w:r>
          </w:p>
        </w:tc>
        <w:tc>
          <w:tcPr>
            <w:tcW w:type="dxa" w:w="28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Target (month 6)</w:t>
            </w:r>
          </w:p>
        </w:tc>
        <w:tc>
          <w:tcPr>
            <w:tcW w:type="dxa" w:w="24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Tool</w:t>
            </w:r>
          </w:p>
        </w:tc>
        <w:tc>
          <w:tcPr>
            <w:tcW w:type="dxa" w:w="21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Review</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Followers</w:t>
            </w:r>
          </w:p>
        </w:tc>
        <w:tc>
          <w:tcPr>
            <w:tcW w:type="dxa" w:w="2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3,000 combined</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Platform insights</w:t>
            </w:r>
          </w:p>
        </w:tc>
        <w:tc>
          <w:tcPr>
            <w:tcW w:type="dxa" w:w="21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Weekly</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Content views</w:t>
            </w:r>
          </w:p>
        </w:tc>
        <w:tc>
          <w:tcPr>
            <w:tcW w:type="dxa" w:w="2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100,000 total</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Platform insights</w:t>
            </w:r>
          </w:p>
        </w:tc>
        <w:tc>
          <w:tcPr>
            <w:tcW w:type="dxa" w:w="21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Weekly</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Engagement rate</w:t>
            </w:r>
          </w:p>
        </w:tc>
        <w:tc>
          <w:tcPr>
            <w:tcW w:type="dxa" w:w="2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At least 3 percent on Instagram</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Meta Business Suite</w:t>
            </w:r>
          </w:p>
        </w:tc>
        <w:tc>
          <w:tcPr>
            <w:tcW w:type="dxa" w:w="21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Weekly</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Inquiries</w:t>
            </w:r>
          </w:p>
        </w:tc>
        <w:tc>
          <w:tcPr>
            <w:tcW w:type="dxa" w:w="2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300 total, with the source platform recorded</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WhatsApp Business labels, website form</w:t>
            </w:r>
          </w:p>
        </w:tc>
        <w:tc>
          <w:tcPr>
            <w:tcW w:type="dxa" w:w="21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Weekly</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Orders and conversion</w:t>
            </w:r>
          </w:p>
        </w:tc>
        <w:tc>
          <w:tcPr>
            <w:tcW w:type="dxa" w:w="2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About 45 orders; at least 15 percent of inquiries</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Website orders, WhatsApp</w:t>
            </w:r>
          </w:p>
        </w:tc>
        <w:tc>
          <w:tcPr>
            <w:tcW w:type="dxa" w:w="21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Monthly</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Response time</w:t>
            </w:r>
          </w:p>
        </w:tc>
        <w:tc>
          <w:tcPr>
            <w:tcW w:type="dxa" w:w="2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90 percent of messages within 1 hour</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WhatsApp Business statistics</w:t>
            </w:r>
          </w:p>
        </w:tc>
        <w:tc>
          <w:tcPr>
            <w:tcW w:type="dxa" w:w="21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Weekly</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Return and complaint rate</w:t>
            </w:r>
          </w:p>
        </w:tc>
        <w:tc>
          <w:tcPr>
            <w:tcW w:type="dxa" w:w="2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Tracked from first deliveries</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Order records</w:t>
            </w:r>
          </w:p>
        </w:tc>
        <w:tc>
          <w:tcPr>
            <w:tcW w:type="dxa" w:w="21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Monthly</w:t>
            </w:r>
          </w:p>
        </w:tc>
      </w:tr>
    </w:tbl>
    <w:p>
      <w:pPr>
        <w:spacing w:after="100"/>
      </w:pPr>
    </w:p>
    <w:p>
      <w:pPr>
        <w:spacing w:after="120" w:line="276"/>
      </w:pPr>
      <w:r>
        <w:rPr>
          <w:rFonts w:ascii="Arial" w:cs="Arial" w:eastAsia="Arial" w:hAnsi="Arial"/>
          <w:sz w:val="21"/>
          <w:szCs w:val="21"/>
        </w:rPr>
        <w:t xml:space="preserve">The team reviews results every week, prepares a monthly report, and holds a full checkpoint at the end of month 3. If a content type or platform stays below target for four consecutive weeks, its content is changed or its posting time is shifted toward the platforms and formats that generate the most inquiries. At the end of month 6, targets are reset for the next period.</w:t>
      </w:r>
    </w:p>
    <w:p>
      <w:pPr>
        <w:pStyle w:val="Heading1"/>
        <w:spacing w:after="140" w:before="320"/>
      </w:pPr>
      <w:r>
        <w:rPr>
          <w:rFonts w:ascii="Arial" w:cs="Arial" w:eastAsia="Arial" w:hAnsi="Arial"/>
          <w:b/>
          <w:bCs/>
          <w:color w:val="1F3A5F"/>
          <w:sz w:val="30"/>
          <w:szCs w:val="30"/>
        </w:rPr>
        <w:t xml:space="preserve">Sources</w:t>
      </w:r>
    </w:p>
    <w:p>
      <w:pPr>
        <w:spacing w:after="120" w:line="276"/>
      </w:pPr>
      <w:r>
        <w:rPr>
          <w:rFonts w:ascii="Arial" w:cs="Arial" w:eastAsia="Arial" w:hAnsi="Arial"/>
          <w:color w:val="444444"/>
          <w:sz w:val="18"/>
          <w:szCs w:val="18"/>
        </w:rPr>
        <w:t xml:space="preserve">Market figures, prices, and environment data are taken from the Egypt Office Furniture Market Analysis (Milestone 1), which lists the original sources.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Mortah | SOSTAC Plan and Strategy Definition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2026-10-29T15:33:28.173Z</dcterms:created>
  <dcterms:modified xsi:type="dcterms:W3CDTF">2026-10-29T15:33:28.184Z</dcterms:modified>
</cp:coreProperties>
</file>

<file path=docProps/custom.xml><?xml version="1.0" encoding="utf-8"?>
<Properties xmlns="http://schemas.openxmlformats.org/officeDocument/2006/custom-properties" xmlns:vt="http://schemas.openxmlformats.org/officeDocument/2006/docPropsVTypes"/>
</file>