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A4C1E" w:rsidRDefault="00000000">
      <w:pPr>
        <w:jc w:val="center"/>
      </w:pPr>
      <w:r>
        <w:rPr>
          <w:b/>
          <w:color w:val="46505F"/>
          <w:sz w:val="20"/>
        </w:rPr>
        <w:t>STP • SWOT • BUYER PERSONAS</w:t>
      </w:r>
      <w:r>
        <w:rPr>
          <w:b/>
          <w:color w:val="46505F"/>
          <w:sz w:val="20"/>
        </w:rPr>
        <w:br/>
      </w:r>
      <w:r>
        <w:rPr>
          <w:b/>
          <w:color w:val="1B365D"/>
          <w:sz w:val="44"/>
        </w:rPr>
        <w:t>MARKETING STRATEGY DOCUMENT</w:t>
      </w:r>
    </w:p>
    <w:p w:rsidR="004A4C1E" w:rsidRDefault="00000000">
      <w:pPr>
        <w:jc w:val="center"/>
      </w:pPr>
      <w:r>
        <w:t>MARKETING ANALYSIS</w:t>
        <w:br/>
        <w:t>Mortah Office Furniture: Desks, Gaming Chairs, and Office Chairs</w:t>
      </w:r>
    </w:p>
    <w:tbl>
      <w:tblPr>
        <w:tblW w:w="0" w:type="auto"/>
        <w:jc w:val="center"/>
        <w:tblLook w:val="04A0" w:firstRow="1" w:lastRow="0" w:firstColumn="1" w:lastColumn="0" w:noHBand="0" w:noVBand="1"/>
      </w:tblPr>
      <w:tblGrid>
        <w:gridCol w:w="9936"/>
      </w:tblGrid>
      <w:tr w:rsidR="004A4C1E">
        <w:trPr>
          <w:jc w:val="center"/>
        </w:trPr>
        <w:tc>
          <w:tcPr>
            <w:tcW w:w="9936" w:type="dxa"/>
            <w:shd w:val="clear" w:color="auto" w:fill="F0F4F8"/>
            <w:tcMar>
              <w:top w:w="140" w:type="dxa"/>
              <w:left w:w="200" w:type="dxa"/>
              <w:bottom w:w="140" w:type="dxa"/>
              <w:right w:w="200" w:type="dxa"/>
            </w:tcMar>
          </w:tcPr>
          <w:p>
            <w:r>
              <w:t>Market Focus: Initial launch in Cairo, Giza, Alexandria, and the northern governorates | Primary campaign hypothesis: Content creators and gamers; secondary audiences include students, parents, freelancers, and companies</w:t>
            </w:r>
          </w:p>
        </w:tc>
      </w:tr>
    </w:tbl>
    <w:p w:rsidR="004A4C1E" w:rsidRDefault="004A4C1E"/>
    <w:p w:rsidR="004A4C1E" w:rsidRDefault="00000000">
      <w:pPr>
        <w:spacing w:before="320" w:after="120"/>
      </w:pPr>
      <w:r>
        <w:rPr>
          <w:b/>
          <w:color w:val="1B365D"/>
          <w:sz w:val="30"/>
        </w:rPr>
        <w:t>Project Overview</w:t>
      </w:r>
    </w:p>
    <w:p w:rsidR="004A4C1E" w:rsidRDefault="00000000">
      <w:pPr>
        <w:spacing w:after="120"/>
      </w:pPr>
      <w:r>
        <w:t>Mortah is a proposed Egyptian office-furniture brand offering locally manufactured modern furniture across three product categories: desks, gaming chairs, and regular/ergonomic office chairs. The initial product range described in the market analysis includes six products across these categories. The brand serves people who work, study, create content, or game for long periods, as well as companies furnishing workspaces. The planned launch area is Cairo, Giza, Alexandria, and the northern governorates, with gradual expansion to the rest of Egypt. Marketing should communicate functional design, reliable quality, comfort-focused use, and competitive pricing rather than assuming a premium-only position.</w:t>
      </w:r>
    </w:p>
    <w:p w:rsidR="004A4C1E" w:rsidRDefault="00000000">
      <w:pPr>
        <w:spacing w:after="240"/>
      </w:pPr>
      <w:r>
        <w:t>Supporting value proposition: Mortah plans to include a health-guidance booklet with each product to explain workspace setup and appropriate product use. This is a supporting benefit, not the only USP. Any health-related guidance should be reviewed by a qualified professional, and claims about health outcomes should be avoided unless supported by evidence. Other proposed differentiators in the market analysis include local manufacturing, quality checks, customization, warranty, returns, and delivery/installation; present these as confirmed benefits only after the business has verified that each service and policy will be available at launch.</w:t>
      </w:r>
    </w:p>
    <w:p w:rsidR="004A4C1E" w:rsidRDefault="00000000">
      <w:pPr>
        <w:spacing w:before="320" w:after="120"/>
      </w:pPr>
      <w:r>
        <w:rPr>
          <w:b/>
          <w:color w:val="1B365D"/>
          <w:sz w:val="30"/>
        </w:rPr>
        <w:t>1. STP Analysis</w:t>
      </w:r>
    </w:p>
    <w:p w:rsidR="004A4C1E" w:rsidRDefault="00000000">
      <w:pPr>
        <w:spacing w:before="240" w:after="80"/>
      </w:pPr>
      <w:r>
        <w:rPr>
          <w:b/>
          <w:color w:val="46505F"/>
          <w:sz w:val="24"/>
        </w:rPr>
        <w:t>S — Segmentation</w:t>
      </w:r>
    </w:p>
    <w:tbl>
      <w:tblPr>
        <w:tblW w:w="0" w:type="auto"/>
        <w:jc w:val="center"/>
        <w:tblBorders>
          <w:top w:val="single" w:sz="4" w:space="0" w:color="D3D3D3"/>
          <w:bottom w:val="single" w:sz="6" w:space="0" w:color="1B365D"/>
          <w:insideH w:val="single" w:sz="4" w:space="0" w:color="D3D3D3"/>
        </w:tblBorders>
        <w:tblLook w:val="04A0" w:firstRow="1" w:lastRow="0" w:firstColumn="1" w:lastColumn="0" w:noHBand="0" w:noVBand="1"/>
      </w:tblPr>
      <w:tblGrid>
        <w:gridCol w:w="3168"/>
        <w:gridCol w:w="1152"/>
        <w:gridCol w:w="5472"/>
      </w:tblGrid>
      <w:tr w:rsidR="004A4C1E">
        <w:trPr>
          <w:jc w:val="center"/>
        </w:trPr>
        <w:tc>
          <w:tcPr>
            <w:tcW w:w="3168" w:type="dxa"/>
            <w:shd w:val="clear" w:color="auto" w:fill="1B365D"/>
            <w:tcMar>
              <w:top w:w="120" w:type="dxa"/>
              <w:left w:w="120" w:type="dxa"/>
              <w:bottom w:w="120" w:type="dxa"/>
              <w:right w:w="120" w:type="dxa"/>
            </w:tcMar>
          </w:tcPr>
          <w:p w:rsidR="004A4C1E" w:rsidRDefault="00000000">
            <w:r>
              <w:rPr>
                <w:b/>
                <w:color w:val="FFFFFF"/>
                <w:sz w:val="20"/>
              </w:rPr>
              <w:t>Customer Segment</w:t>
            </w:r>
          </w:p>
        </w:tc>
        <w:tc>
          <w:tcPr>
            <w:tcW w:w="1152" w:type="dxa"/>
            <w:shd w:val="clear" w:color="auto" w:fill="1B365D"/>
            <w:tcMar>
              <w:top w:w="120" w:type="dxa"/>
              <w:left w:w="120" w:type="dxa"/>
              <w:bottom w:w="120" w:type="dxa"/>
              <w:right w:w="120" w:type="dxa"/>
            </w:tcMar>
          </w:tcPr>
          <w:p w:rsidR="004A4C1E" w:rsidRDefault="00000000">
            <w:r>
              <w:rPr>
                <w:b/>
                <w:color w:val="FFFFFF"/>
                <w:sz w:val="20"/>
              </w:rPr>
              <w:t>Type</w:t>
            </w:r>
          </w:p>
        </w:tc>
        <w:tc>
          <w:tcPr>
            <w:tcW w:w="5472" w:type="dxa"/>
            <w:shd w:val="clear" w:color="auto" w:fill="1B365D"/>
            <w:tcMar>
              <w:top w:w="120" w:type="dxa"/>
              <w:left w:w="120" w:type="dxa"/>
              <w:bottom w:w="120" w:type="dxa"/>
              <w:right w:w="120" w:type="dxa"/>
            </w:tcMar>
          </w:tcPr>
          <w:p w:rsidR="004A4C1E" w:rsidRDefault="00000000">
            <w:r>
              <w:rPr>
                <w:b/>
                <w:color w:val="FFFFFF"/>
                <w:sz w:val="20"/>
              </w:rPr>
              <w:t>Main Needs / Motivations</w:t>
            </w:r>
          </w:p>
        </w:tc>
      </w:tr>
      <w:tr w:rsidR="004A4C1E">
        <w:trPr>
          <w:jc w:val="center"/>
        </w:trPr>
        <w:tc>
          <w:tcPr>
            <w:tcW w:w="3168" w:type="dxa"/>
            <w:shd w:val="clear" w:color="auto" w:fill="F9FAFC"/>
            <w:tcMar>
              <w:top w:w="100" w:type="dxa"/>
              <w:left w:w="120" w:type="dxa"/>
              <w:bottom w:w="100" w:type="dxa"/>
              <w:right w:w="120" w:type="dxa"/>
            </w:tcMar>
          </w:tcPr>
          <w:p w:rsidR="004A4C1E" w:rsidRDefault="00000000">
            <w:r>
              <w:rPr>
                <w:sz w:val="19"/>
              </w:rPr>
              <w:t>Content creators and gamers</w:t>
            </w:r>
          </w:p>
        </w:tc>
        <w:tc>
          <w:tcPr>
            <w:tcW w:w="1152" w:type="dxa"/>
            <w:shd w:val="clear" w:color="auto" w:fill="F9FAFC"/>
            <w:tcMar>
              <w:top w:w="100" w:type="dxa"/>
              <w:left w:w="120" w:type="dxa"/>
              <w:bottom w:w="100" w:type="dxa"/>
              <w:right w:w="120" w:type="dxa"/>
            </w:tcMar>
          </w:tcPr>
          <w:p w:rsidR="004A4C1E" w:rsidRDefault="00000000">
            <w:pPr>
              <w:jc w:val="center"/>
            </w:pPr>
            <w:r>
              <w:rPr>
                <w:b/>
                <w:sz w:val="19"/>
              </w:rPr>
              <w:t>B2C</w:t>
            </w:r>
          </w:p>
        </w:tc>
        <w:tc>
          <w:tcPr>
            <w:tcW w:w="5472" w:type="dxa"/>
            <w:shd w:val="clear" w:color="auto" w:fill="F9FAFC"/>
            <w:tcMar>
              <w:top w:w="100" w:type="dxa"/>
              <w:left w:w="120" w:type="dxa"/>
              <w:bottom w:w="100" w:type="dxa"/>
              <w:right w:w="120" w:type="dxa"/>
            </w:tcMar>
          </w:tcPr>
          <w:p>
            <w:r>
              <w:t>Functional desk and chair setup; enough space for screens and equipment; attractive, organized design; clear dimensions/specifications; value for money.</w:t>
            </w:r>
          </w:p>
        </w:tc>
      </w:tr>
      <w:tr w:rsidR="004A4C1E">
        <w:trPr>
          <w:jc w:val="center"/>
        </w:trPr>
        <w:tc>
          <w:tcPr>
            <w:tcW w:w="3168" w:type="dxa"/>
            <w:shd w:val="clear" w:color="auto" w:fill="FFFFFF"/>
            <w:tcMar>
              <w:top w:w="100" w:type="dxa"/>
              <w:left w:w="120" w:type="dxa"/>
              <w:bottom w:w="100" w:type="dxa"/>
              <w:right w:w="120" w:type="dxa"/>
            </w:tcMar>
          </w:tcPr>
          <w:p w:rsidR="004A4C1E" w:rsidRDefault="00000000">
            <w:r>
              <w:rPr>
                <w:sz w:val="19"/>
              </w:rPr>
              <w:t>Companies and corporate offices</w:t>
            </w:r>
          </w:p>
        </w:tc>
        <w:tc>
          <w:tcPr>
            <w:tcW w:w="1152" w:type="dxa"/>
            <w:shd w:val="clear" w:color="auto" w:fill="FFFFFF"/>
            <w:tcMar>
              <w:top w:w="100" w:type="dxa"/>
              <w:left w:w="120" w:type="dxa"/>
              <w:bottom w:w="100" w:type="dxa"/>
              <w:right w:w="120" w:type="dxa"/>
            </w:tcMar>
          </w:tcPr>
          <w:p w:rsidR="004A4C1E" w:rsidRDefault="00000000">
            <w:pPr>
              <w:jc w:val="center"/>
            </w:pPr>
            <w:r>
              <w:rPr>
                <w:b/>
                <w:sz w:val="19"/>
              </w:rPr>
              <w:t>B2B</w:t>
            </w:r>
          </w:p>
        </w:tc>
        <w:tc>
          <w:tcPr>
            <w:tcW w:w="5472" w:type="dxa"/>
            <w:shd w:val="clear" w:color="auto" w:fill="FFFFFF"/>
            <w:tcMar>
              <w:top w:w="100" w:type="dxa"/>
              <w:left w:w="120" w:type="dxa"/>
              <w:bottom w:w="100" w:type="dxa"/>
              <w:right w:w="120" w:type="dxa"/>
            </w:tcMar>
          </w:tcPr>
          <w:p>
            <w:r>
              <w:t>Practical and durable desks/chairs, consistent specifications, suitable dimensions, clear quotations, reliable delivery, and potential bulk purchasing.</w:t>
            </w:r>
          </w:p>
        </w:tc>
      </w:tr>
      <w:tr w:rsidR="004A4C1E">
        <w:trPr>
          <w:jc w:val="center"/>
        </w:trPr>
        <w:tc>
          <w:tcPr>
            <w:tcW w:w="3168" w:type="dxa"/>
            <w:shd w:val="clear" w:color="auto" w:fill="F9FAFC"/>
            <w:tcMar>
              <w:top w:w="100" w:type="dxa"/>
              <w:left w:w="120" w:type="dxa"/>
              <w:bottom w:w="100" w:type="dxa"/>
              <w:right w:w="120" w:type="dxa"/>
            </w:tcMar>
          </w:tcPr>
          <w:p w:rsidR="004A4C1E" w:rsidRDefault="00000000">
            <w:r>
              <w:rPr>
                <w:sz w:val="19"/>
              </w:rPr>
              <w:t>Parents buying desks for children</w:t>
            </w:r>
          </w:p>
        </w:tc>
        <w:tc>
          <w:tcPr>
            <w:tcW w:w="1152" w:type="dxa"/>
            <w:shd w:val="clear" w:color="auto" w:fill="F9FAFC"/>
            <w:tcMar>
              <w:top w:w="100" w:type="dxa"/>
              <w:left w:w="120" w:type="dxa"/>
              <w:bottom w:w="100" w:type="dxa"/>
              <w:right w:w="120" w:type="dxa"/>
            </w:tcMar>
          </w:tcPr>
          <w:p w:rsidR="004A4C1E" w:rsidRDefault="00000000">
            <w:pPr>
              <w:jc w:val="center"/>
            </w:pPr>
            <w:r>
              <w:rPr>
                <w:b/>
                <w:sz w:val="19"/>
              </w:rPr>
              <w:t>B2C</w:t>
            </w:r>
          </w:p>
        </w:tc>
        <w:tc>
          <w:tcPr>
            <w:tcW w:w="5472" w:type="dxa"/>
            <w:shd w:val="clear" w:color="auto" w:fill="F9FAFC"/>
            <w:tcMar>
              <w:top w:w="100" w:type="dxa"/>
              <w:left w:w="120" w:type="dxa"/>
              <w:bottom w:w="100" w:type="dxa"/>
              <w:right w:w="120" w:type="dxa"/>
            </w:tcMar>
          </w:tcPr>
          <w:p>
            <w:r>
              <w:t>A desk or chair suited to the user’s needs and available space; adequate study/work surface, durability, easy maintenance, and clear product information.</w:t>
            </w:r>
          </w:p>
        </w:tc>
      </w:tr>
    </w:tbl>
    <w:p w:rsidR="004A4C1E" w:rsidRDefault="004A4C1E"/>
    <w:p w:rsidR="004A4C1E" w:rsidRDefault="00000000">
      <w:pPr>
        <w:spacing w:before="240" w:after="80"/>
      </w:pPr>
      <w:r>
        <w:rPr>
          <w:b/>
          <w:color w:val="46505F"/>
          <w:sz w:val="24"/>
        </w:rPr>
        <w:t>T — Targeting</w:t>
      </w:r>
    </w:p>
    <w:p w:rsidR="004A4C1E" w:rsidRDefault="00000000">
      <w:pPr>
        <w:spacing w:after="80"/>
      </w:pPr>
      <w:r>
        <w:t>• Geographic focus: Begin with Cairo, Giza, Alexandria, and the northern governorates, consistent with the Golden Circle. Expand to other governorates gradually as operations allow.</w:t>
        <w:br/>
        <w:t>• Positioning and price: Aim for a practical, quality-focused, modern local brand with competitive pricing against comparable products. The market analysis proposes pricing around 20% below selected comparable branded alternatives; treat this as a pricing hypothesis until product costs, comparable models, and margins are verified. Do not describe the brand as exclusively targeting A/A+ customers without customer research supporting that choice.</w:t>
      </w:r>
    </w:p>
    <w:p w:rsidR="004A4C1E" w:rsidRDefault="00000000">
      <w:pPr>
        <w:spacing w:after="80"/>
      </w:pPr>
      <w:r>
        <w:t>• Primary B2C audience for initial messaging: content creators and gamers who need desk space for monitors and equipment and care about setup appearance and functionality. This is a strategic starting hypothesis based on the current buyer persona, not a proven market-research result.</w:t>
        <w:br/>
        <w:t>• Secondary B2C audiences: freelancers, students, and parents buying study desks.</w:t>
        <w:br/>
        <w:t>• B2B audience: companies and office decision-makers who may need practical desks/chairs, consistent specifications, quotations, and bulk purchasing.</w:t>
        <w:br/>
        <w:t>• Product scope: Keep desks, gaming chairs, and regular/ergonomic office chairs within the overall brand strategy. Individual campaigns can focus on one category and one audience at a time.</w:t>
      </w:r>
    </w:p>
    <w:p w:rsidR="004A4C1E" w:rsidRDefault="00000000">
      <w:r>
        <w:t>• Targeting approach: Start with one clear primary audience—content creators and gamers—for the first desk-focused campaign, while keeping the overall brand portfolio broader. Build separate campaign messages for companies and parents/students rather than trying to address every segment in each post. Validate the priority audience, budget, and product preferences through a short customer survey and actual inquiry data.</w:t>
      </w:r>
    </w:p>
    <w:p w:rsidR="004A4C1E" w:rsidRDefault="00000000">
      <w:pPr>
        <w:spacing w:before="240" w:after="80"/>
      </w:pPr>
      <w:r>
        <w:rPr>
          <w:b/>
          <w:color w:val="46505F"/>
          <w:sz w:val="24"/>
        </w:rPr>
        <w:t>P — Positioning</w:t>
      </w:r>
    </w:p>
    <w:tbl>
      <w:tblPr>
        <w:tblW w:w="0" w:type="auto"/>
        <w:jc w:val="center"/>
        <w:tblLook w:val="04A0" w:firstRow="1" w:lastRow="0" w:firstColumn="1" w:lastColumn="0" w:noHBand="0" w:noVBand="1"/>
      </w:tblPr>
      <w:tblGrid>
        <w:gridCol w:w="9936"/>
      </w:tblGrid>
      <w:tr w:rsidR="004A4C1E">
        <w:trPr>
          <w:jc w:val="center"/>
        </w:trPr>
        <w:tc>
          <w:tcPr>
            <w:tcW w:w="9936" w:type="dxa"/>
            <w:shd w:val="clear" w:color="auto" w:fill="F4F6F9"/>
            <w:tcMar>
              <w:top w:w="120" w:type="dxa"/>
              <w:left w:w="150" w:type="dxa"/>
              <w:bottom w:w="120" w:type="dxa"/>
              <w:right w:w="150" w:type="dxa"/>
            </w:tcMar>
          </w:tcPr>
          <w:p>
            <w:r>
              <w:t>Positioning Statement</w:t>
              <w:br/>
              <w:t>Mortah is a locally made modern office-furniture brand offering desks, gaming chairs, and office chairs with practical design, quality-focused production, comfort-oriented workspace use, and competitive pricing. The brand aims to build trust through clear product information and verified service policies.</w:t>
            </w:r>
          </w:p>
        </w:tc>
      </w:tr>
    </w:tbl>
    <w:p w:rsidR="004A4C1E" w:rsidRDefault="00000000">
      <w:pPr>
        <w:spacing w:before="160" w:after="80"/>
      </w:pPr>
      <w:r>
        <w:t>Positioning Statement: Mortah is a locally made modern office-furniture brand for people who work, study, create content, and game, offering functional desks and chairs with a focus on practical design, quality checks, comfortable workspace use, and competitive pricing. Where available and verified, customization, warranty, return options, and delivery/installation can reinforce trust. The health-guidance booklet supports the brand promise but should not be presented as a medical benefit or as the sole reason to choose the brand.</w:t>
      </w:r>
    </w:p>
    <w:p w:rsidR="004A4C1E" w:rsidRDefault="00000000" w:rsidP="0075183D">
      <w:pPr>
        <w:spacing w:before="320" w:after="120"/>
      </w:pPr>
      <w:r>
        <w:rPr>
          <w:b/>
          <w:color w:val="1B365D"/>
          <w:sz w:val="30"/>
        </w:rPr>
        <w:t>2. SWOT Analysis</w:t>
      </w:r>
    </w:p>
    <w:tbl>
      <w:tblPr>
        <w:tblW w:w="0" w:type="auto"/>
        <w:jc w:val="center"/>
        <w:tblLook w:val="04A0" w:firstRow="1" w:lastRow="0" w:firstColumn="1" w:lastColumn="0" w:noHBand="0" w:noVBand="1"/>
      </w:tblPr>
      <w:tblGrid>
        <w:gridCol w:w="4896"/>
        <w:gridCol w:w="4896"/>
      </w:tblGrid>
      <w:tr w:rsidR="004A4C1E">
        <w:trPr>
          <w:jc w:val="center"/>
        </w:trPr>
        <w:tc>
          <w:tcPr>
            <w:tcW w:w="4896" w:type="dxa"/>
            <w:shd w:val="clear" w:color="auto" w:fill="E8F5E9"/>
            <w:tcMar>
              <w:top w:w="120" w:type="dxa"/>
              <w:left w:w="140" w:type="dxa"/>
              <w:bottom w:w="120" w:type="dxa"/>
              <w:right w:w="140" w:type="dxa"/>
            </w:tcMar>
          </w:tcPr>
          <w:p>
            <w:r>
              <w:t>STRENGTHS</w:t>
              <w:br/>
              <w:t>• Brand concept covers desks, gaming chairs, and office chairs for work, study, and gaming use.</w:t>
              <w:br/>
              <w:t>• Local manufacturing and quality checks are central to the proposed brand model.</w:t>
              <w:br/>
              <w:t>• Potential to build associations with functional design, comfort-focused use, and trust.</w:t>
              <w:br/>
              <w:t>• Social channels can support product education and direct customer interaction.</w:t>
            </w:r>
          </w:p>
        </w:tc>
        <w:tc>
          <w:tcPr>
            <w:tcW w:w="4896" w:type="dxa"/>
            <w:shd w:val="clear" w:color="auto" w:fill="FFEBEE"/>
            <w:tcMar>
              <w:top w:w="120" w:type="dxa"/>
              <w:left w:w="140" w:type="dxa"/>
              <w:bottom w:w="120" w:type="dxa"/>
              <w:right w:w="140" w:type="dxa"/>
            </w:tcMar>
          </w:tcPr>
          <w:p>
            <w:r>
              <w:t>WEAKNESSES</w:t>
              <w:br/>
              <w:t>• Serving several audiences and product categories may make the message less focused.</w:t>
              <w:br/>
              <w:t>• Each audience requires different content and sales arguments.</w:t>
              <w:br/>
              <w:t>• Final prices, materials, dimensions, and launch inventory must be confirmed and documented.</w:t>
              <w:br/>
              <w:t>• Warranty, returns, customization, delivery/installation, and the health booklet must be confirmed as operational before being advertised.</w:t>
            </w:r>
          </w:p>
        </w:tc>
      </w:tr>
      <w:tr w:rsidR="004A4C1E">
        <w:trPr>
          <w:jc w:val="center"/>
        </w:trPr>
        <w:tc>
          <w:tcPr>
            <w:tcW w:w="4896" w:type="dxa"/>
            <w:shd w:val="clear" w:color="auto" w:fill="E3F2FD"/>
            <w:tcMar>
              <w:top w:w="120" w:type="dxa"/>
              <w:left w:w="140" w:type="dxa"/>
              <w:bottom w:w="120" w:type="dxa"/>
              <w:right w:w="140" w:type="dxa"/>
            </w:tcMar>
          </w:tcPr>
          <w:p>
            <w:r>
              <w:t>OPPORTUNITIES</w:t>
              <w:br/>
              <w:t>• Publish useful content about choosing desks/chairs and organizing work or study spaces.</w:t>
              <w:br/>
              <w:t>• Collaborate with creators or gamers to demonstrate products in real setups.</w:t>
              <w:br/>
              <w:t>• Develop company quotations or bulk packages if operations support them.</w:t>
              <w:br/>
              <w:t>• Test demand among students, parents, freelancers, and companies through surveys and inquiries.</w:t>
            </w:r>
          </w:p>
        </w:tc>
        <w:tc>
          <w:tcPr>
            <w:tcW w:w="4896" w:type="dxa"/>
            <w:shd w:val="clear" w:color="auto" w:fill="FFF3E0"/>
            <w:tcMar>
              <w:top w:w="120" w:type="dxa"/>
              <w:left w:w="140" w:type="dxa"/>
              <w:bottom w:w="120" w:type="dxa"/>
              <w:right w:w="140" w:type="dxa"/>
            </w:tcMar>
          </w:tcPr>
          <w:p>
            <w:r>
              <w:t>THREATS</w:t>
              <w:br/>
              <w:t>• Competition from local furniture sellers, large retailers, online marketplaces, and specialist gaming brands.</w:t>
              <w:br/>
              <w:t>• Lower-priced alternatives may make customers price-sensitive.</w:t>
              <w:br/>
              <w:t>• Material, manufacturing, and delivery-cost changes may pressure margins.</w:t>
              <w:br/>
              <w:t>• Customers may distrust online furniture purchases without real product photos, clear specifications, credible reviews, and transparent policies.</w:t>
            </w:r>
          </w:p>
        </w:tc>
      </w:tr>
    </w:tbl>
    <w:p w:rsidR="004A4C1E" w:rsidRDefault="004A4C1E"/>
    <w:p w:rsidR="00000000" w:rsidRDefault="00C14CB5" w:rsidP="00C14CB5">
      <w:pPr>
        <w:pStyle w:val="Title"/>
        <w:jc w:val="center"/>
      </w:pPr>
      <w:r>
        <w:lastRenderedPageBreak/>
        <w:t xml:space="preserve">Buyer </w:t>
      </w:r>
      <w:r w:rsidRPr="00C14CB5">
        <w:t>persona</w:t>
      </w:r>
    </w:p>
    <w:p w:rsidR="00C14CB5" w:rsidRPr="00C14CB5" w:rsidRDefault="00C14CB5" w:rsidP="00C14CB5">
      <w:pPr>
        <w:rPr>
          <w:b/>
          <w:bCs/>
        </w:rPr>
      </w:pPr>
      <w:r>
        <w:t>Omar — The Content Creator / Gamer (Illustrative Buyer Persona)</w:t>
      </w:r>
    </w:p>
    <w:p w:rsidR="00C14CB5" w:rsidRPr="00C14CB5" w:rsidRDefault="00C14CB5" w:rsidP="00C14CB5">
      <w:r>
        <w:t>Omar is a 23-year-old content creator living in Cairo who is building his career in gaming and digital content creation. He spends several hours recording videos, editing content, streaming games, and interacting with his audience online.</w:t>
      </w:r>
    </w:p>
    <w:p w:rsidR="00C14CB5" w:rsidRPr="00C14CB5" w:rsidRDefault="00C14CB5" w:rsidP="00C14CB5">
      <w:r>
        <w:t>Omar is interested in technology and wants an attractive, organized setup. He watches product reviews and follows gaming and creator content on platforms such as YouTube, Instagram, and TikTok. He compares products online before deciding what to buy.</w:t>
      </w:r>
    </w:p>
    <w:p w:rsidR="00C14CB5" w:rsidRPr="00C14CB5" w:rsidRDefault="00C14CB5" w:rsidP="00C14CB5">
      <w:r>
        <w:t>His current desk may not provide enough space for his monitors, microphone, keyboard, and other equipment. He is looking for a desk that fits his setup, looks professional on camera, is practical for daily use, and helps him organize his workspace.</w:t>
      </w:r>
    </w:p>
    <w:p w:rsidR="00C14CB5" w:rsidRPr="00C14CB5" w:rsidRDefault="00C14CB5" w:rsidP="00C14CB5">
      <w:r>
        <w:t>Omar is value-conscious rather than automatically willing to pay a premium. Before purchasing, he compares prices and specifications, checks dimensions and materials, reads customer reviews, and watches demonstration videos. Clear product details and credible evidence of quality can help him feel more confident.</w:t>
      </w:r>
    </w:p>
    <w:p w:rsidR="00C14CB5" w:rsidRPr="00C14CB5" w:rsidRDefault="00C14CB5" w:rsidP="00C14CB5">
      <w:r>
        <w:t>Mortah may appeal to Omar through functional desk designs, clear specifications, locally made products, and practical guidance for setting up his workspace. Any claims about quality, customization, warranty, returns, or delivery should be supported by the actual offer and policies.</w:t>
      </w:r>
    </w:p>
    <w:p w:rsidR="00C14CB5" w:rsidRPr="00C14CB5" w:rsidRDefault="00C14CB5" w:rsidP="00C14CB5">
      <w:r>
        <w:t>Omar’s main goal is to create a workspace that suits his equipment and creative activities. This persona is illustrative and should be validated through customer interviews, surveys, or campaign data before being treated as representative of the whole market.</w:t>
      </w:r>
    </w:p>
    <w:p w:rsidR="00C14CB5" w:rsidRPr="00C14CB5" w:rsidRDefault="00C14CB5" w:rsidP="00C14CB5"/>
    <w:sectPr w:rsidR="00C14CB5" w:rsidRPr="00C14CB5" w:rsidSect="00034616">
      <w:headerReference w:type="default" r:id="rId8"/>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147845">
    <w:abstractNumId w:val="8"/>
  </w:num>
  <w:num w:numId="2" w16cid:durableId="1971857257">
    <w:abstractNumId w:val="6"/>
  </w:num>
  <w:num w:numId="3" w16cid:durableId="721901122">
    <w:abstractNumId w:val="5"/>
  </w:num>
  <w:num w:numId="4" w16cid:durableId="1515534310">
    <w:abstractNumId w:val="4"/>
  </w:num>
  <w:num w:numId="5" w16cid:durableId="1014500089">
    <w:abstractNumId w:val="7"/>
  </w:num>
  <w:num w:numId="6" w16cid:durableId="1959485296">
    <w:abstractNumId w:val="3"/>
  </w:num>
  <w:num w:numId="7" w16cid:durableId="1404831858">
    <w:abstractNumId w:val="2"/>
  </w:num>
  <w:num w:numId="8" w16cid:durableId="195775179">
    <w:abstractNumId w:val="1"/>
  </w:num>
  <w:num w:numId="9" w16cid:durableId="880360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C1E"/>
    <w:rsid w:val="0075183D"/>
    <w:rsid w:val="00AA1D8D"/>
    <w:rsid w:val="00B47730"/>
    <w:rsid w:val="00C14CB5"/>
    <w:rsid w:val="00CB0664"/>
    <w:rsid w:val="00D57B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6B031"/>
  <w14:defaultImageDpi w14:val="300"/>
  <w15:docId w15:val="{E85F2BCB-E864-49E5-9952-03107B97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298385">
      <w:bodyDiv w:val="1"/>
      <w:marLeft w:val="0"/>
      <w:marRight w:val="0"/>
      <w:marTop w:val="0"/>
      <w:marBottom w:val="0"/>
      <w:divBdr>
        <w:top w:val="none" w:sz="0" w:space="0" w:color="auto"/>
        <w:left w:val="none" w:sz="0" w:space="0" w:color="auto"/>
        <w:bottom w:val="none" w:sz="0" w:space="0" w:color="auto"/>
        <w:right w:val="none" w:sz="0" w:space="0" w:color="auto"/>
      </w:divBdr>
    </w:div>
    <w:div w:id="1424692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Hany mostafa</cp:lastModifiedBy>
  <cp:revision>3</cp:revision>
  <dcterms:created xsi:type="dcterms:W3CDTF">2013-12-23T23:15:00Z</dcterms:created>
  <dcterms:modified xsi:type="dcterms:W3CDTF">2026-10-26T14:08:00Z</dcterms:modified>
  <cp:category/>
</cp:coreProperties>
</file>