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1310240014"/>
        <w:docPartObj>
          <w:docPartGallery w:val="Table of Contents"/>
          <w:docPartUnique/>
        </w:docPartObj>
      </w:sdtPr>
      <w:sdtEndPr>
        <w:rPr>
          <w:b/>
          <w:bCs/>
        </w:rPr>
      </w:sdtEndPr>
      <w:sdtContent>
        <w:p w14:paraId="1AEA2302" w14:textId="3895769D" w:rsidR="00FA1E1F" w:rsidRDefault="00FA1E1F" w:rsidP="00FA1E1F">
          <w:pPr>
            <w:pStyle w:val="Inhaltsverzeichnisberschrift"/>
            <w:numPr>
              <w:ilvl w:val="0"/>
              <w:numId w:val="0"/>
            </w:numPr>
            <w:ind w:left="432" w:hanging="432"/>
          </w:pPr>
          <w:r>
            <w:t>Inhaltsverzeichnis</w:t>
          </w:r>
        </w:p>
        <w:p w14:paraId="616A19DE" w14:textId="256210CC" w:rsidR="00DB0AA8" w:rsidRDefault="00FA1E1F">
          <w:pPr>
            <w:pStyle w:val="Verzeichnis1"/>
            <w:tabs>
              <w:tab w:val="left" w:pos="480"/>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234510477" w:history="1">
            <w:r w:rsidR="00DB0AA8" w:rsidRPr="007D668D">
              <w:rPr>
                <w:rStyle w:val="Hyperlink"/>
                <w:noProof/>
              </w:rPr>
              <w:t>1</w:t>
            </w:r>
            <w:r w:rsidR="00DB0AA8">
              <w:rPr>
                <w:rFonts w:eastAsiaTheme="minorEastAsia"/>
                <w:noProof/>
                <w:sz w:val="24"/>
                <w:szCs w:val="24"/>
                <w:lang w:eastAsia="de-DE"/>
              </w:rPr>
              <w:tab/>
            </w:r>
            <w:r w:rsidR="00DB0AA8" w:rsidRPr="007D668D">
              <w:rPr>
                <w:rStyle w:val="Hyperlink"/>
                <w:noProof/>
              </w:rPr>
              <w:t>Methodische Aufbereitung und Aggregation der Wahldaten</w:t>
            </w:r>
            <w:r w:rsidR="00DB0AA8">
              <w:rPr>
                <w:noProof/>
                <w:webHidden/>
              </w:rPr>
              <w:tab/>
            </w:r>
            <w:r w:rsidR="00DB0AA8">
              <w:rPr>
                <w:noProof/>
                <w:webHidden/>
              </w:rPr>
              <w:fldChar w:fldCharType="begin"/>
            </w:r>
            <w:r w:rsidR="00DB0AA8">
              <w:rPr>
                <w:noProof/>
                <w:webHidden/>
              </w:rPr>
              <w:instrText xml:space="preserve"> PAGEREF _Toc234510477 \h </w:instrText>
            </w:r>
            <w:r w:rsidR="00DB0AA8">
              <w:rPr>
                <w:noProof/>
                <w:webHidden/>
              </w:rPr>
            </w:r>
            <w:r w:rsidR="00DB0AA8">
              <w:rPr>
                <w:noProof/>
                <w:webHidden/>
              </w:rPr>
              <w:fldChar w:fldCharType="separate"/>
            </w:r>
            <w:r w:rsidR="00DB0AA8">
              <w:rPr>
                <w:noProof/>
                <w:webHidden/>
              </w:rPr>
              <w:t>1</w:t>
            </w:r>
            <w:r w:rsidR="00DB0AA8">
              <w:rPr>
                <w:noProof/>
                <w:webHidden/>
              </w:rPr>
              <w:fldChar w:fldCharType="end"/>
            </w:r>
          </w:hyperlink>
        </w:p>
        <w:p w14:paraId="3E6F3DFA" w14:textId="1AF572F8" w:rsidR="00DB0AA8" w:rsidRDefault="00DB0AA8">
          <w:pPr>
            <w:pStyle w:val="Verzeichnis2"/>
            <w:tabs>
              <w:tab w:val="left" w:pos="960"/>
              <w:tab w:val="right" w:leader="dot" w:pos="9062"/>
            </w:tabs>
            <w:rPr>
              <w:rFonts w:eastAsiaTheme="minorEastAsia"/>
              <w:noProof/>
              <w:sz w:val="24"/>
              <w:szCs w:val="24"/>
              <w:lang w:eastAsia="de-DE"/>
            </w:rPr>
          </w:pPr>
          <w:hyperlink w:anchor="_Toc234510478" w:history="1">
            <w:r w:rsidRPr="007D668D">
              <w:rPr>
                <w:rStyle w:val="Hyperlink"/>
                <w:noProof/>
              </w:rPr>
              <w:t>1.1</w:t>
            </w:r>
            <w:r>
              <w:rPr>
                <w:rFonts w:eastAsiaTheme="minorEastAsia"/>
                <w:noProof/>
                <w:sz w:val="24"/>
                <w:szCs w:val="24"/>
                <w:lang w:eastAsia="de-DE"/>
              </w:rPr>
              <w:tab/>
            </w:r>
            <w:r w:rsidRPr="007D668D">
              <w:rPr>
                <w:rStyle w:val="Hyperlink"/>
                <w:noProof/>
              </w:rPr>
              <w:t>Ziel der Datenaufbereitung</w:t>
            </w:r>
            <w:r>
              <w:rPr>
                <w:noProof/>
                <w:webHidden/>
              </w:rPr>
              <w:tab/>
            </w:r>
            <w:r>
              <w:rPr>
                <w:noProof/>
                <w:webHidden/>
              </w:rPr>
              <w:fldChar w:fldCharType="begin"/>
            </w:r>
            <w:r>
              <w:rPr>
                <w:noProof/>
                <w:webHidden/>
              </w:rPr>
              <w:instrText xml:space="preserve"> PAGEREF _Toc234510478 \h </w:instrText>
            </w:r>
            <w:r>
              <w:rPr>
                <w:noProof/>
                <w:webHidden/>
              </w:rPr>
            </w:r>
            <w:r>
              <w:rPr>
                <w:noProof/>
                <w:webHidden/>
              </w:rPr>
              <w:fldChar w:fldCharType="separate"/>
            </w:r>
            <w:r>
              <w:rPr>
                <w:noProof/>
                <w:webHidden/>
              </w:rPr>
              <w:t>1</w:t>
            </w:r>
            <w:r>
              <w:rPr>
                <w:noProof/>
                <w:webHidden/>
              </w:rPr>
              <w:fldChar w:fldCharType="end"/>
            </w:r>
          </w:hyperlink>
        </w:p>
        <w:p w14:paraId="4CA981FA" w14:textId="54A8D2C6" w:rsidR="00DB0AA8" w:rsidRDefault="00DB0AA8">
          <w:pPr>
            <w:pStyle w:val="Verzeichnis2"/>
            <w:tabs>
              <w:tab w:val="left" w:pos="960"/>
              <w:tab w:val="right" w:leader="dot" w:pos="9062"/>
            </w:tabs>
            <w:rPr>
              <w:rFonts w:eastAsiaTheme="minorEastAsia"/>
              <w:noProof/>
              <w:sz w:val="24"/>
              <w:szCs w:val="24"/>
              <w:lang w:eastAsia="de-DE"/>
            </w:rPr>
          </w:pPr>
          <w:hyperlink w:anchor="_Toc234510479" w:history="1">
            <w:r w:rsidRPr="007D668D">
              <w:rPr>
                <w:rStyle w:val="Hyperlink"/>
                <w:noProof/>
              </w:rPr>
              <w:t>1.2</w:t>
            </w:r>
            <w:r>
              <w:rPr>
                <w:rFonts w:eastAsiaTheme="minorEastAsia"/>
                <w:noProof/>
                <w:sz w:val="24"/>
                <w:szCs w:val="24"/>
                <w:lang w:eastAsia="de-DE"/>
              </w:rPr>
              <w:tab/>
            </w:r>
            <w:r w:rsidRPr="007D668D">
              <w:rPr>
                <w:rStyle w:val="Hyperlink"/>
                <w:noProof/>
              </w:rPr>
              <w:t>Datengrundlage</w:t>
            </w:r>
            <w:r>
              <w:rPr>
                <w:noProof/>
                <w:webHidden/>
              </w:rPr>
              <w:tab/>
            </w:r>
            <w:r>
              <w:rPr>
                <w:noProof/>
                <w:webHidden/>
              </w:rPr>
              <w:fldChar w:fldCharType="begin"/>
            </w:r>
            <w:r>
              <w:rPr>
                <w:noProof/>
                <w:webHidden/>
              </w:rPr>
              <w:instrText xml:space="preserve"> PAGEREF _Toc234510479 \h </w:instrText>
            </w:r>
            <w:r>
              <w:rPr>
                <w:noProof/>
                <w:webHidden/>
              </w:rPr>
            </w:r>
            <w:r>
              <w:rPr>
                <w:noProof/>
                <w:webHidden/>
              </w:rPr>
              <w:fldChar w:fldCharType="separate"/>
            </w:r>
            <w:r>
              <w:rPr>
                <w:noProof/>
                <w:webHidden/>
              </w:rPr>
              <w:t>2</w:t>
            </w:r>
            <w:r>
              <w:rPr>
                <w:noProof/>
                <w:webHidden/>
              </w:rPr>
              <w:fldChar w:fldCharType="end"/>
            </w:r>
          </w:hyperlink>
        </w:p>
        <w:p w14:paraId="1DEC2BB7" w14:textId="14CEB4C6" w:rsidR="00DB0AA8" w:rsidRDefault="00DB0AA8">
          <w:pPr>
            <w:pStyle w:val="Verzeichnis2"/>
            <w:tabs>
              <w:tab w:val="left" w:pos="960"/>
              <w:tab w:val="right" w:leader="dot" w:pos="9062"/>
            </w:tabs>
            <w:rPr>
              <w:rFonts w:eastAsiaTheme="minorEastAsia"/>
              <w:noProof/>
              <w:sz w:val="24"/>
              <w:szCs w:val="24"/>
              <w:lang w:eastAsia="de-DE"/>
            </w:rPr>
          </w:pPr>
          <w:hyperlink w:anchor="_Toc234510480" w:history="1">
            <w:r w:rsidRPr="007D668D">
              <w:rPr>
                <w:rStyle w:val="Hyperlink"/>
                <w:noProof/>
              </w:rPr>
              <w:t>1.3</w:t>
            </w:r>
            <w:r>
              <w:rPr>
                <w:rFonts w:eastAsiaTheme="minorEastAsia"/>
                <w:noProof/>
                <w:sz w:val="24"/>
                <w:szCs w:val="24"/>
                <w:lang w:eastAsia="de-DE"/>
              </w:rPr>
              <w:tab/>
            </w:r>
            <w:r w:rsidRPr="007D668D">
              <w:rPr>
                <w:rStyle w:val="Hyperlink"/>
                <w:noProof/>
              </w:rPr>
              <w:t>Grundprinzip der Aggregation</w:t>
            </w:r>
            <w:r>
              <w:rPr>
                <w:noProof/>
                <w:webHidden/>
              </w:rPr>
              <w:tab/>
            </w:r>
            <w:r>
              <w:rPr>
                <w:noProof/>
                <w:webHidden/>
              </w:rPr>
              <w:fldChar w:fldCharType="begin"/>
            </w:r>
            <w:r>
              <w:rPr>
                <w:noProof/>
                <w:webHidden/>
              </w:rPr>
              <w:instrText xml:space="preserve"> PAGEREF _Toc234510480 \h </w:instrText>
            </w:r>
            <w:r>
              <w:rPr>
                <w:noProof/>
                <w:webHidden/>
              </w:rPr>
            </w:r>
            <w:r>
              <w:rPr>
                <w:noProof/>
                <w:webHidden/>
              </w:rPr>
              <w:fldChar w:fldCharType="separate"/>
            </w:r>
            <w:r>
              <w:rPr>
                <w:noProof/>
                <w:webHidden/>
              </w:rPr>
              <w:t>2</w:t>
            </w:r>
            <w:r>
              <w:rPr>
                <w:noProof/>
                <w:webHidden/>
              </w:rPr>
              <w:fldChar w:fldCharType="end"/>
            </w:r>
          </w:hyperlink>
        </w:p>
        <w:p w14:paraId="0855C16F" w14:textId="01B0341C" w:rsidR="00DB0AA8" w:rsidRDefault="00DB0AA8">
          <w:pPr>
            <w:pStyle w:val="Verzeichnis2"/>
            <w:tabs>
              <w:tab w:val="left" w:pos="960"/>
              <w:tab w:val="right" w:leader="dot" w:pos="9062"/>
            </w:tabs>
            <w:rPr>
              <w:rFonts w:eastAsiaTheme="minorEastAsia"/>
              <w:noProof/>
              <w:sz w:val="24"/>
              <w:szCs w:val="24"/>
              <w:lang w:eastAsia="de-DE"/>
            </w:rPr>
          </w:pPr>
          <w:hyperlink w:anchor="_Toc234510481" w:history="1">
            <w:r w:rsidRPr="007D668D">
              <w:rPr>
                <w:rStyle w:val="Hyperlink"/>
                <w:noProof/>
              </w:rPr>
              <w:t>1.4</w:t>
            </w:r>
            <w:r>
              <w:rPr>
                <w:rFonts w:eastAsiaTheme="minorEastAsia"/>
                <w:noProof/>
                <w:sz w:val="24"/>
                <w:szCs w:val="24"/>
                <w:lang w:eastAsia="de-DE"/>
              </w:rPr>
              <w:tab/>
            </w:r>
            <w:r w:rsidRPr="007D668D">
              <w:rPr>
                <w:rStyle w:val="Hyperlink"/>
                <w:noProof/>
              </w:rPr>
              <w:t>Gemeinsame Briefwahlbezirke mehrerer Gemeinden</w:t>
            </w:r>
            <w:r>
              <w:rPr>
                <w:noProof/>
                <w:webHidden/>
              </w:rPr>
              <w:tab/>
            </w:r>
            <w:r>
              <w:rPr>
                <w:noProof/>
                <w:webHidden/>
              </w:rPr>
              <w:fldChar w:fldCharType="begin"/>
            </w:r>
            <w:r>
              <w:rPr>
                <w:noProof/>
                <w:webHidden/>
              </w:rPr>
              <w:instrText xml:space="preserve"> PAGEREF _Toc234510481 \h </w:instrText>
            </w:r>
            <w:r>
              <w:rPr>
                <w:noProof/>
                <w:webHidden/>
              </w:rPr>
            </w:r>
            <w:r>
              <w:rPr>
                <w:noProof/>
                <w:webHidden/>
              </w:rPr>
              <w:fldChar w:fldCharType="separate"/>
            </w:r>
            <w:r>
              <w:rPr>
                <w:noProof/>
                <w:webHidden/>
              </w:rPr>
              <w:t>3</w:t>
            </w:r>
            <w:r>
              <w:rPr>
                <w:noProof/>
                <w:webHidden/>
              </w:rPr>
              <w:fldChar w:fldCharType="end"/>
            </w:r>
          </w:hyperlink>
        </w:p>
        <w:p w14:paraId="5CEA6A68" w14:textId="2A485CDB" w:rsidR="00DB0AA8" w:rsidRDefault="00DB0AA8">
          <w:pPr>
            <w:pStyle w:val="Verzeichnis2"/>
            <w:tabs>
              <w:tab w:val="left" w:pos="960"/>
              <w:tab w:val="right" w:leader="dot" w:pos="9062"/>
            </w:tabs>
            <w:rPr>
              <w:rFonts w:eastAsiaTheme="minorEastAsia"/>
              <w:noProof/>
              <w:sz w:val="24"/>
              <w:szCs w:val="24"/>
              <w:lang w:eastAsia="de-DE"/>
            </w:rPr>
          </w:pPr>
          <w:hyperlink w:anchor="_Toc234510482" w:history="1">
            <w:r w:rsidRPr="007D668D">
              <w:rPr>
                <w:rStyle w:val="Hyperlink"/>
                <w:noProof/>
              </w:rPr>
              <w:t>1.5</w:t>
            </w:r>
            <w:r>
              <w:rPr>
                <w:rFonts w:eastAsiaTheme="minorEastAsia"/>
                <w:noProof/>
                <w:sz w:val="24"/>
                <w:szCs w:val="24"/>
                <w:lang w:eastAsia="de-DE"/>
              </w:rPr>
              <w:tab/>
            </w:r>
            <w:r w:rsidRPr="007D668D">
              <w:rPr>
                <w:rStyle w:val="Hyperlink"/>
                <w:noProof/>
              </w:rPr>
              <w:t>Gemeinsame Auszählung nach § 68 BWO</w:t>
            </w:r>
            <w:r>
              <w:rPr>
                <w:noProof/>
                <w:webHidden/>
              </w:rPr>
              <w:tab/>
            </w:r>
            <w:r>
              <w:rPr>
                <w:noProof/>
                <w:webHidden/>
              </w:rPr>
              <w:fldChar w:fldCharType="begin"/>
            </w:r>
            <w:r>
              <w:rPr>
                <w:noProof/>
                <w:webHidden/>
              </w:rPr>
              <w:instrText xml:space="preserve"> PAGEREF _Toc234510482 \h </w:instrText>
            </w:r>
            <w:r>
              <w:rPr>
                <w:noProof/>
                <w:webHidden/>
              </w:rPr>
            </w:r>
            <w:r>
              <w:rPr>
                <w:noProof/>
                <w:webHidden/>
              </w:rPr>
              <w:fldChar w:fldCharType="separate"/>
            </w:r>
            <w:r>
              <w:rPr>
                <w:noProof/>
                <w:webHidden/>
              </w:rPr>
              <w:t>4</w:t>
            </w:r>
            <w:r>
              <w:rPr>
                <w:noProof/>
                <w:webHidden/>
              </w:rPr>
              <w:fldChar w:fldCharType="end"/>
            </w:r>
          </w:hyperlink>
        </w:p>
        <w:p w14:paraId="280102A1" w14:textId="042D9D1A" w:rsidR="00DB0AA8" w:rsidRDefault="00DB0AA8">
          <w:pPr>
            <w:pStyle w:val="Verzeichnis2"/>
            <w:tabs>
              <w:tab w:val="left" w:pos="960"/>
              <w:tab w:val="right" w:leader="dot" w:pos="9062"/>
            </w:tabs>
            <w:rPr>
              <w:rFonts w:eastAsiaTheme="minorEastAsia"/>
              <w:noProof/>
              <w:sz w:val="24"/>
              <w:szCs w:val="24"/>
              <w:lang w:eastAsia="de-DE"/>
            </w:rPr>
          </w:pPr>
          <w:hyperlink w:anchor="_Toc234510483" w:history="1">
            <w:r w:rsidRPr="007D668D">
              <w:rPr>
                <w:rStyle w:val="Hyperlink"/>
                <w:noProof/>
              </w:rPr>
              <w:t>1.6</w:t>
            </w:r>
            <w:r>
              <w:rPr>
                <w:rFonts w:eastAsiaTheme="minorEastAsia"/>
                <w:noProof/>
                <w:sz w:val="24"/>
                <w:szCs w:val="24"/>
                <w:lang w:eastAsia="de-DE"/>
              </w:rPr>
              <w:tab/>
            </w:r>
            <w:r w:rsidRPr="007D668D">
              <w:rPr>
                <w:rStyle w:val="Hyperlink"/>
                <w:noProof/>
              </w:rPr>
              <w:t>Gemeinsame Behandlung der Briefwahl- und §-68-Verbindungen</w:t>
            </w:r>
            <w:r>
              <w:rPr>
                <w:noProof/>
                <w:webHidden/>
              </w:rPr>
              <w:tab/>
            </w:r>
            <w:r>
              <w:rPr>
                <w:noProof/>
                <w:webHidden/>
              </w:rPr>
              <w:fldChar w:fldCharType="begin"/>
            </w:r>
            <w:r>
              <w:rPr>
                <w:noProof/>
                <w:webHidden/>
              </w:rPr>
              <w:instrText xml:space="preserve"> PAGEREF _Toc234510483 \h </w:instrText>
            </w:r>
            <w:r>
              <w:rPr>
                <w:noProof/>
                <w:webHidden/>
              </w:rPr>
            </w:r>
            <w:r>
              <w:rPr>
                <w:noProof/>
                <w:webHidden/>
              </w:rPr>
              <w:fldChar w:fldCharType="separate"/>
            </w:r>
            <w:r>
              <w:rPr>
                <w:noProof/>
                <w:webHidden/>
              </w:rPr>
              <w:t>5</w:t>
            </w:r>
            <w:r>
              <w:rPr>
                <w:noProof/>
                <w:webHidden/>
              </w:rPr>
              <w:fldChar w:fldCharType="end"/>
            </w:r>
          </w:hyperlink>
        </w:p>
        <w:p w14:paraId="49CEB514" w14:textId="7F248508" w:rsidR="00DB0AA8" w:rsidRDefault="00DB0AA8">
          <w:pPr>
            <w:pStyle w:val="Verzeichnis2"/>
            <w:tabs>
              <w:tab w:val="left" w:pos="960"/>
              <w:tab w:val="right" w:leader="dot" w:pos="9062"/>
            </w:tabs>
            <w:rPr>
              <w:rFonts w:eastAsiaTheme="minorEastAsia"/>
              <w:noProof/>
              <w:sz w:val="24"/>
              <w:szCs w:val="24"/>
              <w:lang w:eastAsia="de-DE"/>
            </w:rPr>
          </w:pPr>
          <w:hyperlink w:anchor="_Toc234510484" w:history="1">
            <w:r w:rsidRPr="007D668D">
              <w:rPr>
                <w:rStyle w:val="Hyperlink"/>
                <w:noProof/>
              </w:rPr>
              <w:t>1.7</w:t>
            </w:r>
            <w:r>
              <w:rPr>
                <w:rFonts w:eastAsiaTheme="minorEastAsia"/>
                <w:noProof/>
                <w:sz w:val="24"/>
                <w:szCs w:val="24"/>
                <w:lang w:eastAsia="de-DE"/>
              </w:rPr>
              <w:tab/>
            </w:r>
            <w:r w:rsidRPr="007D668D">
              <w:rPr>
                <w:rStyle w:val="Hyperlink"/>
                <w:noProof/>
              </w:rPr>
              <w:t>Veränderungen des kommunalen Gebietsstands</w:t>
            </w:r>
            <w:r>
              <w:rPr>
                <w:noProof/>
                <w:webHidden/>
              </w:rPr>
              <w:tab/>
            </w:r>
            <w:r>
              <w:rPr>
                <w:noProof/>
                <w:webHidden/>
              </w:rPr>
              <w:fldChar w:fldCharType="begin"/>
            </w:r>
            <w:r>
              <w:rPr>
                <w:noProof/>
                <w:webHidden/>
              </w:rPr>
              <w:instrText xml:space="preserve"> PAGEREF _Toc234510484 \h </w:instrText>
            </w:r>
            <w:r>
              <w:rPr>
                <w:noProof/>
                <w:webHidden/>
              </w:rPr>
            </w:r>
            <w:r>
              <w:rPr>
                <w:noProof/>
                <w:webHidden/>
              </w:rPr>
              <w:fldChar w:fldCharType="separate"/>
            </w:r>
            <w:r>
              <w:rPr>
                <w:noProof/>
                <w:webHidden/>
              </w:rPr>
              <w:t>5</w:t>
            </w:r>
            <w:r>
              <w:rPr>
                <w:noProof/>
                <w:webHidden/>
              </w:rPr>
              <w:fldChar w:fldCharType="end"/>
            </w:r>
          </w:hyperlink>
        </w:p>
        <w:p w14:paraId="1A058AE6" w14:textId="0EE2A0EC" w:rsidR="00DB0AA8" w:rsidRDefault="00DB0AA8">
          <w:pPr>
            <w:pStyle w:val="Verzeichnis2"/>
            <w:tabs>
              <w:tab w:val="left" w:pos="960"/>
              <w:tab w:val="right" w:leader="dot" w:pos="9062"/>
            </w:tabs>
            <w:rPr>
              <w:rFonts w:eastAsiaTheme="minorEastAsia"/>
              <w:noProof/>
              <w:sz w:val="24"/>
              <w:szCs w:val="24"/>
              <w:lang w:eastAsia="de-DE"/>
            </w:rPr>
          </w:pPr>
          <w:hyperlink w:anchor="_Toc234510485" w:history="1">
            <w:r w:rsidRPr="007D668D">
              <w:rPr>
                <w:rStyle w:val="Hyperlink"/>
                <w:noProof/>
              </w:rPr>
              <w:t>1.8</w:t>
            </w:r>
            <w:r>
              <w:rPr>
                <w:rFonts w:eastAsiaTheme="minorEastAsia"/>
                <w:noProof/>
                <w:sz w:val="24"/>
                <w:szCs w:val="24"/>
                <w:lang w:eastAsia="de-DE"/>
              </w:rPr>
              <w:tab/>
            </w:r>
            <w:r w:rsidRPr="007D668D">
              <w:rPr>
                <w:rStyle w:val="Hyperlink"/>
                <w:noProof/>
              </w:rPr>
              <w:t>Harmonisierung der beiden Wahljahre</w:t>
            </w:r>
            <w:r>
              <w:rPr>
                <w:noProof/>
                <w:webHidden/>
              </w:rPr>
              <w:tab/>
            </w:r>
            <w:r>
              <w:rPr>
                <w:noProof/>
                <w:webHidden/>
              </w:rPr>
              <w:fldChar w:fldCharType="begin"/>
            </w:r>
            <w:r>
              <w:rPr>
                <w:noProof/>
                <w:webHidden/>
              </w:rPr>
              <w:instrText xml:space="preserve"> PAGEREF _Toc234510485 \h </w:instrText>
            </w:r>
            <w:r>
              <w:rPr>
                <w:noProof/>
                <w:webHidden/>
              </w:rPr>
            </w:r>
            <w:r>
              <w:rPr>
                <w:noProof/>
                <w:webHidden/>
              </w:rPr>
              <w:fldChar w:fldCharType="separate"/>
            </w:r>
            <w:r>
              <w:rPr>
                <w:noProof/>
                <w:webHidden/>
              </w:rPr>
              <w:t>6</w:t>
            </w:r>
            <w:r>
              <w:rPr>
                <w:noProof/>
                <w:webHidden/>
              </w:rPr>
              <w:fldChar w:fldCharType="end"/>
            </w:r>
          </w:hyperlink>
        </w:p>
        <w:p w14:paraId="61AE49BB" w14:textId="7CC4E5EF" w:rsidR="00DB0AA8" w:rsidRDefault="00DB0AA8">
          <w:pPr>
            <w:pStyle w:val="Verzeichnis2"/>
            <w:tabs>
              <w:tab w:val="left" w:pos="960"/>
              <w:tab w:val="right" w:leader="dot" w:pos="9062"/>
            </w:tabs>
            <w:rPr>
              <w:rFonts w:eastAsiaTheme="minorEastAsia"/>
              <w:noProof/>
              <w:sz w:val="24"/>
              <w:szCs w:val="24"/>
              <w:lang w:eastAsia="de-DE"/>
            </w:rPr>
          </w:pPr>
          <w:hyperlink w:anchor="_Toc234510486" w:history="1">
            <w:r w:rsidRPr="007D668D">
              <w:rPr>
                <w:rStyle w:val="Hyperlink"/>
                <w:noProof/>
              </w:rPr>
              <w:t>1.9</w:t>
            </w:r>
            <w:r>
              <w:rPr>
                <w:rFonts w:eastAsiaTheme="minorEastAsia"/>
                <w:noProof/>
                <w:sz w:val="24"/>
                <w:szCs w:val="24"/>
                <w:lang w:eastAsia="de-DE"/>
              </w:rPr>
              <w:tab/>
            </w:r>
            <w:r w:rsidRPr="007D668D">
              <w:rPr>
                <w:rStyle w:val="Hyperlink"/>
                <w:noProof/>
              </w:rPr>
              <w:t>Aggregation der Wahlergebnisse</w:t>
            </w:r>
            <w:r>
              <w:rPr>
                <w:noProof/>
                <w:webHidden/>
              </w:rPr>
              <w:tab/>
            </w:r>
            <w:r>
              <w:rPr>
                <w:noProof/>
                <w:webHidden/>
              </w:rPr>
              <w:fldChar w:fldCharType="begin"/>
            </w:r>
            <w:r>
              <w:rPr>
                <w:noProof/>
                <w:webHidden/>
              </w:rPr>
              <w:instrText xml:space="preserve"> PAGEREF _Toc234510486 \h </w:instrText>
            </w:r>
            <w:r>
              <w:rPr>
                <w:noProof/>
                <w:webHidden/>
              </w:rPr>
            </w:r>
            <w:r>
              <w:rPr>
                <w:noProof/>
                <w:webHidden/>
              </w:rPr>
              <w:fldChar w:fldCharType="separate"/>
            </w:r>
            <w:r>
              <w:rPr>
                <w:noProof/>
                <w:webHidden/>
              </w:rPr>
              <w:t>7</w:t>
            </w:r>
            <w:r>
              <w:rPr>
                <w:noProof/>
                <w:webHidden/>
              </w:rPr>
              <w:fldChar w:fldCharType="end"/>
            </w:r>
          </w:hyperlink>
        </w:p>
        <w:p w14:paraId="764F8344" w14:textId="6964791E" w:rsidR="00DB0AA8" w:rsidRDefault="00DB0AA8">
          <w:pPr>
            <w:pStyle w:val="Verzeichnis2"/>
            <w:tabs>
              <w:tab w:val="left" w:pos="960"/>
              <w:tab w:val="right" w:leader="dot" w:pos="9062"/>
            </w:tabs>
            <w:rPr>
              <w:rFonts w:eastAsiaTheme="minorEastAsia"/>
              <w:noProof/>
              <w:sz w:val="24"/>
              <w:szCs w:val="24"/>
              <w:lang w:eastAsia="de-DE"/>
            </w:rPr>
          </w:pPr>
          <w:hyperlink w:anchor="_Toc234510487" w:history="1">
            <w:r w:rsidRPr="007D668D">
              <w:rPr>
                <w:rStyle w:val="Hyperlink"/>
                <w:noProof/>
              </w:rPr>
              <w:t>1.10</w:t>
            </w:r>
            <w:r>
              <w:rPr>
                <w:rFonts w:eastAsiaTheme="minorEastAsia"/>
                <w:noProof/>
                <w:sz w:val="24"/>
                <w:szCs w:val="24"/>
                <w:lang w:eastAsia="de-DE"/>
              </w:rPr>
              <w:tab/>
            </w:r>
            <w:r w:rsidRPr="007D668D">
              <w:rPr>
                <w:rStyle w:val="Hyperlink"/>
                <w:noProof/>
              </w:rPr>
              <w:t>Warum möglichst kleine räumliche Einheiten angestrebt werden</w:t>
            </w:r>
            <w:r>
              <w:rPr>
                <w:noProof/>
                <w:webHidden/>
              </w:rPr>
              <w:tab/>
            </w:r>
            <w:r>
              <w:rPr>
                <w:noProof/>
                <w:webHidden/>
              </w:rPr>
              <w:fldChar w:fldCharType="begin"/>
            </w:r>
            <w:r>
              <w:rPr>
                <w:noProof/>
                <w:webHidden/>
              </w:rPr>
              <w:instrText xml:space="preserve"> PAGEREF _Toc234510487 \h </w:instrText>
            </w:r>
            <w:r>
              <w:rPr>
                <w:noProof/>
                <w:webHidden/>
              </w:rPr>
            </w:r>
            <w:r>
              <w:rPr>
                <w:noProof/>
                <w:webHidden/>
              </w:rPr>
              <w:fldChar w:fldCharType="separate"/>
            </w:r>
            <w:r>
              <w:rPr>
                <w:noProof/>
                <w:webHidden/>
              </w:rPr>
              <w:t>7</w:t>
            </w:r>
            <w:r>
              <w:rPr>
                <w:noProof/>
                <w:webHidden/>
              </w:rPr>
              <w:fldChar w:fldCharType="end"/>
            </w:r>
          </w:hyperlink>
        </w:p>
        <w:p w14:paraId="636BBCF7" w14:textId="3BFF8C51" w:rsidR="00DB0AA8" w:rsidRDefault="00DB0AA8">
          <w:pPr>
            <w:pStyle w:val="Verzeichnis1"/>
            <w:tabs>
              <w:tab w:val="left" w:pos="480"/>
              <w:tab w:val="right" w:leader="dot" w:pos="9062"/>
            </w:tabs>
            <w:rPr>
              <w:rFonts w:eastAsiaTheme="minorEastAsia"/>
              <w:noProof/>
              <w:sz w:val="24"/>
              <w:szCs w:val="24"/>
              <w:lang w:eastAsia="de-DE"/>
            </w:rPr>
          </w:pPr>
          <w:hyperlink w:anchor="_Toc234510488" w:history="1">
            <w:r w:rsidRPr="007D668D">
              <w:rPr>
                <w:rStyle w:val="Hyperlink"/>
                <w:noProof/>
              </w:rPr>
              <w:t>2</w:t>
            </w:r>
            <w:r>
              <w:rPr>
                <w:rFonts w:eastAsiaTheme="minorEastAsia"/>
                <w:noProof/>
                <w:sz w:val="24"/>
                <w:szCs w:val="24"/>
                <w:lang w:eastAsia="de-DE"/>
              </w:rPr>
              <w:tab/>
            </w:r>
            <w:r w:rsidRPr="007D668D">
              <w:rPr>
                <w:rStyle w:val="Hyperlink"/>
                <w:noProof/>
              </w:rPr>
              <w:t>Aufbereitung und Aggregation der Wahlbezirksdaten - kurzfassung</w:t>
            </w:r>
            <w:r>
              <w:rPr>
                <w:noProof/>
                <w:webHidden/>
              </w:rPr>
              <w:tab/>
            </w:r>
            <w:r>
              <w:rPr>
                <w:noProof/>
                <w:webHidden/>
              </w:rPr>
              <w:fldChar w:fldCharType="begin"/>
            </w:r>
            <w:r>
              <w:rPr>
                <w:noProof/>
                <w:webHidden/>
              </w:rPr>
              <w:instrText xml:space="preserve"> PAGEREF _Toc234510488 \h </w:instrText>
            </w:r>
            <w:r>
              <w:rPr>
                <w:noProof/>
                <w:webHidden/>
              </w:rPr>
            </w:r>
            <w:r>
              <w:rPr>
                <w:noProof/>
                <w:webHidden/>
              </w:rPr>
              <w:fldChar w:fldCharType="separate"/>
            </w:r>
            <w:r>
              <w:rPr>
                <w:noProof/>
                <w:webHidden/>
              </w:rPr>
              <w:t>8</w:t>
            </w:r>
            <w:r>
              <w:rPr>
                <w:noProof/>
                <w:webHidden/>
              </w:rPr>
              <w:fldChar w:fldCharType="end"/>
            </w:r>
          </w:hyperlink>
        </w:p>
        <w:p w14:paraId="234DC105" w14:textId="373D33E9" w:rsidR="00FA1E1F" w:rsidRDefault="00FA1E1F">
          <w:r>
            <w:rPr>
              <w:b/>
              <w:bCs/>
            </w:rPr>
            <w:fldChar w:fldCharType="end"/>
          </w:r>
        </w:p>
      </w:sdtContent>
    </w:sdt>
    <w:p w14:paraId="4A2C273D" w14:textId="77777777" w:rsidR="00FA1E1F" w:rsidRDefault="00FA1E1F" w:rsidP="00FA1E1F"/>
    <w:p w14:paraId="25FB15C4" w14:textId="621AA335" w:rsidR="00537049" w:rsidRDefault="00FA1E1F" w:rsidP="00FA1E1F">
      <w:pPr>
        <w:pStyle w:val="berschrift1"/>
      </w:pPr>
      <w:bookmarkStart w:id="0" w:name="_Toc234510477"/>
      <w:r w:rsidRPr="00FA1E1F">
        <w:t>Methodische Aufbereitung und Aggregation der Wahldaten</w:t>
      </w:r>
      <w:bookmarkEnd w:id="0"/>
    </w:p>
    <w:p w14:paraId="0A1BF448" w14:textId="0A88C276" w:rsidR="00FA1E1F" w:rsidRDefault="00FA1E1F" w:rsidP="00FA1E1F">
      <w:pPr>
        <w:pStyle w:val="berschrift2"/>
      </w:pPr>
      <w:bookmarkStart w:id="1" w:name="_Toc234510478"/>
      <w:r w:rsidRPr="00FA1E1F">
        <w:t>Ziel der Datenaufbereitung</w:t>
      </w:r>
      <w:bookmarkEnd w:id="1"/>
    </w:p>
    <w:p w14:paraId="6AA8CADB" w14:textId="77777777" w:rsidR="00A8338A" w:rsidRPr="00A8338A" w:rsidRDefault="00A8338A" w:rsidP="00A8338A">
      <w:r w:rsidRPr="00A8338A">
        <w:t>Ziel der Datenaufbereitung ist die Konstruktion möglichst kleinräumiger, zwischen den Bundestagswahlen 2021 und 2025 vollständig vergleichbarer Analyseeinheiten. Die kleinste reguläre räumliche Einheit soll grundsätzlich die Gemeinde sein, weil die später verwendeten sozioökonomischen und demografischen Strukturdaten überwiegend über den Amtlichen Gemeindeschlüssel verfügbar sind. Gemeinden werden nur dann zu größeren Einheiten zusammengefasst, wenn sich Wahlergebnisse aufgrund der Organisation oder Veröffentlichung der Stimmenauszählung nicht eindeutig einer einzelnen Gemeinde zuordnen lassen oder wenn sich der kommunale Gebietsstand zwischen den beiden Wahlen verändert hat.</w:t>
      </w:r>
    </w:p>
    <w:p w14:paraId="687B3602" w14:textId="77777777" w:rsidR="00A8338A" w:rsidRPr="00A8338A" w:rsidRDefault="00A8338A" w:rsidP="00A8338A">
      <w:r w:rsidRPr="00A8338A">
        <w:t>Die resultierenden Einheiten werden durch einen selbst erzeugten agg.schlüssel identifiziert. Dieser besteht aus der sortierten Menge aller amtlichen Gemeindeschlüssel, die gemeinsam eine räumlich und rechnerisch vergleichbare Einheit bilden. Für nicht betroffene Gemeinden entspricht der agg.schlüssel dem einzelnen Gemeindeschlüssel; bei notwendigen Zusammenfassungen enthält er mehrere Gemeindeschlüssel.</w:t>
      </w:r>
    </w:p>
    <w:p w14:paraId="59D3CDA1" w14:textId="77777777" w:rsidR="00A8338A" w:rsidRPr="00A8338A" w:rsidRDefault="00A8338A" w:rsidP="00A8338A">
      <w:r w:rsidRPr="00A8338A">
        <w:t>Damit wird nicht von vornherein auf Wahlkreis-, Kreis- oder Landesebene aggregiert. Vielmehr wird für jede Gemeinde geprüft, ob ihre Wahlergebnisse eigenständig beobachtbar sind. Nur wenn dies nicht der Fall ist, wird sie mit den tatsächlich verbundenen Gemeinden zusammengefasst.</w:t>
      </w:r>
    </w:p>
    <w:p w14:paraId="2D8490B3" w14:textId="57AD3476" w:rsidR="00A8338A" w:rsidRPr="00A8338A" w:rsidRDefault="00A8338A" w:rsidP="00A8338A"/>
    <w:p w14:paraId="51AFFC7E" w14:textId="053999B0" w:rsidR="00A8338A" w:rsidRPr="00FE3739" w:rsidRDefault="00A8338A" w:rsidP="00FE3739">
      <w:pPr>
        <w:pStyle w:val="berschrift2"/>
      </w:pPr>
      <w:bookmarkStart w:id="2" w:name="_Toc234510479"/>
      <w:r w:rsidRPr="00FE3739">
        <w:t>Datengrundlage</w:t>
      </w:r>
      <w:bookmarkEnd w:id="2"/>
    </w:p>
    <w:p w14:paraId="677642F7" w14:textId="77777777" w:rsidR="00A8338A" w:rsidRPr="00A8338A" w:rsidRDefault="00A8338A" w:rsidP="00A8338A">
      <w:r w:rsidRPr="00A8338A">
        <w:t xml:space="preserve">Als Ausgangsdaten werden die von der Bundeswahlleiterin veröffentlichten Wahlbezirksergebnisse der Bundestagswahlen vom 26. September 2021 und vom 23. Februar 2025 verwendet. Die Dateien enthalten die Ergebnisse auf Ebene der Urnen-, Brief- und sonstigen Wahlbezirke. Für 2021 umfasst die Veröffentlichung knapp 95.000 Wahlbezirke sowie eine zusätzliche Datei mit Informationen zu den verwendeten Gemeindekennziffern; für 2025 werden ebenfalls rund 95.000 Wahlbezirke und eine ergänzende Gemeindeschlüsseldatei bereitgestellt. Die Wahlbezirksergebnisse beruhen auf den von den Ländern übermittelten amtlichen Ergebnissen. </w:t>
      </w:r>
    </w:p>
    <w:p w14:paraId="3EF3EBBA" w14:textId="77777777" w:rsidR="00A8338A" w:rsidRPr="00A8338A" w:rsidRDefault="00A8338A" w:rsidP="00A8338A">
      <w:r w:rsidRPr="00A8338A">
        <w:t>In die spätere Aggregation gehen insbesondere folgende Größen ein:</w:t>
      </w:r>
    </w:p>
    <w:p w14:paraId="2EA70AEC" w14:textId="77777777" w:rsidR="00A8338A" w:rsidRPr="00A8338A" w:rsidRDefault="00A8338A" w:rsidP="00A8338A">
      <w:pPr>
        <w:numPr>
          <w:ilvl w:val="0"/>
          <w:numId w:val="5"/>
        </w:numPr>
      </w:pPr>
      <w:r w:rsidRPr="00A8338A">
        <w:t xml:space="preserve">Wahlberechtigte und Wählende, </w:t>
      </w:r>
    </w:p>
    <w:p w14:paraId="595ADD18" w14:textId="77777777" w:rsidR="00A8338A" w:rsidRPr="00A8338A" w:rsidRDefault="00A8338A" w:rsidP="00A8338A">
      <w:pPr>
        <w:numPr>
          <w:ilvl w:val="0"/>
          <w:numId w:val="5"/>
        </w:numPr>
      </w:pPr>
      <w:r w:rsidRPr="00A8338A">
        <w:t xml:space="preserve">gültige und ungültige Erst- und Zweitstimmen, </w:t>
      </w:r>
    </w:p>
    <w:p w14:paraId="0DE0C800" w14:textId="77777777" w:rsidR="00A8338A" w:rsidRPr="00A8338A" w:rsidRDefault="00A8338A" w:rsidP="00A8338A">
      <w:pPr>
        <w:numPr>
          <w:ilvl w:val="0"/>
          <w:numId w:val="5"/>
        </w:numPr>
      </w:pPr>
      <w:r w:rsidRPr="00A8338A">
        <w:t xml:space="preserve">die Erst- und Zweitstimmen der einzelnen Parteien, </w:t>
      </w:r>
    </w:p>
    <w:p w14:paraId="03655928" w14:textId="77777777" w:rsidR="00A8338A" w:rsidRPr="00A8338A" w:rsidRDefault="00A8338A" w:rsidP="00A8338A">
      <w:pPr>
        <w:numPr>
          <w:ilvl w:val="0"/>
          <w:numId w:val="5"/>
        </w:numPr>
      </w:pPr>
      <w:r w:rsidRPr="00A8338A">
        <w:lastRenderedPageBreak/>
        <w:t xml:space="preserve">gegebenenfalls weitere numerische Ergebnisvariablen. </w:t>
      </w:r>
    </w:p>
    <w:p w14:paraId="621A0D00" w14:textId="77777777" w:rsidR="00A8338A" w:rsidRPr="00A8338A" w:rsidRDefault="00A8338A" w:rsidP="00A8338A">
      <w:r w:rsidRPr="00A8338A">
        <w:t>Administrative Identifikationsmerkmale wie Wahlkreis, Land, Regierungsbezirk, Kreis, Gemeinde, Wahlbezirksnummer und Wahlbezirksart werden dagegen nicht summiert, sondern zur Identifikation und Kontrolle der Zuordnungen genutzt.</w:t>
      </w:r>
    </w:p>
    <w:p w14:paraId="1C719F0E" w14:textId="77777777" w:rsidR="00A8338A" w:rsidRPr="00A8338A" w:rsidRDefault="00A8338A" w:rsidP="00A8338A">
      <w:r w:rsidRPr="00A8338A">
        <w:t>Aus den Variablen für Land, Regierungsbezirk, Kreis und Gemeinde wird zunächst für jeden Datensatz ein achtstelliger Amtlicher Gemeindeschlüssel erzeugt:</w:t>
      </w:r>
    </w:p>
    <w:p w14:paraId="4DEF9EB2" w14:textId="69112A89" w:rsidR="00A8338A" w:rsidRPr="00A8338A" w:rsidRDefault="00A8338A" w:rsidP="00A8338A">
      <m:oMathPara>
        <m:oMath>
          <m:r>
            <w:rPr>
              <w:rFonts w:ascii="Cambria Math" w:hAnsi="Cambria Math"/>
            </w:rPr>
            <m:t>AGS=</m:t>
          </m:r>
          <m:sSub>
            <m:sSubPr>
              <m:ctrlPr>
                <w:rPr>
                  <w:rFonts w:ascii="Cambria Math" w:hAnsi="Cambria Math"/>
                </w:rPr>
              </m:ctrlPr>
            </m:sSubPr>
            <m:e>
              <m:r>
                <m:rPr>
                  <m:nor/>
                </m:rPr>
                <m:t>Land</m:t>
              </m:r>
            </m:e>
            <m:sub>
              <m:r>
                <w:rPr>
                  <w:rFonts w:ascii="Cambria Math" w:hAnsi="Cambria Math"/>
                </w:rPr>
                <m:t>2</m:t>
              </m:r>
            </m:sub>
          </m:sSub>
          <m:r>
            <w:rPr>
              <w:rFonts w:ascii="Cambria Math" w:hAnsi="Cambria Math"/>
            </w:rPr>
            <m:t>+</m:t>
          </m:r>
          <m:sSub>
            <m:sSubPr>
              <m:ctrlPr>
                <w:rPr>
                  <w:rFonts w:ascii="Cambria Math" w:hAnsi="Cambria Math"/>
                </w:rPr>
              </m:ctrlPr>
            </m:sSubPr>
            <m:e>
              <m:r>
                <m:rPr>
                  <m:nor/>
                </m:rPr>
                <m:t>Regierungsbezirk</m:t>
              </m:r>
            </m:e>
            <m:sub>
              <m:r>
                <w:rPr>
                  <w:rFonts w:ascii="Cambria Math" w:hAnsi="Cambria Math"/>
                </w:rPr>
                <m:t>1</m:t>
              </m:r>
            </m:sub>
          </m:sSub>
          <m:r>
            <w:rPr>
              <w:rFonts w:ascii="Cambria Math" w:hAnsi="Cambria Math"/>
            </w:rPr>
            <m:t>+</m:t>
          </m:r>
          <m:sSub>
            <m:sSubPr>
              <m:ctrlPr>
                <w:rPr>
                  <w:rFonts w:ascii="Cambria Math" w:hAnsi="Cambria Math"/>
                </w:rPr>
              </m:ctrlPr>
            </m:sSubPr>
            <m:e>
              <m:r>
                <m:rPr>
                  <m:nor/>
                </m:rPr>
                <m:t>Kreis</m:t>
              </m:r>
            </m:e>
            <m:sub>
              <m:r>
                <w:rPr>
                  <w:rFonts w:ascii="Cambria Math" w:hAnsi="Cambria Math"/>
                </w:rPr>
                <m:t>2</m:t>
              </m:r>
            </m:sub>
          </m:sSub>
          <m:r>
            <w:rPr>
              <w:rFonts w:ascii="Cambria Math" w:hAnsi="Cambria Math"/>
            </w:rPr>
            <m:t>+</m:t>
          </m:r>
          <m:sSub>
            <m:sSubPr>
              <m:ctrlPr>
                <w:rPr>
                  <w:rFonts w:ascii="Cambria Math" w:hAnsi="Cambria Math"/>
                </w:rPr>
              </m:ctrlPr>
            </m:sSubPr>
            <m:e>
              <m:r>
                <m:rPr>
                  <m:nor/>
                </m:rPr>
                <m:t>Gemeinde</m:t>
              </m:r>
            </m:e>
            <m:sub>
              <m:r>
                <w:rPr>
                  <w:rFonts w:ascii="Cambria Math" w:hAnsi="Cambria Math"/>
                </w:rPr>
                <m:t>3</m:t>
              </m:r>
            </m:sub>
          </m:sSub>
          <m:r>
            <m:rPr>
              <m:sty m:val="p"/>
            </m:rPr>
            <w:rPr>
              <w:rFonts w:ascii="Cambria Math" w:hAnsi="Cambria Math"/>
            </w:rPr>
            <m:t>.</m:t>
          </m:r>
          <m:r>
            <m:rPr>
              <m:sty m:val="p"/>
            </m:rPr>
            <w:br/>
          </m:r>
        </m:oMath>
      </m:oMathPara>
    </w:p>
    <w:p w14:paraId="7CA7FEDB" w14:textId="77777777" w:rsidR="00A8338A" w:rsidRPr="00A8338A" w:rsidRDefault="00A8338A" w:rsidP="00A8338A">
      <w:r w:rsidRPr="00A8338A">
        <w:t xml:space="preserve">Die einzelnen Bestandteile werden mit führenden Nullen aufgefüllt und als Zeichenvariablen gespeichert, damit beispielsweise Gemeindeschlüssel norddeutscher Länder nicht durch die Umwandlung in numerische Werte verkürzt werden. Dieses Vorgehen wird getrennt für die Daten von 2021 und 2025 durchgeführt. </w:t>
      </w:r>
    </w:p>
    <w:p w14:paraId="53E922D9" w14:textId="11DB4412" w:rsidR="00A8338A" w:rsidRPr="00A8338A" w:rsidRDefault="00A8338A" w:rsidP="00A8338A"/>
    <w:p w14:paraId="31EAD273" w14:textId="7F3AE7CB" w:rsidR="00A8338A" w:rsidRPr="00D40DD2" w:rsidRDefault="00A8338A" w:rsidP="00FE3739">
      <w:pPr>
        <w:pStyle w:val="berschrift2"/>
      </w:pPr>
      <w:bookmarkStart w:id="3" w:name="_Toc234510480"/>
      <w:r w:rsidRPr="00D40DD2">
        <w:t>Grundprinzip der Aggregation</w:t>
      </w:r>
      <w:bookmarkEnd w:id="3"/>
    </w:p>
    <w:p w14:paraId="189843AC" w14:textId="77777777" w:rsidR="00A8338A" w:rsidRPr="00A8338A" w:rsidRDefault="00A8338A" w:rsidP="00A8338A">
      <w:r w:rsidRPr="00A8338A">
        <w:t>Für jedes Wahljahr wird zunächst ein Mapping erstellt, das jede Kombination aus Wahlkreis und Gemeindeschlüssel einem agg.schlüssel zuordnet. Dabei gelten drei Grundfälle:</w:t>
      </w:r>
    </w:p>
    <w:p w14:paraId="2468D250" w14:textId="77777777" w:rsidR="00A8338A" w:rsidRPr="00A8338A" w:rsidRDefault="00A8338A" w:rsidP="00A8338A">
      <w:pPr>
        <w:numPr>
          <w:ilvl w:val="0"/>
          <w:numId w:val="6"/>
        </w:numPr>
      </w:pPr>
      <w:r w:rsidRPr="00A8338A">
        <w:t xml:space="preserve">Ist das Ergebnis einer Gemeinde vollständig und eindeutig dieser Gemeinde zugeordnet, entspricht der agg.schlüssel ihrem eigenen AGS. </w:t>
      </w:r>
    </w:p>
    <w:p w14:paraId="6458FCB6" w14:textId="77777777" w:rsidR="00A8338A" w:rsidRPr="00A8338A" w:rsidRDefault="00A8338A" w:rsidP="00A8338A">
      <w:pPr>
        <w:numPr>
          <w:ilvl w:val="0"/>
          <w:numId w:val="6"/>
        </w:numPr>
      </w:pPr>
      <w:r w:rsidRPr="00A8338A">
        <w:t xml:space="preserve">Sind Wahlergebnisse mehrerer Gemeinden gemeinsam ausgezählt oder veröffentlicht worden, erhalten alle beteiligten Gemeinden denselben zusammengesetzten agg.schlüssel. </w:t>
      </w:r>
    </w:p>
    <w:p w14:paraId="44E3AE0E" w14:textId="77777777" w:rsidR="00A8338A" w:rsidRPr="00A8338A" w:rsidRDefault="00A8338A" w:rsidP="00A8338A">
      <w:pPr>
        <w:numPr>
          <w:ilvl w:val="0"/>
          <w:numId w:val="6"/>
        </w:numPr>
      </w:pPr>
      <w:r w:rsidRPr="00A8338A">
        <w:t xml:space="preserve">Gehören mehrere ursprünglich getrennte Gruppen aufgrund weiterer Verbindungen zusammen, werden diese Gruppen transitiv vereinigt. </w:t>
      </w:r>
    </w:p>
    <w:p w14:paraId="6D99240D" w14:textId="77777777" w:rsidR="00A8338A" w:rsidRPr="00A8338A" w:rsidRDefault="00A8338A" w:rsidP="00A8338A">
      <w:r w:rsidRPr="00A8338A">
        <w:t>Die letzte Regel ist wichtig. Angenommen, die Gemeinden A und B bilden einen gemeinsamen Briefwahlbezirk, während B und C aufgrund einer gemeinsamen Auszählung nach § 68 BWO verbunden sind. Dann reichen die Gruppen A, B und B, C nicht aus. Da B in beiden Gruppen vorkommt, muss die endgültige Einheit lauten:</w:t>
      </w:r>
    </w:p>
    <w:p w14:paraId="2709062D" w14:textId="77777777" w:rsidR="00A8338A" w:rsidRPr="00A8338A" w:rsidRDefault="00A8338A" w:rsidP="00A8338A">
      <w:r w:rsidRPr="00A8338A">
        <w:t>A, B, C</w:t>
      </w:r>
    </w:p>
    <w:p w14:paraId="203EC524" w14:textId="77777777" w:rsidR="00A8338A" w:rsidRPr="00A8338A" w:rsidRDefault="00A8338A" w:rsidP="00A8338A">
      <w:r w:rsidRPr="00A8338A">
        <w:t xml:space="preserve">Alle zunächst gebildeten Gemeindegruppen werden daher rekursiv miteinander vereinigt, sobald sie mindestens einen Gemeindeschlüssel gemeinsam haben. Der Prozess wird wiederholt, bis keine weitere Überschneidung mehr vorhanden ist. Auf diese Weise entsteht die transitive Hülle sämtlicher beobachtungsbedingter Verbindungen. Die Umsetzung folgt in deinem Skript genau diesem Prinzip der rekursiven Zusammenführung überlappender Mengen. </w:t>
      </w:r>
    </w:p>
    <w:p w14:paraId="231DB2EC" w14:textId="77777777" w:rsidR="00A8338A" w:rsidRPr="00A8338A" w:rsidRDefault="00A8338A" w:rsidP="00A8338A">
      <w:r w:rsidRPr="00A8338A">
        <w:t xml:space="preserve">Der agg.schlüssel ist somit keine beliebige regionale Klassifikation. Er bezeichnet die </w:t>
      </w:r>
      <w:r w:rsidRPr="00A8338A">
        <w:rPr>
          <w:b/>
          <w:bCs/>
        </w:rPr>
        <w:t>kleinstmögliche Menge von Gemeinden, deren Wahlergebnisse in den vorliegenden Daten noch vollständig und überschneidungsfrei rekonstruiert werden können</w:t>
      </w:r>
      <w:r w:rsidRPr="00A8338A">
        <w:t>.</w:t>
      </w:r>
    </w:p>
    <w:p w14:paraId="4565CE18" w14:textId="0CF2F371" w:rsidR="00A8338A" w:rsidRPr="00A8338A" w:rsidRDefault="00A8338A" w:rsidP="00A8338A"/>
    <w:p w14:paraId="6DA037B2" w14:textId="1F3D47A9" w:rsidR="00A8338A" w:rsidRPr="00FE3739" w:rsidRDefault="00A8338A" w:rsidP="00FE3739">
      <w:pPr>
        <w:pStyle w:val="berschrift2"/>
      </w:pPr>
      <w:bookmarkStart w:id="4" w:name="_Toc234510481"/>
      <w:r w:rsidRPr="00FE3739">
        <w:lastRenderedPageBreak/>
        <w:t>Gemeinsame Briefwahlbezirke mehrerer Gemeinden</w:t>
      </w:r>
      <w:bookmarkEnd w:id="4"/>
    </w:p>
    <w:p w14:paraId="3685A4B8" w14:textId="77777777" w:rsidR="00A8338A" w:rsidRPr="00A8338A" w:rsidRDefault="00A8338A" w:rsidP="00A8338A">
      <w:r w:rsidRPr="00A8338A">
        <w:t>Eine zentrale Besonderheit der Wahlbezirksdaten sind gemeinsame Briefwahlvorstände für mehrere Gemeinden. In diesen Fällen werden die Briefwahlstimmen nicht separat für jede beteiligte Gemeinde ausgewiesen.</w:t>
      </w:r>
    </w:p>
    <w:p w14:paraId="400D06D4" w14:textId="77777777" w:rsidR="00A8338A" w:rsidRPr="00A8338A" w:rsidRDefault="00A8338A" w:rsidP="00A8338A">
      <w:r w:rsidRPr="00A8338A">
        <w:t xml:space="preserve">Nach der Dokumentation der Bundeswahlleiterin erhalten alle Gemeinden eines Kreises, die einen gemeinsamen Briefwahlvorstand bilden, dieselbe zweistellige Kennziffer im Feld Briefwahlzugehörigkeit. Für den gemeinsamen Briefwahlbezirk wird zusätzlich eine künstliche Gemeindekennziffer erzeugt, deren dreistelliger Gemeindeteil mit einer 9 beginnt. Eine Kennziffer wie 924 bezeichnet daher keine politisch selbstständige Gemeinde, sondern den gemeinsamen Briefwahlbezirk der Gemeinden mit der Briefwahlzugehörigkeit 24. </w:t>
      </w:r>
    </w:p>
    <w:p w14:paraId="4ECBC0A4" w14:textId="77777777" w:rsidR="00A8338A" w:rsidRPr="00A8338A" w:rsidRDefault="00A8338A" w:rsidP="00A8338A">
      <w:r w:rsidRPr="00A8338A">
        <w:t>In der Datenaufbereitung werden deshalb zunächst zwei Arten von Datensätzen unterschieden:</w:t>
      </w:r>
    </w:p>
    <w:p w14:paraId="79AA344F" w14:textId="77777777" w:rsidR="00A8338A" w:rsidRPr="00A8338A" w:rsidRDefault="00A8338A" w:rsidP="00A8338A">
      <w:r w:rsidRPr="00A8338A">
        <w:t>Gemeinde &lt; 900: reale Gemeinde</w:t>
      </w:r>
      <w:r w:rsidRPr="00A8338A">
        <w:br/>
        <w:t>Gemeinde ≥ 900: künstlicher gemeinsamer Briefwahlbezirk</w:t>
      </w:r>
    </w:p>
    <w:p w14:paraId="11A5A7A6" w14:textId="77777777" w:rsidR="00A8338A" w:rsidRPr="00A8338A" w:rsidRDefault="00A8338A" w:rsidP="00A8338A">
      <w:r w:rsidRPr="00A8338A">
        <w:t>Für jede künstliche Gemeinde werden die zugehörigen realen Gemeinden über folgende Merkmale bestimmt:</w:t>
      </w:r>
    </w:p>
    <w:p w14:paraId="1B1D42FB" w14:textId="77777777" w:rsidR="00A8338A" w:rsidRPr="00A8338A" w:rsidRDefault="00A8338A" w:rsidP="00A8338A">
      <w:pPr>
        <w:numPr>
          <w:ilvl w:val="0"/>
          <w:numId w:val="7"/>
        </w:numPr>
      </w:pPr>
      <w:r w:rsidRPr="00A8338A">
        <w:t xml:space="preserve">Land, </w:t>
      </w:r>
    </w:p>
    <w:p w14:paraId="4C9F4916" w14:textId="77777777" w:rsidR="00A8338A" w:rsidRPr="00A8338A" w:rsidRDefault="00A8338A" w:rsidP="00A8338A">
      <w:pPr>
        <w:numPr>
          <w:ilvl w:val="0"/>
          <w:numId w:val="7"/>
        </w:numPr>
      </w:pPr>
      <w:r w:rsidRPr="00A8338A">
        <w:t xml:space="preserve">Regierungsbezirk, </w:t>
      </w:r>
    </w:p>
    <w:p w14:paraId="15C3A9C9" w14:textId="77777777" w:rsidR="00A8338A" w:rsidRPr="00A8338A" w:rsidRDefault="00A8338A" w:rsidP="00A8338A">
      <w:pPr>
        <w:numPr>
          <w:ilvl w:val="0"/>
          <w:numId w:val="7"/>
        </w:numPr>
      </w:pPr>
      <w:r w:rsidRPr="00A8338A">
        <w:t xml:space="preserve">Kreis, </w:t>
      </w:r>
    </w:p>
    <w:p w14:paraId="0E5540DD" w14:textId="77777777" w:rsidR="00A8338A" w:rsidRPr="00A8338A" w:rsidRDefault="00A8338A" w:rsidP="00A8338A">
      <w:pPr>
        <w:numPr>
          <w:ilvl w:val="0"/>
          <w:numId w:val="7"/>
        </w:numPr>
      </w:pPr>
      <w:r w:rsidRPr="00A8338A">
        <w:t xml:space="preserve">Wahlkreis, </w:t>
      </w:r>
    </w:p>
    <w:p w14:paraId="77A624A4" w14:textId="77777777" w:rsidR="00A8338A" w:rsidRPr="00A8338A" w:rsidRDefault="00A8338A" w:rsidP="00A8338A">
      <w:pPr>
        <w:numPr>
          <w:ilvl w:val="0"/>
          <w:numId w:val="7"/>
        </w:numPr>
      </w:pPr>
      <w:r w:rsidRPr="00A8338A">
        <w:t xml:space="preserve">Kennziffer der Briefwahlzugehörigkeit. </w:t>
      </w:r>
    </w:p>
    <w:p w14:paraId="3BD896EC" w14:textId="77777777" w:rsidR="00A8338A" w:rsidRPr="00A8338A" w:rsidRDefault="00A8338A" w:rsidP="00A8338A">
      <w:r w:rsidRPr="00A8338A">
        <w:t>Die Einbeziehung des Wahlkreises ist erforderlich, wenn dieselbe technische Briefwahlkennziffer in mehreren Wahlkreiskontexten vorkommt oder eine gemeinsame organisatorische Einheit nach Wahlkreis getrennt ausgezählt wird. In diesem Fall dürfen die Gruppen nicht allein über die Briefwahlzugehörigkeit verbunden werden.</w:t>
      </w:r>
    </w:p>
    <w:p w14:paraId="7F22B293" w14:textId="77777777" w:rsidR="00A8338A" w:rsidRPr="00A8338A" w:rsidRDefault="00A8338A" w:rsidP="00A8338A">
      <w:r w:rsidRPr="00A8338A">
        <w:t>Alle realen Gemeinden, die demselben gemeinsamen Briefwahlbezirk zugeordnet sind, erhalten anschließend denselben agg.schlüssel. Der künstliche 9xx-Schlüssel wird nicht als eigenständige Gemeinde interpretiert, sondern ebenfalls auf diesen agg.schlüssel abgebildet.</w:t>
      </w:r>
    </w:p>
    <w:p w14:paraId="71299F3F" w14:textId="77777777" w:rsidR="00A8338A" w:rsidRPr="00A8338A" w:rsidRDefault="00A8338A" w:rsidP="00A8338A">
      <w:r w:rsidRPr="00A8338A">
        <w:t>Beispielsweise führt eine gemeinsame Briefwahlauszählung für die Gemeinden A, B und C zu:</w:t>
      </w:r>
    </w:p>
    <w:p w14:paraId="64CF18D0" w14:textId="77777777" w:rsidR="00A8338A" w:rsidRPr="00A8338A" w:rsidRDefault="00A8338A" w:rsidP="00A8338A">
      <w:r w:rsidRPr="00A8338A">
        <w:t>Gemeindeschlüssel A → agg.schlüssel A, B, C</w:t>
      </w:r>
      <w:r w:rsidRPr="00A8338A">
        <w:br/>
        <w:t>Gemeindeschlüssel B → agg.schlüssel A, B, C</w:t>
      </w:r>
      <w:r w:rsidRPr="00A8338A">
        <w:br/>
        <w:t>Gemeindeschlüssel C → agg.schlüssel A, B, C</w:t>
      </w:r>
      <w:r w:rsidRPr="00A8338A">
        <w:br/>
        <w:t>künstlicher 9xx-Code → agg.schlüssel A, B, C</w:t>
      </w:r>
    </w:p>
    <w:p w14:paraId="77F7D72C" w14:textId="77777777" w:rsidR="00A8338A" w:rsidRPr="00A8338A" w:rsidRDefault="00A8338A" w:rsidP="00A8338A">
      <w:r w:rsidRPr="00A8338A">
        <w:t>Bei der späteren Summierung werden damit sowohl die Urnenwahlergebnisse der drei realen Gemeinden als auch die nur gemeinsam verfügbaren Briefwahlergebnisse derselben regionalen Einheit zugeordnet. Eine künstliche Gemeinde bleibt nicht als zusätzliche räumliche Beobachtungseinheit im Datensatz bestehen.</w:t>
      </w:r>
    </w:p>
    <w:p w14:paraId="7A06BD99" w14:textId="404DF0CA" w:rsidR="00A8338A" w:rsidRPr="00A8338A" w:rsidRDefault="00A8338A" w:rsidP="00A8338A"/>
    <w:p w14:paraId="6FA49848" w14:textId="13305588" w:rsidR="00A8338A" w:rsidRPr="00FE3739" w:rsidRDefault="00A8338A" w:rsidP="00FE3739">
      <w:pPr>
        <w:pStyle w:val="berschrift2"/>
      </w:pPr>
      <w:bookmarkStart w:id="5" w:name="_Toc234510482"/>
      <w:r w:rsidRPr="00FE3739">
        <w:lastRenderedPageBreak/>
        <w:t>Gemeinsame Auszählung nach § 68 BWO</w:t>
      </w:r>
      <w:bookmarkEnd w:id="5"/>
    </w:p>
    <w:p w14:paraId="1872EC2F" w14:textId="77777777" w:rsidR="00A8338A" w:rsidRPr="00A8338A" w:rsidRDefault="00A8338A" w:rsidP="00A8338A">
      <w:r w:rsidRPr="00A8338A">
        <w:t xml:space="preserve">Eine weitere Besonderheit betrifft die gemeinsame Ergebnisermittlung kleiner Urnenwahlbezirke. Nach § 68 Absatz 2 BWO kann die Kreiswahlleitung anordnen, dass ein Wahlbezirk mit weniger als 30 Wählenden seine Wahlurne und die weiteren Wahlunterlagen einem anderen Wahlvorstand desselben Wahlkreises übergibt. Das Ergebnis wird anschließend nur gemeinsam festgestellt. </w:t>
      </w:r>
    </w:p>
    <w:p w14:paraId="0BDB7B74" w14:textId="77777777" w:rsidR="00A8338A" w:rsidRPr="00A8338A" w:rsidRDefault="00A8338A" w:rsidP="00A8338A">
      <w:r w:rsidRPr="00A8338A">
        <w:t xml:space="preserve">In der Wahlbezirksdatei erhalten der abgebende und der aufnehmende Wahlbezirk dieselbe Kennziffer im Feld Kennziffer Urnenwahlbezirke nach § 68 BWO. Die Datensätze der abgebenden Wahlbezirke enthalten grundsätzlich nur Nullwerte, während das gemeinsame Ergebnis beim aufnehmenden Wahlbezirk ausgewiesen wird. Die Kennziffer besteht aus der Wahlkreisnummer und einem Buchstaben. </w:t>
      </w:r>
    </w:p>
    <w:p w14:paraId="7E1BC357" w14:textId="77777777" w:rsidR="00A8338A" w:rsidRPr="00A8338A" w:rsidRDefault="00A8338A" w:rsidP="00A8338A">
      <w:r w:rsidRPr="00A8338A">
        <w:t>Für die Aggregation ist dabei zu unterscheiden:</w:t>
      </w:r>
    </w:p>
    <w:p w14:paraId="0A21D546" w14:textId="77777777" w:rsidR="00A8338A" w:rsidRPr="00A8338A" w:rsidRDefault="00A8338A" w:rsidP="00A8338A">
      <w:pPr>
        <w:numPr>
          <w:ilvl w:val="0"/>
          <w:numId w:val="8"/>
        </w:numPr>
      </w:pPr>
      <w:r w:rsidRPr="00A8338A">
        <w:t xml:space="preserve">Befinden sich abgebender und aufnehmender Wahlbezirk in derselben Gemeinde, entsteht kein zusätzliches gemeindeübergreifendes Problem. </w:t>
      </w:r>
    </w:p>
    <w:p w14:paraId="4EFF8ADD" w14:textId="77777777" w:rsidR="00A8338A" w:rsidRPr="00A8338A" w:rsidRDefault="00A8338A" w:rsidP="00A8338A">
      <w:pPr>
        <w:numPr>
          <w:ilvl w:val="0"/>
          <w:numId w:val="8"/>
        </w:numPr>
      </w:pPr>
      <w:r w:rsidRPr="00A8338A">
        <w:t xml:space="preserve">Befinden sie sich in unterschiedlichen Gemeinden, kann das gemeinsame Ergebnis nicht mehr auf die beiden Gemeinden aufgeteilt werden. Beide Gemeinden müssen daher denselben agg.schlüssel erhalten. </w:t>
      </w:r>
    </w:p>
    <w:p w14:paraId="3C7F0F1C" w14:textId="77777777" w:rsidR="00A8338A" w:rsidRPr="00A8338A" w:rsidRDefault="00A8338A" w:rsidP="00A8338A">
      <w:r w:rsidRPr="00A8338A">
        <w:t xml:space="preserve">Im Skript werden zunächst alle Datensätze mit einer von 0000 abweichenden §-68-Kennziffer gruppiert. Für jede Kennziffer wird ermittelt, welche Gemeindeschlüssel daran beteiligt sind. Nur Gruppen mit mehr als einer Gemeinde sind für die gemeindeübergreifende Aggregation relevant. Diese Gruppen werden anschließend gemeinsam mit den Briefwahlgruppen in die transitive Zusammenführung aufgenommen. </w:t>
      </w:r>
    </w:p>
    <w:p w14:paraId="7173824E" w14:textId="527A9D2D" w:rsidR="00A8338A" w:rsidRPr="00A8338A" w:rsidRDefault="00A8338A" w:rsidP="00A8338A">
      <w:r w:rsidRPr="00A8338A">
        <w:t xml:space="preserve">Zu beachten ist, dass die maschinenlesbare §-68-Kennziffer nach der Dokumentation nicht diejenigen Fälle umfasst, in denen kleine Wahlbezirke bereits vor dem Wahltag nach § 12 Absatz 4 BWO zusammengelegt wurden. Bei solchen Fällen werden die aufnehmenden Gemeinden teilweise nur durch Zusätze wie „einschl. Gemeinde …“ im Gemeindenamen gekennzeichnet. Diese Fälle sollten daher ergänzend anhand der Namensfelder oder der amtlichen Begleitdokumentation geprüft werden. </w:t>
      </w:r>
      <w:r w:rsidR="00245946">
        <w:t>Wegen Namensgebensinkonsistenzen und fehlender anderweitiger Ausweisung, ist eine Automatisierung hier fragwürdig. Diese Einzelfälle werden manuell überprüft.</w:t>
      </w:r>
    </w:p>
    <w:p w14:paraId="775AE211" w14:textId="0421A0EA" w:rsidR="00A8338A" w:rsidRPr="00A8338A" w:rsidRDefault="00A8338A" w:rsidP="00A8338A"/>
    <w:p w14:paraId="749FB091" w14:textId="197DA4A2" w:rsidR="00A8338A" w:rsidRPr="00FE3739" w:rsidRDefault="00A8338A" w:rsidP="00FE3739">
      <w:pPr>
        <w:pStyle w:val="berschrift2"/>
      </w:pPr>
      <w:bookmarkStart w:id="6" w:name="_Toc234510483"/>
      <w:r w:rsidRPr="00FE3739">
        <w:t>Gemeinsame Behandlung der Briefwahl- und §-68-Verbindungen</w:t>
      </w:r>
      <w:bookmarkEnd w:id="6"/>
    </w:p>
    <w:p w14:paraId="2D459766" w14:textId="77777777" w:rsidR="00A8338A" w:rsidRPr="00A8338A" w:rsidRDefault="00A8338A" w:rsidP="00A8338A">
      <w:r w:rsidRPr="00A8338A">
        <w:t>Die durch gemeinsame Briefwahlauszählungen und durch § 68 BWO entstandenen Gruppen werden nicht getrennt voneinander behandelt. Stattdessen werden alle daraus resultierenden Mengen von Gemeindeschlüsseln gemeinsam betrachtet.</w:t>
      </w:r>
    </w:p>
    <w:p w14:paraId="61CDED1C" w14:textId="77777777" w:rsidR="00A8338A" w:rsidRPr="00A8338A" w:rsidRDefault="00A8338A" w:rsidP="00A8338A">
      <w:r w:rsidRPr="00A8338A">
        <w:t>Ausgangsmengen können beispielsweise sein:</w:t>
      </w:r>
    </w:p>
    <w:p w14:paraId="340E28D5" w14:textId="77777777" w:rsidR="00A8338A" w:rsidRPr="00A8338A" w:rsidRDefault="00A8338A" w:rsidP="00A8338A">
      <w:r w:rsidRPr="00A8338A">
        <w:t>Briefwahl: A, B</w:t>
      </w:r>
      <w:r w:rsidRPr="00A8338A">
        <w:br/>
        <w:t>Briefwahl: D, E</w:t>
      </w:r>
      <w:r w:rsidRPr="00A8338A">
        <w:br/>
        <w:t>§ 68 BWO: B, C</w:t>
      </w:r>
      <w:r w:rsidRPr="00A8338A">
        <w:br/>
        <w:t>§ 68 BWO: E, F</w:t>
      </w:r>
    </w:p>
    <w:p w14:paraId="1E414F2B" w14:textId="77777777" w:rsidR="00A8338A" w:rsidRPr="00A8338A" w:rsidRDefault="00A8338A" w:rsidP="00A8338A">
      <w:r w:rsidRPr="00A8338A">
        <w:t>Nach der transitiven Zusammenführung entstehen:</w:t>
      </w:r>
    </w:p>
    <w:p w14:paraId="4A86EBA7" w14:textId="77777777" w:rsidR="00A8338A" w:rsidRPr="00A8338A" w:rsidRDefault="00A8338A" w:rsidP="00A8338A">
      <w:r w:rsidRPr="00A8338A">
        <w:lastRenderedPageBreak/>
        <w:t>A, B, C</w:t>
      </w:r>
      <w:r w:rsidRPr="00A8338A">
        <w:br/>
        <w:t>D, E, F</w:t>
      </w:r>
    </w:p>
    <w:p w14:paraId="350B4700" w14:textId="77777777" w:rsidR="00A8338A" w:rsidRPr="00A8338A" w:rsidRDefault="00A8338A" w:rsidP="00A8338A">
      <w:r w:rsidRPr="00A8338A">
        <w:t>Damit wird verhindert, dass ein Gemeindeschlüssel gleichzeitig in mehreren unterschiedlichen Aggregationen vorkommt. Jeder Gemeindeschlüssel muss innerhalb eines Wahljahres genau einem eindeutigen agg.schlüssel zugeordnet sein.</w:t>
      </w:r>
    </w:p>
    <w:p w14:paraId="0CAFA2F8" w14:textId="77777777" w:rsidR="00A8338A" w:rsidRPr="00A8338A" w:rsidRDefault="00A8338A" w:rsidP="00A8338A">
      <w:r w:rsidRPr="00A8338A">
        <w:t>Diese Logik ist konservativ, aber notwendig: Sobald die Stimmen einer Gemeinde gemeinsam mit einer anderen Gemeinde ausgezählt worden sind, können die Ergebnisse nicht mehr verlustfrei getrennt werden. Die kleinste noch beobachtbare Einheit ist dann die Vereinigung aller direkt und indirekt verbundenen Gemeinden.</w:t>
      </w:r>
    </w:p>
    <w:p w14:paraId="490BC103" w14:textId="7CFA8742" w:rsidR="00A8338A" w:rsidRPr="00A8338A" w:rsidRDefault="00A8338A" w:rsidP="00A8338A"/>
    <w:p w14:paraId="62F85D6A" w14:textId="7EB19052" w:rsidR="00A8338A" w:rsidRPr="00FE3739" w:rsidRDefault="00A8338A" w:rsidP="00FE3739">
      <w:pPr>
        <w:pStyle w:val="berschrift2"/>
      </w:pPr>
      <w:bookmarkStart w:id="7" w:name="_Toc234510484"/>
      <w:r w:rsidRPr="00FE3739">
        <w:t>Veränderungen des kommunalen Gebietsstands</w:t>
      </w:r>
      <w:bookmarkEnd w:id="7"/>
    </w:p>
    <w:p w14:paraId="6D2496BA" w14:textId="77777777" w:rsidR="00A8338A" w:rsidRPr="00A8338A" w:rsidRDefault="00A8338A" w:rsidP="00A8338A">
      <w:r w:rsidRPr="00A8338A">
        <w:t xml:space="preserve">Neben den Besonderheiten der Stimmenauszählung müssen Veränderungen der Gemeinden zwischen 2021 und 2025 berücksichtigt werden. Hierzu werden die jährlichen Destatis-Dateien zu Namens-, Grenz- und Schlüsseländerungen der Gemeinden verwendet. Destatis dokumentiert darin unter anderem Auflösungen, Teilausgliederungen und Schlüsseländerungen mit altem und neuem AGS sowie dem juristischen Wirksamkeitsdatum. </w:t>
      </w:r>
    </w:p>
    <w:p w14:paraId="2FB75B00" w14:textId="77777777" w:rsidR="00A8338A" w:rsidRPr="00A8338A" w:rsidRDefault="00A8338A" w:rsidP="00A8338A">
      <w:r w:rsidRPr="00A8338A">
        <w:t>Berücksichtigt werden nur Datensätze, bei denen die Regionaleinheit eine Gemeinde ist. Relevant sind:</w:t>
      </w:r>
    </w:p>
    <w:p w14:paraId="282AEB8A" w14:textId="77777777" w:rsidR="00A8338A" w:rsidRPr="00A8338A" w:rsidRDefault="00A8338A" w:rsidP="00A8338A">
      <w:pPr>
        <w:numPr>
          <w:ilvl w:val="0"/>
          <w:numId w:val="9"/>
        </w:numPr>
      </w:pPr>
      <w:r w:rsidRPr="00A8338A">
        <w:rPr>
          <w:b/>
          <w:bCs/>
        </w:rPr>
        <w:t>Typ 1: Auflösung</w:t>
      </w:r>
      <w:r w:rsidRPr="00A8338A">
        <w:t xml:space="preserve">, </w:t>
      </w:r>
    </w:p>
    <w:p w14:paraId="119ACD20" w14:textId="77777777" w:rsidR="00A8338A" w:rsidRPr="00A8338A" w:rsidRDefault="00A8338A" w:rsidP="00A8338A">
      <w:pPr>
        <w:numPr>
          <w:ilvl w:val="0"/>
          <w:numId w:val="9"/>
        </w:numPr>
      </w:pPr>
      <w:r w:rsidRPr="00A8338A">
        <w:rPr>
          <w:b/>
          <w:bCs/>
        </w:rPr>
        <w:t>Typ 2: Teilausgliederung beziehungsweise Gebietstransfer</w:t>
      </w:r>
      <w:r w:rsidRPr="00A8338A">
        <w:t xml:space="preserve">, </w:t>
      </w:r>
    </w:p>
    <w:p w14:paraId="7ABBFCBE" w14:textId="77777777" w:rsidR="00A8338A" w:rsidRPr="00A8338A" w:rsidRDefault="00A8338A" w:rsidP="00A8338A">
      <w:pPr>
        <w:numPr>
          <w:ilvl w:val="0"/>
          <w:numId w:val="9"/>
        </w:numPr>
      </w:pPr>
      <w:r w:rsidRPr="00A8338A">
        <w:rPr>
          <w:b/>
          <w:bCs/>
        </w:rPr>
        <w:t>Typ 3: Schlüsseländerung</w:t>
      </w:r>
      <w:r w:rsidRPr="00A8338A">
        <w:t xml:space="preserve">. </w:t>
      </w:r>
    </w:p>
    <w:p w14:paraId="18DC071A" w14:textId="77777777" w:rsidR="00A8338A" w:rsidRPr="00A8338A" w:rsidRDefault="00A8338A" w:rsidP="00A8338A">
      <w:r w:rsidRPr="00A8338A">
        <w:t>Bei Typ 3 wird zusätzlich geprüft, ob sich tatsächlich der Amtliche Gemeindeschlüssel verändert hat. Änderungen, die ausschließlich den Regionalschlüssel betreffen, aber den AGS unverändert lassen, sind für die gemeindebasierte Aggregation nicht relevant. Reine Namensänderungen erzeugen ebenfalls keine neue räumliche Einheit.</w:t>
      </w:r>
    </w:p>
    <w:p w14:paraId="4C093082" w14:textId="77777777" w:rsidR="00A8338A" w:rsidRPr="00A8338A" w:rsidRDefault="00A8338A" w:rsidP="00A8338A">
      <w:r w:rsidRPr="00A8338A">
        <w:t>Jede relevante Gebietsänderung liefert zunächst eine Beziehung zwischen AGS_alt und AGS_neu. Auch diese Beziehungen werden transitiv zusammengeführt. Beispielsweise führen</w:t>
      </w:r>
    </w:p>
    <w:p w14:paraId="1796D0AF" w14:textId="77777777" w:rsidR="00A8338A" w:rsidRPr="00A8338A" w:rsidRDefault="00A8338A" w:rsidP="00A8338A">
      <w:r w:rsidRPr="00A8338A">
        <w:t>A → B</w:t>
      </w:r>
      <w:r w:rsidRPr="00A8338A">
        <w:br/>
        <w:t>A → C</w:t>
      </w:r>
      <w:r w:rsidRPr="00A8338A">
        <w:br/>
        <w:t>C → D</w:t>
      </w:r>
    </w:p>
    <w:p w14:paraId="0FD07ACE" w14:textId="77777777" w:rsidR="00A8338A" w:rsidRPr="00A8338A" w:rsidRDefault="00A8338A" w:rsidP="00A8338A">
      <w:r w:rsidRPr="00A8338A">
        <w:t>zum gemeinsamen Schlüssel:</w:t>
      </w:r>
    </w:p>
    <w:p w14:paraId="4C03F146" w14:textId="77777777" w:rsidR="00A8338A" w:rsidRPr="00A8338A" w:rsidRDefault="00A8338A" w:rsidP="00A8338A">
      <w:r w:rsidRPr="00A8338A">
        <w:t>A, B, C, D</w:t>
      </w:r>
    </w:p>
    <w:p w14:paraId="4E4BEC5C" w14:textId="77777777" w:rsidR="00A8338A" w:rsidRPr="00A8338A" w:rsidRDefault="00A8338A" w:rsidP="00A8338A">
      <w:r w:rsidRPr="00A8338A">
        <w:t>Das ermöglicht eine harmonisierte Betrachtung auch dann, wenn bestimmte Schlüssel nur in einem der beiden Wahljahre existieren. Enthält der endgültige agg.schlüssel etwa einen alten Schlüssel A und die späteren Schlüssel B und C, werden 2021 nur die damals vorhandenen Datensätze und 2025 nur die dann vorhandenen Datensätze summiert. Das Fehlen eines Schlüssels in einem Jahr wird nicht als fehlender Messwert oder als Nullstimme interpretiert; es existiert lediglich keine Datenzeile mit diesem historischen beziehungsweise zukünftigen AGS.</w:t>
      </w:r>
    </w:p>
    <w:p w14:paraId="51B76EC5" w14:textId="77777777" w:rsidR="00A8338A" w:rsidRPr="00A8338A" w:rsidRDefault="00A8338A" w:rsidP="00A8338A">
      <w:r w:rsidRPr="00A8338A">
        <w:t>Dieses Verfahren deckt insbesondere folgende Fälle ab:</w:t>
      </w:r>
    </w:p>
    <w:p w14:paraId="0521643F" w14:textId="77777777" w:rsidR="00A8338A" w:rsidRPr="00A8338A" w:rsidRDefault="00A8338A" w:rsidP="00A8338A">
      <w:pPr>
        <w:numPr>
          <w:ilvl w:val="0"/>
          <w:numId w:val="10"/>
        </w:numPr>
      </w:pPr>
      <w:r w:rsidRPr="00A8338A">
        <w:lastRenderedPageBreak/>
        <w:t xml:space="preserve">Fusionen mehrerer Gemeinden, </w:t>
      </w:r>
    </w:p>
    <w:p w14:paraId="6D0F6ED8" w14:textId="77777777" w:rsidR="00A8338A" w:rsidRPr="00A8338A" w:rsidRDefault="00A8338A" w:rsidP="00A8338A">
      <w:pPr>
        <w:numPr>
          <w:ilvl w:val="0"/>
          <w:numId w:val="10"/>
        </w:numPr>
      </w:pPr>
      <w:r w:rsidRPr="00A8338A">
        <w:t xml:space="preserve">Auflösung und Eingliederung einer Gemeinde, </w:t>
      </w:r>
    </w:p>
    <w:p w14:paraId="041C49E3" w14:textId="77777777" w:rsidR="00A8338A" w:rsidRPr="00A8338A" w:rsidRDefault="00A8338A" w:rsidP="00A8338A">
      <w:pPr>
        <w:numPr>
          <w:ilvl w:val="0"/>
          <w:numId w:val="10"/>
        </w:numPr>
      </w:pPr>
      <w:r w:rsidRPr="00A8338A">
        <w:t xml:space="preserve">Aufteilung einer früheren Gemeinde, </w:t>
      </w:r>
    </w:p>
    <w:p w14:paraId="4C4B2EDB" w14:textId="77777777" w:rsidR="00A8338A" w:rsidRPr="00A8338A" w:rsidRDefault="00A8338A" w:rsidP="00A8338A">
      <w:pPr>
        <w:numPr>
          <w:ilvl w:val="0"/>
          <w:numId w:val="10"/>
        </w:numPr>
      </w:pPr>
      <w:r w:rsidRPr="00A8338A">
        <w:t xml:space="preserve">Teilausgliederungen zwischen fortbestehenden Gemeinden, </w:t>
      </w:r>
    </w:p>
    <w:p w14:paraId="7B515388" w14:textId="77777777" w:rsidR="00A8338A" w:rsidRPr="00A8338A" w:rsidRDefault="00A8338A" w:rsidP="00A8338A">
      <w:pPr>
        <w:numPr>
          <w:ilvl w:val="0"/>
          <w:numId w:val="10"/>
        </w:numPr>
      </w:pPr>
      <w:r w:rsidRPr="00A8338A">
        <w:t xml:space="preserve">Änderung des Amtlichen Gemeindeschlüssels. </w:t>
      </w:r>
    </w:p>
    <w:p w14:paraId="79FE8FA6" w14:textId="77777777" w:rsidR="00A8338A" w:rsidRPr="00A8338A" w:rsidRDefault="00A8338A" w:rsidP="00A8338A">
      <w:r w:rsidRPr="00A8338A">
        <w:t>Bei Teilausgliederungen werden alle abgebenden und aufnehmenden Gemeinden, die über die Destatis-Datensätze miteinander verbunden sind, derselben Zusammenhangsgruppe zugeordnet. Dadurch wird gegebenenfalls eine größere Einheit gebildet, als aufgrund des übertragenen Flächenanteils unmittelbar nötig wäre. Dafür ist gewährleistet, dass die Gesamtfläche der Aggregation zwischen beiden Zeitpunkten vergleichbar bleibt, ohne dass Stimmen oder Strukturdaten für Teilflächen geschätzt werden müssen.</w:t>
      </w:r>
    </w:p>
    <w:p w14:paraId="35D9CE43" w14:textId="02BFE086" w:rsidR="00A8338A" w:rsidRPr="00A8338A" w:rsidRDefault="00A8338A" w:rsidP="00A8338A"/>
    <w:p w14:paraId="7FCABD06" w14:textId="654AD450" w:rsidR="00A8338A" w:rsidRPr="00FE3739" w:rsidRDefault="00A8338A" w:rsidP="00FE3739">
      <w:pPr>
        <w:pStyle w:val="berschrift2"/>
      </w:pPr>
      <w:bookmarkStart w:id="8" w:name="_Toc234510485"/>
      <w:r w:rsidRPr="00FE3739">
        <w:t>Harmonisierung der beiden Wahljahre</w:t>
      </w:r>
      <w:bookmarkEnd w:id="8"/>
    </w:p>
    <w:p w14:paraId="1FC28378" w14:textId="77777777" w:rsidR="00A8338A" w:rsidRPr="00A8338A" w:rsidRDefault="00A8338A" w:rsidP="00A8338A">
      <w:r w:rsidRPr="00A8338A">
        <w:t>Die Briefwahl- und §-68-Gruppierungen können sich zwischen 2021 und 2025 unterscheiden. Zusätzlich können Gemeindegebietsänderungen neue oder entfallene Gemeindeschlüssel erzeugen. Deshalb reicht es nicht aus, die beiden Wahljahre unabhängig zu aggregieren und anschließend nur die Gemeinden zu vergleichen, die zufällig in beiden Jahren denselben AGS besitzen.</w:t>
      </w:r>
    </w:p>
    <w:p w14:paraId="043A68D7" w14:textId="77777777" w:rsidR="00A8338A" w:rsidRPr="00A8338A" w:rsidRDefault="00A8338A" w:rsidP="00A8338A">
      <w:r w:rsidRPr="00A8338A">
        <w:t xml:space="preserve">Methodisch wird vielmehr ein </w:t>
      </w:r>
      <w:r w:rsidRPr="00A8338A">
        <w:rPr>
          <w:b/>
          <w:bCs/>
        </w:rPr>
        <w:t>gemeinsames finales Mapping</w:t>
      </w:r>
      <w:r w:rsidRPr="00A8338A">
        <w:t xml:space="preserve"> benötigt. Dafür werden sämtliche Gruppierungsbedingungen aus beiden Wahljahren und aus den Gemeindegebietsänderungen gemeinsam betrachtet:</w:t>
      </w:r>
    </w:p>
    <w:p w14:paraId="4FD4B634" w14:textId="77777777" w:rsidR="00A8338A" w:rsidRPr="00A8338A" w:rsidRDefault="00A8338A" w:rsidP="00A8338A">
      <w:r w:rsidRPr="00A8338A">
        <w:t>Briefwahlgruppen 2021</w:t>
      </w:r>
      <w:r w:rsidRPr="00A8338A">
        <w:br/>
        <w:t>+ §-68-Gruppen 2021</w:t>
      </w:r>
      <w:r w:rsidRPr="00A8338A">
        <w:br/>
        <w:t>+ Briefwahlgruppen 2025</w:t>
      </w:r>
      <w:r w:rsidRPr="00A8338A">
        <w:br/>
        <w:t>+ §-68-Gruppen 2025</w:t>
      </w:r>
      <w:r w:rsidRPr="00A8338A">
        <w:br/>
        <w:t>+ kommunale Gebietsänderungen</w:t>
      </w:r>
      <w:r w:rsidRPr="00A8338A">
        <w:br/>
        <w:t>= gemeinsame finale Zusammenhangsgruppen</w:t>
      </w:r>
    </w:p>
    <w:p w14:paraId="2E5EC847" w14:textId="77777777" w:rsidR="00A8338A" w:rsidRPr="00A8338A" w:rsidRDefault="00A8338A" w:rsidP="00A8338A">
      <w:r w:rsidRPr="00A8338A">
        <w:t>Alle Gruppen mit mindestens einem gemeinsamen AGS werden wiederum transitiv vereinigt. Danach wird aus den finalen Gruppen ein Lookup erstellt:</w:t>
      </w:r>
    </w:p>
    <w:p w14:paraId="0536080A" w14:textId="77777777" w:rsidR="00A8338A" w:rsidRPr="00A8338A" w:rsidRDefault="00A8338A" w:rsidP="00A8338A">
      <w:r w:rsidRPr="00A8338A">
        <w:t>Gemeindeschlüssel → endgültiger agg.schlüssel</w:t>
      </w:r>
    </w:p>
    <w:p w14:paraId="04DF1C9C" w14:textId="77777777" w:rsidR="00A8338A" w:rsidRPr="00A8338A" w:rsidRDefault="00A8338A" w:rsidP="00A8338A">
      <w:r w:rsidRPr="00A8338A">
        <w:t>Dieser identische Lookup wird anschließend auf beide Wahljahre angewendet. Dadurch kann eine Gemeinde nicht 2021 der Gruppe A, B und 2025 einer abweichenden Gruppe A, C angehören. In diesem Fall lautet die endgültige Gruppe in beiden Jahren:</w:t>
      </w:r>
    </w:p>
    <w:p w14:paraId="7E595041" w14:textId="77777777" w:rsidR="00A8338A" w:rsidRPr="00A8338A" w:rsidRDefault="00A8338A" w:rsidP="00A8338A">
      <w:r w:rsidRPr="00A8338A">
        <w:t>A, B, C</w:t>
      </w:r>
    </w:p>
    <w:p w14:paraId="4368C7AC" w14:textId="77777777" w:rsidR="00A8338A" w:rsidRPr="00A8338A" w:rsidRDefault="00A8338A" w:rsidP="00A8338A">
      <w:r w:rsidRPr="00A8338A">
        <w:t>Ein bloßer inner_join() zwischen den beiden Wahljahren wäre hierfür nicht ausreichend, da er Gemeinden oder Wahlkreiskombinationen, die nur in einem Jahr vorkommen, stillschweigend ausschließt.</w:t>
      </w:r>
    </w:p>
    <w:p w14:paraId="25C0E747" w14:textId="3914DCDF" w:rsidR="00A8338A" w:rsidRPr="00A8338A" w:rsidRDefault="00A8338A" w:rsidP="00A8338A"/>
    <w:p w14:paraId="747567CE" w14:textId="15E2CE66" w:rsidR="00A8338A" w:rsidRPr="00FE3739" w:rsidRDefault="00A8338A" w:rsidP="00FE3739">
      <w:pPr>
        <w:pStyle w:val="berschrift2"/>
      </w:pPr>
      <w:bookmarkStart w:id="9" w:name="_Toc234510486"/>
      <w:r w:rsidRPr="00FE3739">
        <w:lastRenderedPageBreak/>
        <w:t>Aggregation der Wahlergebnisse</w:t>
      </w:r>
      <w:bookmarkEnd w:id="9"/>
    </w:p>
    <w:p w14:paraId="571C41F2" w14:textId="77777777" w:rsidR="00A8338A" w:rsidRPr="00A8338A" w:rsidRDefault="00A8338A" w:rsidP="00A8338A">
      <w:r w:rsidRPr="00A8338A">
        <w:t>Das finale Mapping wird an die ursprünglichen Wahlbezirksdaten angefügt. Anschließend werden die Daten nach agg.schlüssel gruppiert und alle relevanten numerischen Ergebnisvariablen summiert.</w:t>
      </w:r>
    </w:p>
    <w:p w14:paraId="2BE511F0" w14:textId="77777777" w:rsidR="00A8338A" w:rsidRPr="00A8338A" w:rsidRDefault="00A8338A" w:rsidP="00A8338A">
      <w:r w:rsidRPr="00A8338A">
        <w:t xml:space="preserve">Damit werden innerhalb jedes agg.schlüssel sämtliche Urnen-, Brief- und gegebenenfalls gemeinsam festgestellten Ergebnisse addiert. In deinem Skript werden die administrativen ID-Variablen zunächst explizit von den numerischen zu summierenden Variablen ausgeschlossen. </w:t>
      </w:r>
    </w:p>
    <w:p w14:paraId="0DEDFAF5" w14:textId="77777777" w:rsidR="00A8338A" w:rsidRPr="00A8338A" w:rsidRDefault="00A8338A" w:rsidP="00A8338A">
      <w:r w:rsidRPr="00A8338A">
        <w:t>Zur Nachvollziehbarkeit werden zusätzlich die enthaltenen Gemeinden und Gemeindeschlüssel gespeichert. Das ermöglicht eine spätere Prüfung, aus welchen Ursprungsgebieten jede aggregierte Beobachtung besteht.</w:t>
      </w:r>
    </w:p>
    <w:p w14:paraId="7DC14984" w14:textId="77777777" w:rsidR="00A8338A" w:rsidRPr="00A8338A" w:rsidRDefault="00A8338A" w:rsidP="00A8338A">
      <w:r w:rsidRPr="00A8338A">
        <w:t>Ein Wahlkreis sollte dabei nur dann als eindeutiges Merkmal mitgeführt werden, wenn nachweislich jeder agg.schlüssel genau einem Wahlkreis angehört. Das Speichern von first(Wahlkreis) wäre bei wahlkreisübergreifenden Einheiten irreführend. In solchen Fällen sollten entweder alle beteiligten Wahlkreise dokumentiert oder das Wahlkreismerkmal aus der finalen Einheitentabelle entfernt werden.</w:t>
      </w:r>
    </w:p>
    <w:p w14:paraId="7B2E35D9" w14:textId="7C68E7ED" w:rsidR="00A8338A" w:rsidRPr="00A8338A" w:rsidRDefault="00A8338A" w:rsidP="00A8338A"/>
    <w:p w14:paraId="36D4D16D" w14:textId="7259DC64" w:rsidR="00A8338A" w:rsidRPr="00FE3739" w:rsidRDefault="00A8338A" w:rsidP="00FE3739">
      <w:pPr>
        <w:pStyle w:val="berschrift2"/>
      </w:pPr>
      <w:bookmarkStart w:id="10" w:name="_Toc234510487"/>
      <w:r w:rsidRPr="00FE3739">
        <w:t>Warum möglichst kleine räumliche Einheiten angestrebt werden</w:t>
      </w:r>
      <w:bookmarkEnd w:id="10"/>
    </w:p>
    <w:p w14:paraId="1D73055C" w14:textId="77777777" w:rsidR="00A8338A" w:rsidRPr="00A8338A" w:rsidRDefault="00A8338A" w:rsidP="00A8338A">
      <w:r w:rsidRPr="00A8338A">
        <w:t xml:space="preserve">Die Wahl der räumlichen Ebene ist unmittelbar mit der späteren Anwendung von nslphom verbunden. Das Verfahren nutzt die beobachteten Randverteilungen mehrerer räumlicher Einheiten, um die nicht beobachteten inneren Zellen der lokalen Wählerübergangstabellen zu schätzen. Es arbeitet unter einer Homogenitätsannahme, nach der die lokalen Übergangsstrukturen in einem gewissen Ausmaß miteinander verbunden beziehungsweise ähnlich sind. </w:t>
      </w:r>
    </w:p>
    <w:p w14:paraId="60A16E31" w14:textId="77777777" w:rsidR="00A8338A" w:rsidRPr="00A8338A" w:rsidRDefault="00A8338A" w:rsidP="00A8338A">
      <w:r w:rsidRPr="00A8338A">
        <w:t xml:space="preserve">Eine größere Zahl informativer räumlicher Einheiten liefert mehr Variation der Randverteilungen und damit mehr Informationen zur Einschränkung der Menge möglicher Übergangsmatrizen. Die Genauigkeit ökologischer Inferenz hängt allerdings nicht allein von der Zahl der Einheiten ab, sondern auch von der Zahl der Parteien beziehungsweise Tabellenzellen, der Verteilung der Stimmen zwischen den Einheiten und der Heterogenität der tatsächlichen lokalen Übergangsprozesse. Die Evaluationsliteratur zu nslphom nennt die Zahl der Einheiten, Wähler, Zeilen und Spalten sowie deren Verteilung ausdrücklich als mögliche Einflussgrößen der Schätzqualität. </w:t>
      </w:r>
    </w:p>
    <w:p w14:paraId="2C0D2A7D" w14:textId="77777777" w:rsidR="00A8338A" w:rsidRPr="00A8338A" w:rsidRDefault="00A8338A" w:rsidP="00A8338A">
      <w:r w:rsidRPr="00A8338A">
        <w:t>Die Formulierung, eine größere Zahl von Einheiten mache die Schätzung automatisch „unverzerrt“, wäre daher zu stark. Präziser ist:</w:t>
      </w:r>
    </w:p>
    <w:p w14:paraId="1023CB57" w14:textId="77777777" w:rsidR="00A8338A" w:rsidRPr="00A8338A" w:rsidRDefault="00A8338A" w:rsidP="00A8338A">
      <w:r w:rsidRPr="00A8338A">
        <w:t>Eine größere Zahl ausreichend informativer und möglichst homogener Einheiten kann die Identifikation und Stabilität der ökologischen Schätzung verbessern und das Risiko aggregationsbedingter Verzerrungen reduzieren; sie garantiert jedoch keine unverzerrte Schätzung.</w:t>
      </w:r>
    </w:p>
    <w:p w14:paraId="483C787C" w14:textId="77777777" w:rsidR="00A8338A" w:rsidRPr="00A8338A" w:rsidRDefault="00A8338A" w:rsidP="00A8338A">
      <w:r w:rsidRPr="00A8338A">
        <w:t xml:space="preserve">Kleinere räumliche Einheiten sind auch für die spätere Verknüpfung mit Strukturdaten vorteilhaft. Auf Wahlkreisebene werden häufig sehr unterschiedliche Siedlungs- und Sozialräume gemeinsam betrachtet, beispielsweise größere Städte, suburbane Gemeinden und ländliche Räume. Durch eine solche Aggregation können lokale Unterschiede in Einkommen, Bildung, Altersstruktur, Arbeitsmarkt oder Urbanität geglättet werden. Ein Zusammenhang </w:t>
      </w:r>
      <w:r w:rsidRPr="00A8338A">
        <w:lastRenderedPageBreak/>
        <w:t>zwischen einer strukturellen Eigenschaft und einer bestimmten Wählerwanderung kann dadurch abgeschwächt oder vollständig verdeckt werden.</w:t>
      </w:r>
    </w:p>
    <w:p w14:paraId="52E70982" w14:textId="77777777" w:rsidR="00A8338A" w:rsidRPr="00A8338A" w:rsidRDefault="00A8338A" w:rsidP="00A8338A">
      <w:r w:rsidRPr="00A8338A">
        <w:t xml:space="preserve">Aktuelle Anwendungen ökologischer Inferenz betonen daher die Verwendung kleiner, möglichst homogener Gebiete, wenn lokale Kontextfaktoren untersucht werden sollen. Gleichzeitig muss jede Einheit genügend Beobachtungen enthalten, um sinnvolle Übergangsschätzungen zu ermöglichen. Es besteht somit ein Zielkonflikt zwischen möglichst hoher räumlicher Auflösung, ausreichender Fallzahl innerhalb der Einheiten und der Homogenität des lokalen Wahlverhaltens. </w:t>
      </w:r>
    </w:p>
    <w:p w14:paraId="04649F9D" w14:textId="77777777" w:rsidR="00A8338A" w:rsidRPr="00A8338A" w:rsidRDefault="00A8338A" w:rsidP="00A8338A">
      <w:r w:rsidRPr="00A8338A">
        <w:t xml:space="preserve">Große Gebietseinheiten können zudem ihre interne Heterogenität nicht durch einen einzigen durchschnittlichen Strukturwert abbilden. Strukturdaten großflächiger Einheiten enthalten daher weniger Information über Unterschiede innerhalb dieser Einheiten, was ökologische Verzerrungen begünstigen kann. </w:t>
      </w:r>
    </w:p>
    <w:p w14:paraId="234C0648" w14:textId="77777777" w:rsidR="00A8338A" w:rsidRPr="00A8338A" w:rsidRDefault="00A8338A" w:rsidP="00A8338A">
      <w:r w:rsidRPr="00A8338A">
        <w:t>Die gewählte Aggregationsstrategie folgt deshalb dem Grundsatz:</w:t>
      </w:r>
    </w:p>
    <w:p w14:paraId="3699AD22" w14:textId="77777777" w:rsidR="00A8338A" w:rsidRPr="00A8338A" w:rsidRDefault="00A8338A" w:rsidP="00A8338A">
      <w:r w:rsidRPr="00A8338A">
        <w:t>So kleinräumig wie möglich, aber so groß wie erforderlich, um sämtliche Wahlstimmen beider Jahre eindeutig, vollständig und auf einem gemeinsamen Gebietsstand abzubilden.</w:t>
      </w:r>
    </w:p>
    <w:p w14:paraId="2E1F230D" w14:textId="77777777" w:rsidR="00A8338A" w:rsidRDefault="00A8338A" w:rsidP="00A8338A">
      <w:r w:rsidRPr="00A8338A">
        <w:rPr>
          <w:vanish/>
        </w:rPr>
        <w:t>Formularende</w:t>
      </w:r>
    </w:p>
    <w:p w14:paraId="67D6757A" w14:textId="652EE1BE" w:rsidR="00B363D8" w:rsidRPr="00B363D8" w:rsidRDefault="00B363D8" w:rsidP="00B363D8">
      <w:pPr>
        <w:pStyle w:val="berschrift1"/>
      </w:pPr>
      <w:bookmarkStart w:id="11" w:name="_Toc234510488"/>
      <w:r w:rsidRPr="00B363D8">
        <w:t>Aufbereitung und Aggregation der Wahlbezirksdaten</w:t>
      </w:r>
      <w:r>
        <w:t xml:space="preserve"> - kurzfassung</w:t>
      </w:r>
      <w:bookmarkEnd w:id="11"/>
    </w:p>
    <w:p w14:paraId="2965C5DA" w14:textId="77777777" w:rsidR="00B363D8" w:rsidRPr="00B363D8" w:rsidRDefault="00B363D8" w:rsidP="00B363D8">
      <w:r w:rsidRPr="00B363D8">
        <w:t>Datengrundlage sind die amtlichen Wahlbezirksergebnisse der Bundestagswahlen 2021 und 2025. Die Daten enthalten die Ergebnisse der einzelnen Urnen- und Briefwahlbezirke sowie administrative Kennziffern für Land, Regierungsbezirk, Kreis und Gemeinde. Aus diesen Angaben wurde für beide Wahljahre der achtstellige Amtliche Gemeindeschlüssel (AGS) gebildet, der eine eindeutige Verknüpfung der Wahlergebnisse mit gemeindebezogenen Strukturdaten ermöglicht. Das Gemeindeverzeichnis von Destatis führt Gemeinden ebenfalls über den AGS und stellt dazu unter anderem Angaben zu Bevölkerung, Fläche und siedlungsstrukturellen Merkmalen bereit. (</w:t>
      </w:r>
      <w:hyperlink r:id="rId6" w:tooltip="Gemeindeverzeichnis  -  Statistisches Bundesamt" w:history="1">
        <w:r w:rsidRPr="00B363D8">
          <w:rPr>
            <w:rStyle w:val="Hyperlink"/>
          </w:rPr>
          <w:t>Statistisches Bundesamt</w:t>
        </w:r>
      </w:hyperlink>
      <w:r w:rsidRPr="00B363D8">
        <w:t>)</w:t>
      </w:r>
    </w:p>
    <w:p w14:paraId="406411B0" w14:textId="77777777" w:rsidR="00B363D8" w:rsidRPr="00B363D8" w:rsidRDefault="00B363D8" w:rsidP="00B363D8">
      <w:r w:rsidRPr="00B363D8">
        <w:t xml:space="preserve">Ziel der Aufbereitung war die Bildung der </w:t>
      </w:r>
      <w:r w:rsidRPr="00B363D8">
        <w:rPr>
          <w:b/>
          <w:bCs/>
        </w:rPr>
        <w:t>kleinstmöglichen räumlichen Einheiten auf mindestens Gemeindeebene</w:t>
      </w:r>
      <w:r w:rsidRPr="00B363D8">
        <w:t>, für die sämtliche Stimmen vollständig und überschneidungsfrei ausgewiesen werden können. Im Regelfall entspricht die Analyseeinheit daher einer einzelnen Gemeinde. Eine Zusammenfassung mehrerer Gemeinden erfolgt nur, wenn die Organisation der Stimmenauszählung keine eindeutige Zuordnung zu einzelnen Gemeinden erlaubt. Die entstehenden Einheiten werden durch einen agg.schlüssel bezeichnet, der alle zugehörigen Gemeindeschlüssel enthält.</w:t>
      </w:r>
    </w:p>
    <w:p w14:paraId="5A077071" w14:textId="77777777" w:rsidR="00B363D8" w:rsidRPr="00B363D8" w:rsidRDefault="00B363D8" w:rsidP="00B363D8">
      <w:r w:rsidRPr="00B363D8">
        <w:t>Eine solche Zusammenfassung ist insbesondere bei gemeinsamen Briefwahlbezirken erforderlich. Die Bundeswahlordnung ermöglicht die Bildung eines Briefwahlvorstands für mehrere Gemeinden; das Briefwahlergebnis liegt dann nur für die beteiligten Gemeinden gemeinsam vor. (</w:t>
      </w:r>
      <w:hyperlink r:id="rId7" w:tooltip="Bundeswahlordnung" w:history="1">
        <w:r w:rsidRPr="00B363D8">
          <w:rPr>
            <w:rStyle w:val="Hyperlink"/>
          </w:rPr>
          <w:t>Bundeswahlleiterin</w:t>
        </w:r>
      </w:hyperlink>
      <w:r w:rsidRPr="00B363D8">
        <w:t xml:space="preserve">) In den Wahlbezirksdaten werden diese Fälle durch technische Gemeindekennziffern und die Kennziffer der Briefwahlzugehörigkeit identifiziert. Die Urnenwahlergebnisse der beteiligten realen </w:t>
      </w:r>
      <w:r w:rsidRPr="00B363D8">
        <w:lastRenderedPageBreak/>
        <w:t>Gemeinden und das gemeinsam ausgewiesene Briefwahlergebnis werden deshalb demselben agg.schlüssel zugeordnet. Die technische Briefwahlgemeinde bildet keine eigenständige räumliche Beobachtungseinheit.</w:t>
      </w:r>
    </w:p>
    <w:p w14:paraId="6A718148" w14:textId="77777777" w:rsidR="00B363D8" w:rsidRPr="00B363D8" w:rsidRDefault="00B363D8" w:rsidP="00B363D8">
      <w:r w:rsidRPr="00B363D8">
        <w:t>Entsprechendes gilt für gemeinsame Auszählungen nach § 68 BWO. Wird das Ergebnis eines kleinen Wahlbezirks gemeinsam mit einem anderen Wahlbezirk desselben Wahlkreises festgestellt, kann das gemeinsame Ergebnis nicht mehr auf die ursprünglichen Wahlbezirke zurückgerechnet werden. (</w:t>
      </w:r>
      <w:hyperlink r:id="rId8" w:tooltip="Bundeswahlordnung" w:history="1">
        <w:r w:rsidRPr="00B363D8">
          <w:rPr>
            <w:rStyle w:val="Hyperlink"/>
          </w:rPr>
          <w:t>Bundeswahlleiterin</w:t>
        </w:r>
      </w:hyperlink>
      <w:r w:rsidRPr="00B363D8">
        <w:t>) Liegen die beteiligten Wahlbezirke in verschiedenen Gemeinden, werden auch diese Gemeinden zu einer gemeinsamen Analyseeinheit zusammengefasst. Überschneiden sich Briefwahl- und §-68-Gruppen, werden sie transitiv vereinigt: Gehört beispielsweise eine Gemeinde sowohl zur Gruppe A–B als auch zur Gruppe B–C, entsteht die endgültige Einheit A–B–C. Dadurch kommt jeder Gemeindeschlüssel in genau einem agg.schlüssel vor.</w:t>
      </w:r>
    </w:p>
    <w:p w14:paraId="1F798605" w14:textId="77777777" w:rsidR="00B363D8" w:rsidRPr="00B363D8" w:rsidRDefault="00B363D8" w:rsidP="00B363D8">
      <w:r w:rsidRPr="00B363D8">
        <w:t>Zusätzlich wurden kommunale Gebiets- und Schlüsseländerungen zwischen den beiden Wahlen berücksichtigt. Grundlage hierfür sind die jährlichen Destatis-Dateien zu Namens-, Grenz- und Schlüsseländerungen der Gemeinden. (</w:t>
      </w:r>
      <w:hyperlink r:id="rId9" w:tooltip="Namens- und Gebietsänderungen der Gemeinden  -  Statistisches Bundesamt" w:history="1">
        <w:r w:rsidRPr="00B363D8">
          <w:rPr>
            <w:rStyle w:val="Hyperlink"/>
          </w:rPr>
          <w:t>Statistisches Bundesamt</w:t>
        </w:r>
      </w:hyperlink>
      <w:r w:rsidRPr="00B363D8">
        <w:t>) Berücksichtigt wurden Auflösungen, Teilausgliederungen und tatsächliche Änderungen des AGS. Alte und neue Gemeindeschlüssel wurden miteinander verbunden und ebenfalls transitiv zusammengeführt. Dadurch können etwa eine 2021 bestehende Gemeinde und ihre 2025 vorhandenen Nachfolgegemeinden derselben Analyseeinheit zugeordnet werden. Abschließend wurden sämtliche Aggregationsbedingungen aus beiden Wahljahren – gemeinsame Briefwahl, §-68-Fälle und Gemeindegebietsänderungen – zu einem einheitlichen Mapping verbunden. Derselbe finale agg.schlüssel wird somit in beiden Wahljahren verwendet; nicht mehr oder noch nicht existierende Schlüssel tragen im jeweiligen Jahr lediglich keine Beobachtungen zur Summe bei.</w:t>
      </w:r>
    </w:p>
    <w:p w14:paraId="14171FA6" w14:textId="77777777" w:rsidR="00B363D8" w:rsidRPr="00B363D8" w:rsidRDefault="00B363D8" w:rsidP="00B363D8">
      <w:r w:rsidRPr="00B363D8">
        <w:t>Die möglichst kleinräumige Abgrenzung ist sowohl für die spätere Anwendung von nslphom als auch für die Untersuchung regionaler Strukturfaktoren relevant. Eine größere Zahl informativer Einheiten stellt mehr unterschiedliche Randverteilungen für die ökologische Inferenz bereit und kann dadurch die Schätzung stabilisieren. Sie garantiert allerdings keine unverzerrte Schätzung, da das ökologische Identifikationsproblem nicht allein durch zusätzliche Einheiten aufgehoben wird und die Homogenitätsannahme weiterhin entscheidend bleibt. (</w:t>
      </w:r>
      <w:hyperlink r:id="rId10" w:tooltip="Idescat. SORT. Data wrangling, computational burden, automation, robustness and accuracy in ecological inference forecasting of RxC tables. Volume 47 (1)" w:history="1">
        <w:r w:rsidRPr="00B363D8">
          <w:rPr>
            <w:rStyle w:val="Hyperlink"/>
          </w:rPr>
          <w:t>idescat.cat</w:t>
        </w:r>
      </w:hyperlink>
      <w:r w:rsidRPr="00B363D8">
        <w:t xml:space="preserve">) Gleichzeitig bleiben auf Gemeindeebene Unterschiede etwa zwischen städtischen, suburbanen und ländlichen Räumen besser erhalten. Eine unmittelbare Aggregation auf Wahlkreisebene würde sehr unterschiedliche Gemeinden zusammenfassen, Strukturmerkmale mitteln und potenziell relevante lokale Zusammenhänge mit Wählerwanderungen verdecken. Die Aggregationsregel folgt daher dem Grundsatz: </w:t>
      </w:r>
      <w:r w:rsidRPr="00B363D8">
        <w:rPr>
          <w:b/>
          <w:bCs/>
        </w:rPr>
        <w:t>so kleinräumig wie möglich, aber so groß wie nötig, um sämtliche Wahlergebnisse beider Jahre korrekt und vergleichbar abzubilden.</w:t>
      </w:r>
    </w:p>
    <w:p w14:paraId="19450970" w14:textId="77777777" w:rsidR="00B363D8" w:rsidRPr="00A8338A" w:rsidRDefault="00B363D8" w:rsidP="00A8338A">
      <w:pPr>
        <w:rPr>
          <w:vanish/>
        </w:rPr>
      </w:pPr>
    </w:p>
    <w:p w14:paraId="622C8EBC" w14:textId="77777777" w:rsidR="00A8338A" w:rsidRPr="00A8338A" w:rsidRDefault="00A8338A" w:rsidP="00A8338A"/>
    <w:sectPr w:rsidR="00A8338A" w:rsidRPr="00A8338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696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51454CC"/>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2" w15:restartNumberingAfterBreak="0">
    <w:nsid w:val="1E64107A"/>
    <w:multiLevelType w:val="multilevel"/>
    <w:tmpl w:val="B352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D31F0"/>
    <w:multiLevelType w:val="multilevel"/>
    <w:tmpl w:val="934A06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34CC32BB"/>
    <w:multiLevelType w:val="multilevel"/>
    <w:tmpl w:val="D5B2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8F045B"/>
    <w:multiLevelType w:val="multilevel"/>
    <w:tmpl w:val="84F2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870604"/>
    <w:multiLevelType w:val="multilevel"/>
    <w:tmpl w:val="E342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096782"/>
    <w:multiLevelType w:val="multilevel"/>
    <w:tmpl w:val="5972B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5C349D"/>
    <w:multiLevelType w:val="multilevel"/>
    <w:tmpl w:val="72F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C4D84"/>
    <w:multiLevelType w:val="hybridMultilevel"/>
    <w:tmpl w:val="DCB0EE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ADC0AB0"/>
    <w:multiLevelType w:val="multilevel"/>
    <w:tmpl w:val="88C6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5824894">
    <w:abstractNumId w:val="0"/>
  </w:num>
  <w:num w:numId="2" w16cid:durableId="681590483">
    <w:abstractNumId w:val="9"/>
  </w:num>
  <w:num w:numId="3" w16cid:durableId="932014754">
    <w:abstractNumId w:val="3"/>
  </w:num>
  <w:num w:numId="4" w16cid:durableId="216820856">
    <w:abstractNumId w:val="1"/>
  </w:num>
  <w:num w:numId="5" w16cid:durableId="883834087">
    <w:abstractNumId w:val="4"/>
  </w:num>
  <w:num w:numId="6" w16cid:durableId="548960082">
    <w:abstractNumId w:val="5"/>
  </w:num>
  <w:num w:numId="7" w16cid:durableId="1984653782">
    <w:abstractNumId w:val="8"/>
  </w:num>
  <w:num w:numId="8" w16cid:durableId="475342794">
    <w:abstractNumId w:val="10"/>
  </w:num>
  <w:num w:numId="9" w16cid:durableId="1803039165">
    <w:abstractNumId w:val="2"/>
  </w:num>
  <w:num w:numId="10" w16cid:durableId="1019501282">
    <w:abstractNumId w:val="7"/>
  </w:num>
  <w:num w:numId="11" w16cid:durableId="11956859">
    <w:abstractNumId w:val="6"/>
  </w:num>
  <w:num w:numId="12" w16cid:durableId="1640652903">
    <w:abstractNumId w:val="1"/>
  </w:num>
  <w:num w:numId="13" w16cid:durableId="869227340">
    <w:abstractNumId w:val="1"/>
  </w:num>
  <w:num w:numId="14" w16cid:durableId="1901285200">
    <w:abstractNumId w:val="1"/>
  </w:num>
  <w:num w:numId="15" w16cid:durableId="34694063">
    <w:abstractNumId w:val="1"/>
  </w:num>
  <w:num w:numId="16" w16cid:durableId="975718470">
    <w:abstractNumId w:val="1"/>
  </w:num>
  <w:num w:numId="17" w16cid:durableId="1748191113">
    <w:abstractNumId w:val="1"/>
  </w:num>
  <w:num w:numId="18" w16cid:durableId="1317223020">
    <w:abstractNumId w:val="1"/>
  </w:num>
  <w:num w:numId="19" w16cid:durableId="163205544">
    <w:abstractNumId w:val="1"/>
  </w:num>
  <w:num w:numId="20" w16cid:durableId="435448749">
    <w:abstractNumId w:val="1"/>
  </w:num>
  <w:num w:numId="21" w16cid:durableId="1475944995">
    <w:abstractNumId w:val="1"/>
  </w:num>
  <w:num w:numId="22" w16cid:durableId="1135638943">
    <w:abstractNumId w:val="1"/>
  </w:num>
  <w:num w:numId="23" w16cid:durableId="275303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E1F"/>
    <w:rsid w:val="000709C1"/>
    <w:rsid w:val="000A1AB2"/>
    <w:rsid w:val="000A4078"/>
    <w:rsid w:val="000B52B0"/>
    <w:rsid w:val="000D73E8"/>
    <w:rsid w:val="0011568A"/>
    <w:rsid w:val="00182E2A"/>
    <w:rsid w:val="00245946"/>
    <w:rsid w:val="002835EB"/>
    <w:rsid w:val="003D06B7"/>
    <w:rsid w:val="003F5815"/>
    <w:rsid w:val="004321EC"/>
    <w:rsid w:val="004C2204"/>
    <w:rsid w:val="0051047D"/>
    <w:rsid w:val="00516026"/>
    <w:rsid w:val="00537049"/>
    <w:rsid w:val="005374C9"/>
    <w:rsid w:val="005560B3"/>
    <w:rsid w:val="005B1FAB"/>
    <w:rsid w:val="005B5D78"/>
    <w:rsid w:val="005D7E0E"/>
    <w:rsid w:val="00605C8D"/>
    <w:rsid w:val="006D5AE4"/>
    <w:rsid w:val="006F2410"/>
    <w:rsid w:val="007164BD"/>
    <w:rsid w:val="00723C13"/>
    <w:rsid w:val="00753092"/>
    <w:rsid w:val="0076113A"/>
    <w:rsid w:val="00883450"/>
    <w:rsid w:val="00895CCA"/>
    <w:rsid w:val="00921564"/>
    <w:rsid w:val="00994257"/>
    <w:rsid w:val="009A60EF"/>
    <w:rsid w:val="009C4A2F"/>
    <w:rsid w:val="009D1BAC"/>
    <w:rsid w:val="00A8338A"/>
    <w:rsid w:val="00A903C3"/>
    <w:rsid w:val="00AB7D25"/>
    <w:rsid w:val="00AD16E0"/>
    <w:rsid w:val="00B363D8"/>
    <w:rsid w:val="00B96BC6"/>
    <w:rsid w:val="00BA30A9"/>
    <w:rsid w:val="00C118DC"/>
    <w:rsid w:val="00C63D56"/>
    <w:rsid w:val="00C83B33"/>
    <w:rsid w:val="00CB6051"/>
    <w:rsid w:val="00CC5824"/>
    <w:rsid w:val="00CF0BF7"/>
    <w:rsid w:val="00D40DD2"/>
    <w:rsid w:val="00DB0AA8"/>
    <w:rsid w:val="00EE36C0"/>
    <w:rsid w:val="00EE599F"/>
    <w:rsid w:val="00F26975"/>
    <w:rsid w:val="00F974A3"/>
    <w:rsid w:val="00FA1E1F"/>
    <w:rsid w:val="00FA6BD2"/>
    <w:rsid w:val="00FE3548"/>
    <w:rsid w:val="00FE3739"/>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32FA0"/>
  <w15:chartTrackingRefBased/>
  <w15:docId w15:val="{30BCD9FB-4E0A-4280-A505-0F227D628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A1E1F"/>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A1E1F"/>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A1E1F"/>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A1E1F"/>
    <w:pPr>
      <w:keepNext/>
      <w:keepLines/>
      <w:numPr>
        <w:ilvl w:val="3"/>
        <w:numId w:val="4"/>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A1E1F"/>
    <w:pPr>
      <w:keepNext/>
      <w:keepLines/>
      <w:numPr>
        <w:ilvl w:val="4"/>
        <w:numId w:val="4"/>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A1E1F"/>
    <w:pPr>
      <w:keepNext/>
      <w:keepLines/>
      <w:numPr>
        <w:ilvl w:val="5"/>
        <w:numId w:val="4"/>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A1E1F"/>
    <w:pPr>
      <w:keepNext/>
      <w:keepLines/>
      <w:numPr>
        <w:ilvl w:val="6"/>
        <w:numId w:val="4"/>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A1E1F"/>
    <w:pPr>
      <w:keepNext/>
      <w:keepLines/>
      <w:numPr>
        <w:ilvl w:val="7"/>
        <w:numId w:val="4"/>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A1E1F"/>
    <w:pPr>
      <w:keepNext/>
      <w:keepLines/>
      <w:numPr>
        <w:ilvl w:val="8"/>
        <w:numId w:val="4"/>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A1E1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A1E1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A1E1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A1E1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A1E1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A1E1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A1E1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A1E1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A1E1F"/>
    <w:rPr>
      <w:rFonts w:eastAsiaTheme="majorEastAsia" w:cstheme="majorBidi"/>
      <w:color w:val="272727" w:themeColor="text1" w:themeTint="D8"/>
    </w:rPr>
  </w:style>
  <w:style w:type="paragraph" w:styleId="Titel">
    <w:name w:val="Title"/>
    <w:basedOn w:val="Standard"/>
    <w:next w:val="Standard"/>
    <w:link w:val="TitelZchn"/>
    <w:uiPriority w:val="10"/>
    <w:qFormat/>
    <w:rsid w:val="00FA1E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A1E1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A1E1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A1E1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A1E1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A1E1F"/>
    <w:rPr>
      <w:i/>
      <w:iCs/>
      <w:color w:val="404040" w:themeColor="text1" w:themeTint="BF"/>
    </w:rPr>
  </w:style>
  <w:style w:type="paragraph" w:styleId="Listenabsatz">
    <w:name w:val="List Paragraph"/>
    <w:basedOn w:val="Standard"/>
    <w:uiPriority w:val="34"/>
    <w:qFormat/>
    <w:rsid w:val="00FA1E1F"/>
    <w:pPr>
      <w:ind w:left="720"/>
      <w:contextualSpacing/>
    </w:pPr>
  </w:style>
  <w:style w:type="character" w:styleId="IntensiveHervorhebung">
    <w:name w:val="Intense Emphasis"/>
    <w:basedOn w:val="Absatz-Standardschriftart"/>
    <w:uiPriority w:val="21"/>
    <w:qFormat/>
    <w:rsid w:val="00FA1E1F"/>
    <w:rPr>
      <w:i/>
      <w:iCs/>
      <w:color w:val="0F4761" w:themeColor="accent1" w:themeShade="BF"/>
    </w:rPr>
  </w:style>
  <w:style w:type="paragraph" w:styleId="IntensivesZitat">
    <w:name w:val="Intense Quote"/>
    <w:basedOn w:val="Standard"/>
    <w:next w:val="Standard"/>
    <w:link w:val="IntensivesZitatZchn"/>
    <w:uiPriority w:val="30"/>
    <w:qFormat/>
    <w:rsid w:val="00FA1E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A1E1F"/>
    <w:rPr>
      <w:i/>
      <w:iCs/>
      <w:color w:val="0F4761" w:themeColor="accent1" w:themeShade="BF"/>
    </w:rPr>
  </w:style>
  <w:style w:type="character" w:styleId="IntensiverVerweis">
    <w:name w:val="Intense Reference"/>
    <w:basedOn w:val="Absatz-Standardschriftart"/>
    <w:uiPriority w:val="32"/>
    <w:qFormat/>
    <w:rsid w:val="00FA1E1F"/>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FA1E1F"/>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FA1E1F"/>
    <w:pPr>
      <w:spacing w:after="100"/>
    </w:pPr>
  </w:style>
  <w:style w:type="character" w:styleId="Hyperlink">
    <w:name w:val="Hyperlink"/>
    <w:basedOn w:val="Absatz-Standardschriftart"/>
    <w:uiPriority w:val="99"/>
    <w:unhideWhenUsed/>
    <w:rsid w:val="00FA1E1F"/>
    <w:rPr>
      <w:color w:val="467886" w:themeColor="hyperlink"/>
      <w:u w:val="single"/>
    </w:rPr>
  </w:style>
  <w:style w:type="paragraph" w:styleId="Verzeichnis2">
    <w:name w:val="toc 2"/>
    <w:basedOn w:val="Standard"/>
    <w:next w:val="Standard"/>
    <w:autoRedefine/>
    <w:uiPriority w:val="39"/>
    <w:unhideWhenUsed/>
    <w:rsid w:val="00D40DD2"/>
    <w:pPr>
      <w:spacing w:after="100"/>
      <w:ind w:left="220"/>
    </w:pPr>
  </w:style>
  <w:style w:type="character" w:styleId="NichtaufgelsteErwhnung">
    <w:name w:val="Unresolved Mention"/>
    <w:basedOn w:val="Absatz-Standardschriftart"/>
    <w:uiPriority w:val="99"/>
    <w:semiHidden/>
    <w:unhideWhenUsed/>
    <w:rsid w:val="00B363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undeswahlleiterin.de/dam/jcr/04f736b0-66e8-4618-9063-88af47e83ce2/bundeswahlordnung.pdf" TargetMode="External"/><Relationship Id="rId3" Type="http://schemas.openxmlformats.org/officeDocument/2006/relationships/styles" Target="styles.xml"/><Relationship Id="rId7" Type="http://schemas.openxmlformats.org/officeDocument/2006/relationships/hyperlink" Target="https://www.bundeswahlleiterin.de/dam/jcr/04f736b0-66e8-4618-9063-88af47e83ce2/bundeswahlordnung.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destatis.de/DE/Themen/Laender-Regionen/Regionales/Gemeindeverzeichnis/_inhalt.html"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idescat.cat/sort/sort471/47.1.3.Pavia-Romero.pdf" TargetMode="External"/><Relationship Id="rId4" Type="http://schemas.openxmlformats.org/officeDocument/2006/relationships/settings" Target="settings.xml"/><Relationship Id="rId9" Type="http://schemas.openxmlformats.org/officeDocument/2006/relationships/hyperlink" Target="https://www.destatis.de/DE/Themen/Laender-Regionen/Regionales/Gemeindeverzeichnis/Namens-Grenz-Aenderung/namens-grenz-aenderung.htm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6DD331-3C7E-4A0F-ADA8-92729C2E4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3465</Words>
  <Characters>21833</Characters>
  <Application>Microsoft Office Word</Application>
  <DocSecurity>0</DocSecurity>
  <Lines>181</Lines>
  <Paragraphs>50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5</cp:revision>
  <dcterms:created xsi:type="dcterms:W3CDTF">2026-07-07T12:54:00Z</dcterms:created>
  <dcterms:modified xsi:type="dcterms:W3CDTF">2026-07-09T15:33:00Z</dcterms:modified>
</cp:coreProperties>
</file>