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4E17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 xml:space="preserve">Das </w:t>
      </w:r>
      <w:r w:rsidRPr="00DF0701">
        <w:rPr>
          <w:b/>
          <w:bCs/>
          <w:i/>
        </w:rPr>
        <w:t>Brown-&amp;-Payne-Modell (1986)</w:t>
      </w:r>
      <w:r w:rsidRPr="00DF0701">
        <w:rPr>
          <w:i/>
        </w:rPr>
        <w:t xml:space="preserve"> ist eines der klassischen Modelle der </w:t>
      </w:r>
      <w:r w:rsidRPr="00DF0701">
        <w:rPr>
          <w:b/>
          <w:bCs/>
          <w:i/>
        </w:rPr>
        <w:t>ökologischen Inferenz (ecological inference)</w:t>
      </w:r>
      <w:r w:rsidRPr="00DF0701">
        <w:rPr>
          <w:i/>
        </w:rPr>
        <w:t xml:space="preserve">, insbesondere für die Analyse von </w:t>
      </w:r>
      <w:r w:rsidRPr="00DF0701">
        <w:rPr>
          <w:b/>
          <w:bCs/>
          <w:i/>
        </w:rPr>
        <w:t>Wählerwanderungen</w:t>
      </w:r>
      <w:r w:rsidRPr="00DF0701">
        <w:rPr>
          <w:i/>
        </w:rPr>
        <w:t xml:space="preserve"> zwischen zwei Wahlen. Es entstand als Reaktion auf das Grundproblem der ökologischen Inferenz:</w:t>
      </w:r>
    </w:p>
    <w:p w14:paraId="0A088D38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Man beobachtet nur aggregierte Daten (z. B. Wahlergebnisse auf Gemeindeebene), möchte aber individuelle Übergangswahrscheinlichkeiten (z. B. wie viele frühere SPD-Wähler jetzt CDU wählen) schätzen.</w:t>
      </w:r>
    </w:p>
    <w:p w14:paraId="051E4E0D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643EC445">
          <v:rect id="_x0000_i1145" style="width:0;height:1.5pt" o:hralign="center" o:hrstd="t" o:hr="t" fillcolor="#a0a0a0" stroked="f"/>
        </w:pict>
      </w:r>
    </w:p>
    <w:p w14:paraId="76A4FEBE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1. Das Problem der ökologischen Inferenz</w:t>
      </w:r>
    </w:p>
    <w:p w14:paraId="32CDBDCE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Angenommen, es gibt zwei Wahlen:</w:t>
      </w:r>
    </w:p>
    <w:p w14:paraId="19F74834" w14:textId="736717DF" w:rsidR="00DF0701" w:rsidRPr="00DF0701" w:rsidRDefault="00DF0701" w:rsidP="00DF0701">
      <w:pPr>
        <w:numPr>
          <w:ilvl w:val="0"/>
          <w:numId w:val="1"/>
        </w:numPr>
        <w:rPr>
          <w:i/>
        </w:rPr>
      </w:pPr>
      <w:r w:rsidRPr="00DF0701">
        <w:rPr>
          <w:i/>
        </w:rPr>
        <w:t xml:space="preserve">Wahl </w:t>
      </w:r>
      <m:oMath>
        <m:r>
          <w:rPr>
            <w:rFonts w:ascii="Cambria Math" w:hAnsi="Cambria Math"/>
          </w:rPr>
          <m:t>t-1</m:t>
        </m:r>
      </m:oMath>
      <w:r w:rsidRPr="00DF0701">
        <w:rPr>
          <w:i/>
        </w:rPr>
        <w:t xml:space="preserve">: Parteien </w:t>
      </w:r>
      <m:oMath>
        <m:r>
          <w:rPr>
            <w:rFonts w:ascii="Cambria Math" w:hAnsi="Cambria Math"/>
          </w:rPr>
          <m:t>i=1,…,R</m:t>
        </m:r>
      </m:oMath>
    </w:p>
    <w:p w14:paraId="3E99A77E" w14:textId="3E928226" w:rsidR="00DF0701" w:rsidRPr="00DF0701" w:rsidRDefault="00DF0701" w:rsidP="00DF0701">
      <w:pPr>
        <w:numPr>
          <w:ilvl w:val="0"/>
          <w:numId w:val="1"/>
        </w:numPr>
        <w:rPr>
          <w:i/>
        </w:rPr>
      </w:pPr>
      <w:r w:rsidRPr="00DF0701">
        <w:rPr>
          <w:i/>
        </w:rPr>
        <w:t xml:space="preserve">Wahl </w:t>
      </w:r>
      <m:oMath>
        <m:r>
          <w:rPr>
            <w:rFonts w:ascii="Cambria Math" w:hAnsi="Cambria Math"/>
          </w:rPr>
          <m:t>t</m:t>
        </m:r>
      </m:oMath>
      <w:r w:rsidRPr="00DF0701">
        <w:rPr>
          <w:i/>
        </w:rPr>
        <w:t xml:space="preserve">: Parteien </w:t>
      </w:r>
      <m:oMath>
        <m:r>
          <w:rPr>
            <w:rFonts w:ascii="Cambria Math" w:hAnsi="Cambria Math"/>
          </w:rPr>
          <m:t>j=1,…,C</m:t>
        </m:r>
      </m:oMath>
    </w:p>
    <w:p w14:paraId="27BB53E2" w14:textId="7C3DE8D3" w:rsidR="00DF0701" w:rsidRPr="00DF0701" w:rsidRDefault="00DF0701" w:rsidP="00DF0701">
      <w:pPr>
        <w:rPr>
          <w:i/>
        </w:rPr>
      </w:pPr>
      <w:r w:rsidRPr="00DF0701">
        <w:rPr>
          <w:i/>
        </w:rPr>
        <w:t xml:space="preserve">Für jede Gemeinde </w:t>
      </w:r>
      <m:oMath>
        <m:r>
          <w:rPr>
            <w:rFonts w:ascii="Cambria Math" w:hAnsi="Cambria Math"/>
          </w:rPr>
          <m:t>k</m:t>
        </m:r>
      </m:oMath>
      <w:r w:rsidRPr="00DF0701">
        <w:rPr>
          <w:i/>
        </w:rPr>
        <w:t>beobachtet man nur:</w:t>
      </w:r>
    </w:p>
    <w:p w14:paraId="588DC70A" w14:textId="10141103" w:rsidR="00DF0701" w:rsidRPr="00DF0701" w:rsidRDefault="00DF0701" w:rsidP="00DF0701">
      <w:pPr>
        <w:numPr>
          <w:ilvl w:val="0"/>
          <w:numId w:val="2"/>
        </w:numPr>
        <w:rPr>
          <w:i/>
        </w:rPr>
      </w:pPr>
      <w:r w:rsidRPr="00DF0701">
        <w:rPr>
          <w:i/>
        </w:rPr>
        <w:t xml:space="preserve">Anteile der Parteien bei Wahl </w:t>
      </w:r>
      <m:oMath>
        <m:r>
          <w:rPr>
            <w:rFonts w:ascii="Cambria Math" w:hAnsi="Cambria Math"/>
          </w:rPr>
          <m:t>t-1</m:t>
        </m:r>
      </m:oMath>
      <w:r w:rsidRPr="00DF0701">
        <w:rPr>
          <w:i/>
        </w:rPr>
        <w:t xml:space="preserve">: </w:t>
      </w:r>
    </w:p>
    <w:p w14:paraId="52199E7A" w14:textId="07C2454A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i/>
            </w:rPr>
            <w:br/>
          </m:r>
        </m:oMath>
      </m:oMathPara>
    </w:p>
    <w:p w14:paraId="3BE191FA" w14:textId="7AA4450C" w:rsidR="00DF0701" w:rsidRPr="00DF0701" w:rsidRDefault="00DF0701" w:rsidP="00DF0701">
      <w:pPr>
        <w:numPr>
          <w:ilvl w:val="0"/>
          <w:numId w:val="3"/>
        </w:numPr>
        <w:rPr>
          <w:i/>
        </w:rPr>
      </w:pPr>
      <w:r w:rsidRPr="00DF0701">
        <w:rPr>
          <w:i/>
        </w:rPr>
        <w:t xml:space="preserve">Anteile der Parteien bei Wahl </w:t>
      </w:r>
      <m:oMath>
        <m:r>
          <w:rPr>
            <w:rFonts w:ascii="Cambria Math" w:hAnsi="Cambria Math"/>
          </w:rPr>
          <m:t>t</m:t>
        </m:r>
      </m:oMath>
      <w:r w:rsidRPr="00DF0701">
        <w:rPr>
          <w:i/>
        </w:rPr>
        <w:t xml:space="preserve">: </w:t>
      </w:r>
    </w:p>
    <w:p w14:paraId="57A9EDA0" w14:textId="4C22CA87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</m:sSub>
          <m:r>
            <w:rPr>
              <w:i/>
            </w:rPr>
            <w:br/>
          </m:r>
        </m:oMath>
      </m:oMathPara>
    </w:p>
    <w:p w14:paraId="2D0DE9BE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Gesucht sind die individuellen Übergangswahrscheinlichkeiten:</w:t>
      </w:r>
    </w:p>
    <w:p w14:paraId="09CCF6F8" w14:textId="6781C55E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=P(</m:t>
          </m:r>
          <m:r>
            <m:rPr>
              <m:nor/>
            </m:rPr>
            <w:rPr>
              <w:i/>
            </w:rPr>
            <m:t>Partei </m:t>
          </m:r>
          <m:r>
            <w:rPr>
              <w:rFonts w:ascii="Cambria Math" w:hAnsi="Cambria Math"/>
            </w:rPr>
            <m:t>j</m:t>
          </m:r>
          <m:r>
            <m:rPr>
              <m:nor/>
            </m:rPr>
            <w:rPr>
              <w:i/>
            </w:rPr>
            <m:t> bei </m:t>
          </m:r>
          <m:r>
            <w:rPr>
              <w:rFonts w:ascii="Cambria Math" w:hAnsi="Cambria Math"/>
            </w:rPr>
            <m:t>t∣</m:t>
          </m:r>
          <m:r>
            <m:rPr>
              <m:nor/>
            </m:rPr>
            <w:rPr>
              <w:i/>
            </w:rPr>
            <m:t>Partei </m:t>
          </m:r>
          <m:r>
            <w:rPr>
              <w:rFonts w:ascii="Cambria Math" w:hAnsi="Cambria Math"/>
            </w:rPr>
            <m:t>i</m:t>
          </m:r>
          <m:r>
            <m:rPr>
              <m:nor/>
            </m:rPr>
            <w:rPr>
              <w:i/>
            </w:rPr>
            <m:t> bei </m:t>
          </m:r>
          <m:r>
            <w:rPr>
              <w:rFonts w:ascii="Cambria Math" w:hAnsi="Cambria Math"/>
            </w:rPr>
            <m:t>t-1)</m:t>
          </m:r>
          <m:r>
            <w:rPr>
              <w:i/>
            </w:rPr>
            <w:br/>
          </m:r>
        </m:oMath>
      </m:oMathPara>
    </w:p>
    <w:p w14:paraId="172B2C83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Man hätte gerne die vollständige Übergangsmatrix: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525"/>
        <w:gridCol w:w="484"/>
        <w:gridCol w:w="693"/>
      </w:tblGrid>
      <w:tr w:rsidR="00DF0701" w:rsidRPr="00DF0701" w14:paraId="4712C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75BB4" w14:textId="77777777" w:rsidR="00DF0701" w:rsidRPr="00DF0701" w:rsidRDefault="00DF0701" w:rsidP="00DF0701">
            <w:pPr>
              <w:rPr>
                <w:i/>
              </w:rPr>
            </w:pPr>
          </w:p>
        </w:tc>
        <w:tc>
          <w:tcPr>
            <w:tcW w:w="0" w:type="auto"/>
            <w:vAlign w:val="center"/>
            <w:hideMark/>
          </w:tcPr>
          <w:p w14:paraId="2865F87C" w14:textId="77777777" w:rsidR="00DF0701" w:rsidRPr="00DF0701" w:rsidRDefault="00DF0701" w:rsidP="00DF0701">
            <w:pPr>
              <w:rPr>
                <w:b/>
                <w:bCs/>
                <w:i/>
              </w:rPr>
            </w:pPr>
            <w:r w:rsidRPr="00DF0701">
              <w:rPr>
                <w:b/>
                <w:bCs/>
                <w:i/>
              </w:rPr>
              <w:t>CDU</w:t>
            </w:r>
          </w:p>
        </w:tc>
        <w:tc>
          <w:tcPr>
            <w:tcW w:w="0" w:type="auto"/>
            <w:vAlign w:val="center"/>
            <w:hideMark/>
          </w:tcPr>
          <w:p w14:paraId="6AFA7CB1" w14:textId="77777777" w:rsidR="00DF0701" w:rsidRPr="00DF0701" w:rsidRDefault="00DF0701" w:rsidP="00DF0701">
            <w:pPr>
              <w:rPr>
                <w:b/>
                <w:bCs/>
                <w:i/>
              </w:rPr>
            </w:pPr>
            <w:r w:rsidRPr="00DF0701">
              <w:rPr>
                <w:b/>
                <w:bCs/>
                <w:i/>
              </w:rPr>
              <w:t>SPD</w:t>
            </w:r>
          </w:p>
        </w:tc>
        <w:tc>
          <w:tcPr>
            <w:tcW w:w="0" w:type="auto"/>
            <w:vAlign w:val="center"/>
            <w:hideMark/>
          </w:tcPr>
          <w:p w14:paraId="268E95BA" w14:textId="77777777" w:rsidR="00DF0701" w:rsidRPr="00DF0701" w:rsidRDefault="00DF0701" w:rsidP="00DF0701">
            <w:pPr>
              <w:rPr>
                <w:b/>
                <w:bCs/>
                <w:i/>
              </w:rPr>
            </w:pPr>
            <w:r w:rsidRPr="00DF0701">
              <w:rPr>
                <w:b/>
                <w:bCs/>
                <w:i/>
              </w:rPr>
              <w:t>Grüne</w:t>
            </w:r>
          </w:p>
        </w:tc>
      </w:tr>
      <w:tr w:rsidR="00DF0701" w:rsidRPr="00DF0701" w14:paraId="6D15F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5A33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CDU</w:t>
            </w:r>
          </w:p>
        </w:tc>
        <w:tc>
          <w:tcPr>
            <w:tcW w:w="0" w:type="auto"/>
            <w:vAlign w:val="center"/>
            <w:hideMark/>
          </w:tcPr>
          <w:p w14:paraId="301C2C9F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3E89E49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E0D3E25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?</w:t>
            </w:r>
          </w:p>
        </w:tc>
      </w:tr>
      <w:tr w:rsidR="00DF0701" w:rsidRPr="00DF0701" w14:paraId="5AB05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8CFD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SPD</w:t>
            </w:r>
          </w:p>
        </w:tc>
        <w:tc>
          <w:tcPr>
            <w:tcW w:w="0" w:type="auto"/>
            <w:vAlign w:val="center"/>
            <w:hideMark/>
          </w:tcPr>
          <w:p w14:paraId="34E4B2C8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4AB79A6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166AABA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?</w:t>
            </w:r>
          </w:p>
        </w:tc>
      </w:tr>
      <w:tr w:rsidR="00DF0701" w:rsidRPr="00DF0701" w14:paraId="5237B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FA61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Grüne</w:t>
            </w:r>
          </w:p>
        </w:tc>
        <w:tc>
          <w:tcPr>
            <w:tcW w:w="0" w:type="auto"/>
            <w:vAlign w:val="center"/>
            <w:hideMark/>
          </w:tcPr>
          <w:p w14:paraId="6AEC1ED2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F675858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AB52420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?</w:t>
            </w:r>
          </w:p>
        </w:tc>
      </w:tr>
    </w:tbl>
    <w:p w14:paraId="3EB61D32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Diese Matrix wird aber nie direkt beobachtet.</w:t>
      </w:r>
    </w:p>
    <w:p w14:paraId="6B8AE366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56FC80ED">
          <v:rect id="_x0000_i1146" style="width:0;height:1.5pt" o:hralign="center" o:hrstd="t" o:hr="t" fillcolor="#a0a0a0" stroked="f"/>
        </w:pict>
      </w:r>
    </w:p>
    <w:p w14:paraId="4A42B0E5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2. Das Goodman-Modell als Ausgangspunkt</w:t>
      </w:r>
    </w:p>
    <w:p w14:paraId="7B89304F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Das klassische Goodman-Modell (1953) nimmt an:</w:t>
      </w:r>
    </w:p>
    <w:p w14:paraId="590F2ED9" w14:textId="176A0D1D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i/>
            </w:rPr>
            <w:br/>
          </m:r>
        </m:oMath>
      </m:oMathPara>
    </w:p>
    <w:p w14:paraId="36852741" w14:textId="2A7B7C20" w:rsidR="00DF0701" w:rsidRPr="00DF0701" w:rsidRDefault="00DF0701" w:rsidP="00DF0701">
      <w:pPr>
        <w:rPr>
          <w:i/>
        </w:rPr>
      </w:pPr>
      <w:r w:rsidRPr="00DF0701">
        <w:rPr>
          <w:i/>
        </w:rPr>
        <w:lastRenderedPageBreak/>
        <w:t xml:space="preserve">mit konstanten Übergangswahrscheinlichkeiten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DF0701">
        <w:rPr>
          <w:i/>
        </w:rPr>
        <w:t>über alle Gebiete.</w:t>
      </w:r>
    </w:p>
    <w:p w14:paraId="2D3FBC16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Problem:</w:t>
      </w:r>
    </w:p>
    <w:p w14:paraId="011F58CF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Die Annahme ist praktisch immer falsch.</w:t>
      </w:r>
    </w:p>
    <w:p w14:paraId="2A9EB53F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Beispielsweise:</w:t>
      </w:r>
    </w:p>
    <w:p w14:paraId="259C06A2" w14:textId="77777777" w:rsidR="00DF0701" w:rsidRPr="00DF0701" w:rsidRDefault="00DF0701" w:rsidP="00DF0701">
      <w:pPr>
        <w:numPr>
          <w:ilvl w:val="0"/>
          <w:numId w:val="4"/>
        </w:numPr>
        <w:rPr>
          <w:i/>
        </w:rPr>
      </w:pPr>
      <w:r w:rsidRPr="00DF0701">
        <w:rPr>
          <w:i/>
        </w:rPr>
        <w:t xml:space="preserve">In Großstädten wechseln CDU-Wähler anders als auf dem Land. </w:t>
      </w:r>
    </w:p>
    <w:p w14:paraId="6DB74489" w14:textId="77777777" w:rsidR="00DF0701" w:rsidRPr="00DF0701" w:rsidRDefault="00DF0701" w:rsidP="00DF0701">
      <w:pPr>
        <w:numPr>
          <w:ilvl w:val="0"/>
          <w:numId w:val="4"/>
        </w:numPr>
        <w:rPr>
          <w:i/>
        </w:rPr>
      </w:pPr>
      <w:r w:rsidRPr="00DF0701">
        <w:rPr>
          <w:i/>
        </w:rPr>
        <w:t xml:space="preserve">Junge Regionen unterscheiden sich von alten Regionen. </w:t>
      </w:r>
    </w:p>
    <w:p w14:paraId="2ACD2F7F" w14:textId="77777777" w:rsidR="00DF0701" w:rsidRPr="00DF0701" w:rsidRDefault="00DF0701" w:rsidP="00DF0701">
      <w:pPr>
        <w:numPr>
          <w:ilvl w:val="0"/>
          <w:numId w:val="4"/>
        </w:numPr>
        <w:rPr>
          <w:i/>
        </w:rPr>
      </w:pPr>
      <w:r w:rsidRPr="00DF0701">
        <w:rPr>
          <w:i/>
        </w:rPr>
        <w:t xml:space="preserve">Ost- und Westdeutschland unterscheiden sich. </w:t>
      </w:r>
    </w:p>
    <w:p w14:paraId="1CA3F6C7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Somit entstehen systematische Verzerrungen.</w:t>
      </w:r>
    </w:p>
    <w:p w14:paraId="593EE963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2FEAF996">
          <v:rect id="_x0000_i1147" style="width:0;height:1.5pt" o:hralign="center" o:hrstd="t" o:hr="t" fillcolor="#a0a0a0" stroked="f"/>
        </w:pict>
      </w:r>
    </w:p>
    <w:p w14:paraId="5D8C648A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3. Grundidee von Brown &amp; Payne</w:t>
      </w:r>
    </w:p>
    <w:p w14:paraId="6DF9D959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 xml:space="preserve">Brown und Payne führen </w:t>
      </w:r>
      <w:r w:rsidRPr="00DF0701">
        <w:rPr>
          <w:b/>
          <w:bCs/>
          <w:i/>
        </w:rPr>
        <w:t>zufällige Variation der Übergangswahrscheinlichkeiten zwischen Gebieten</w:t>
      </w:r>
      <w:r w:rsidRPr="00DF0701">
        <w:rPr>
          <w:i/>
        </w:rPr>
        <w:t xml:space="preserve"> ein.</w:t>
      </w:r>
    </w:p>
    <w:p w14:paraId="251415A8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Anstatt:</w:t>
      </w:r>
    </w:p>
    <w:p w14:paraId="0E8F9E48" w14:textId="61B88B7D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ij,k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i/>
            </w:rPr>
            <w:br/>
          </m:r>
        </m:oMath>
      </m:oMathPara>
    </w:p>
    <w:p w14:paraId="36B7F83D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nehmen sie an:</w:t>
      </w:r>
    </w:p>
    <w:p w14:paraId="4ABB0BF5" w14:textId="1BCC5B7E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ij,k</m:t>
              </m:r>
            </m:sub>
          </m:sSub>
          <m:r>
            <w:rPr>
              <w:i/>
            </w:rPr>
            <w:br/>
          </m:r>
        </m:oMath>
      </m:oMathPara>
    </w:p>
    <w:p w14:paraId="04C6A101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variiert zwischen den Gemeinden.</w:t>
      </w:r>
    </w:p>
    <w:p w14:paraId="531B6586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Jede Gemeinde besitzt also ihre eigene Übergangsmatrix.</w:t>
      </w:r>
    </w:p>
    <w:p w14:paraId="5D12AE6E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6475C223">
          <v:rect id="_x0000_i1148" style="width:0;height:1.5pt" o:hralign="center" o:hrstd="t" o:hr="t" fillcolor="#a0a0a0" stroked="f"/>
        </w:pict>
      </w:r>
    </w:p>
    <w:p w14:paraId="30BA8941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4. Hierarchische Struktur</w:t>
      </w:r>
    </w:p>
    <w:p w14:paraId="7F304D8A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 xml:space="preserve">Das Modell ist ein frühes </w:t>
      </w:r>
      <w:r w:rsidRPr="00DF0701">
        <w:rPr>
          <w:b/>
          <w:bCs/>
          <w:i/>
        </w:rPr>
        <w:t>hierarchisches Random-Effects-Modell</w:t>
      </w:r>
      <w:r w:rsidRPr="00DF0701">
        <w:rPr>
          <w:i/>
        </w:rPr>
        <w:t>.</w:t>
      </w:r>
    </w:p>
    <w:p w14:paraId="7B1B998C" w14:textId="3CB1E409" w:rsidR="00DF0701" w:rsidRPr="00DF0701" w:rsidRDefault="00DF0701" w:rsidP="00DF0701">
      <w:pPr>
        <w:rPr>
          <w:i/>
        </w:rPr>
      </w:pPr>
      <w:r w:rsidRPr="00DF0701">
        <w:rPr>
          <w:i/>
        </w:rPr>
        <w:t xml:space="preserve">Für jede Ausgangspartei </w:t>
      </w:r>
      <m:oMath>
        <m:r>
          <w:rPr>
            <w:rFonts w:ascii="Cambria Math" w:hAnsi="Cambria Math"/>
          </w:rPr>
          <m:t>i</m:t>
        </m:r>
      </m:oMath>
      <w:r w:rsidRPr="00DF0701">
        <w:rPr>
          <w:i/>
        </w:rPr>
        <w:t>:</w:t>
      </w:r>
    </w:p>
    <w:p w14:paraId="6CDE77C8" w14:textId="39E5009C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i1k</m:t>
              </m:r>
            </m:sub>
          </m:sSub>
          <m:r>
            <w:rPr>
              <w:rFonts w:ascii="Cambria Math" w:hAnsi="Cambria Math"/>
            </w:rPr>
            <m:t>,...,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iCk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DA63176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ist ein Wahrscheinlichkeitsvektor.</w:t>
      </w:r>
    </w:p>
    <w:p w14:paraId="5BC454CE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Brown &amp; Payne nehmen an:</w:t>
      </w:r>
    </w:p>
    <w:p w14:paraId="15F653FB" w14:textId="3C9DC934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∼Dirichlet(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600824D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an.</w:t>
      </w:r>
    </w:p>
    <w:p w14:paraId="7C938DB3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Hier:</w:t>
      </w:r>
    </w:p>
    <w:p w14:paraId="43B0020A" w14:textId="0BEBE62E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,...,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iC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24B16C5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lastRenderedPageBreak/>
        <w:t>= durchschnittliche Übergangswahrscheinlichkeiten.</w:t>
      </w:r>
    </w:p>
    <w:p w14:paraId="25B554F1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und</w:t>
      </w:r>
    </w:p>
    <w:p w14:paraId="38885F11" w14:textId="5EABF3A5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i/>
            </w:rPr>
            <w:br/>
          </m:r>
        </m:oMath>
      </m:oMathPara>
    </w:p>
    <w:p w14:paraId="62B3EDE2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= Konzentrationsparameter.</w:t>
      </w:r>
    </w:p>
    <w:p w14:paraId="2BB9E7B8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14A59FF8">
          <v:rect id="_x0000_i1149" style="width:0;height:1.5pt" o:hralign="center" o:hrstd="t" o:hr="t" fillcolor="#a0a0a0" stroked="f"/>
        </w:pict>
      </w:r>
    </w:p>
    <w:p w14:paraId="15FB57E9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Interpretation</w:t>
      </w:r>
    </w:p>
    <w:p w14:paraId="666845DB" w14:textId="3A635902" w:rsidR="00DF0701" w:rsidRPr="00DF0701" w:rsidRDefault="00DF0701" w:rsidP="00DF0701">
      <w:pPr>
        <w:rPr>
          <w:i/>
        </w:rPr>
      </w:pPr>
      <w:r w:rsidRPr="00DF0701">
        <w:rPr>
          <w:i/>
        </w:rPr>
        <w:t xml:space="preserve">Großes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F0701">
        <w:rPr>
          <w:i/>
        </w:rPr>
        <w:t>:</w:t>
      </w:r>
    </w:p>
    <w:p w14:paraId="494CD5F3" w14:textId="77777777" w:rsidR="00DF0701" w:rsidRPr="00DF0701" w:rsidRDefault="00DF0701" w:rsidP="00DF0701">
      <w:pPr>
        <w:numPr>
          <w:ilvl w:val="0"/>
          <w:numId w:val="5"/>
        </w:numPr>
        <w:rPr>
          <w:i/>
        </w:rPr>
      </w:pPr>
      <w:r w:rsidRPr="00DF0701">
        <w:rPr>
          <w:i/>
        </w:rPr>
        <w:t xml:space="preserve">wenig Heterogenität </w:t>
      </w:r>
    </w:p>
    <w:p w14:paraId="23B89AA1" w14:textId="77777777" w:rsidR="00DF0701" w:rsidRPr="00DF0701" w:rsidRDefault="00DF0701" w:rsidP="00DF0701">
      <w:pPr>
        <w:numPr>
          <w:ilvl w:val="0"/>
          <w:numId w:val="5"/>
        </w:numPr>
        <w:rPr>
          <w:i/>
        </w:rPr>
      </w:pPr>
      <w:r w:rsidRPr="00DF0701">
        <w:rPr>
          <w:i/>
        </w:rPr>
        <w:t xml:space="preserve">Gemeinden ähneln sich stark </w:t>
      </w:r>
    </w:p>
    <w:p w14:paraId="7C10D3AC" w14:textId="0F5C263F" w:rsidR="00DF0701" w:rsidRPr="00DF0701" w:rsidRDefault="00DF0701" w:rsidP="00DF0701">
      <w:pPr>
        <w:rPr>
          <w:i/>
        </w:rPr>
      </w:pPr>
      <w:r w:rsidRPr="00DF0701">
        <w:rPr>
          <w:i/>
        </w:rPr>
        <w:t xml:space="preserve">Kleines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F0701">
        <w:rPr>
          <w:i/>
        </w:rPr>
        <w:t>:</w:t>
      </w:r>
    </w:p>
    <w:p w14:paraId="2C956EBD" w14:textId="77777777" w:rsidR="00DF0701" w:rsidRPr="00DF0701" w:rsidRDefault="00DF0701" w:rsidP="00DF0701">
      <w:pPr>
        <w:numPr>
          <w:ilvl w:val="0"/>
          <w:numId w:val="6"/>
        </w:numPr>
        <w:rPr>
          <w:i/>
        </w:rPr>
      </w:pPr>
      <w:r w:rsidRPr="00DF0701">
        <w:rPr>
          <w:i/>
        </w:rPr>
        <w:t xml:space="preserve">starke regionale Unterschiede </w:t>
      </w:r>
    </w:p>
    <w:p w14:paraId="7BC608DF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30F6AC1C">
          <v:rect id="_x0000_i1150" style="width:0;height:1.5pt" o:hralign="center" o:hrstd="t" o:hr="t" fillcolor="#a0a0a0" stroked="f"/>
        </w:pict>
      </w:r>
    </w:p>
    <w:p w14:paraId="774F4666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5. Warum die Dirichlet-Verteilung?</w:t>
      </w:r>
    </w:p>
    <w:p w14:paraId="374CACC5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Weil jede Zeile einer Übergangsmatrix:</w:t>
      </w:r>
    </w:p>
    <w:p w14:paraId="138CC2D5" w14:textId="53573C77" w:rsidR="00DF0701" w:rsidRPr="00DF0701" w:rsidRDefault="00DF0701" w:rsidP="00DF0701">
      <w:pPr>
        <w:rPr>
          <w:i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1A1B20E0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erfüllen muss.</w:t>
      </w:r>
    </w:p>
    <w:p w14:paraId="1DC8ED65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Die Dirichlet-Verteilung ist die natürliche Verteilung auf dem Wahrscheinlichkeits-Simplex.</w:t>
      </w:r>
    </w:p>
    <w:p w14:paraId="40480220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Sie garantiert:</w:t>
      </w:r>
    </w:p>
    <w:p w14:paraId="25865593" w14:textId="3A8F316B" w:rsidR="00DF0701" w:rsidRPr="00DF0701" w:rsidRDefault="00DF0701" w:rsidP="00DF0701">
      <w:pPr>
        <w:rPr>
          <w:i/>
        </w:rPr>
      </w:pPr>
      <m:oMathPara>
        <m:oMath>
          <m:r>
            <w:rPr>
              <w:rFonts w:ascii="Cambria Math" w:hAnsi="Cambria Math"/>
            </w:rPr>
            <m:t>0&lt;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&lt;1</m:t>
          </m:r>
          <m:r>
            <w:rPr>
              <w:i/>
            </w:rPr>
            <w:br/>
          </m:r>
        </m:oMath>
      </m:oMathPara>
    </w:p>
    <w:p w14:paraId="2D8DBAFA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und</w:t>
      </w:r>
    </w:p>
    <w:p w14:paraId="314AC2BE" w14:textId="2DBD5E6D" w:rsidR="00DF0701" w:rsidRPr="00DF0701" w:rsidRDefault="00DF0701" w:rsidP="00DF0701">
      <w:pPr>
        <w:rPr>
          <w:i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</w:rPr>
            <m:t>=1.</m:t>
          </m:r>
          <m:r>
            <w:rPr>
              <w:i/>
            </w:rPr>
            <w:br/>
          </m:r>
        </m:oMath>
      </m:oMathPara>
    </w:p>
    <w:p w14:paraId="1C1DB629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02357ECC">
          <v:rect id="_x0000_i1151" style="width:0;height:1.5pt" o:hralign="center" o:hrstd="t" o:hr="t" fillcolor="#a0a0a0" stroked="f"/>
        </w:pict>
      </w:r>
    </w:p>
    <w:p w14:paraId="3AE21325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6. Das eigentliche Generierungsmodell</w:t>
      </w:r>
    </w:p>
    <w:p w14:paraId="0E053A87" w14:textId="20FD9B6F" w:rsidR="00DF0701" w:rsidRPr="00DF0701" w:rsidRDefault="00DF0701" w:rsidP="00DF0701">
      <w:pPr>
        <w:rPr>
          <w:i/>
        </w:rPr>
      </w:pPr>
      <w:r w:rsidRPr="00DF0701">
        <w:rPr>
          <w:i/>
        </w:rPr>
        <w:t xml:space="preserve">Für Gemeinde </w:t>
      </w:r>
      <m:oMath>
        <m:r>
          <w:rPr>
            <w:rFonts w:ascii="Cambria Math" w:hAnsi="Cambria Math"/>
          </w:rPr>
          <m:t>k</m:t>
        </m:r>
      </m:oMath>
      <w:r w:rsidRPr="00DF0701">
        <w:rPr>
          <w:i/>
        </w:rPr>
        <w:t>:</w:t>
      </w:r>
    </w:p>
    <w:p w14:paraId="79A2F67A" w14:textId="1A9CB481" w:rsidR="00DF0701" w:rsidRPr="00DF0701" w:rsidRDefault="00DF0701" w:rsidP="00DF0701">
      <w:pPr>
        <w:rPr>
          <w:i/>
        </w:rPr>
      </w:pPr>
      <w:r w:rsidRPr="00DF0701">
        <w:rPr>
          <w:i/>
        </w:rPr>
        <w:t xml:space="preserve">Anzahl früherer Wähler von Partei </w:t>
      </w:r>
      <m:oMath>
        <m:r>
          <w:rPr>
            <w:rFonts w:ascii="Cambria Math" w:hAnsi="Cambria Math"/>
          </w:rPr>
          <m:t>i</m:t>
        </m:r>
      </m:oMath>
      <w:r w:rsidRPr="00DF0701">
        <w:rPr>
          <w:i/>
        </w:rPr>
        <w:t>:</w:t>
      </w:r>
    </w:p>
    <w:p w14:paraId="7BD69151" w14:textId="3F313AAA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i/>
            </w:rPr>
            <w:br/>
          </m:r>
        </m:oMath>
      </m:oMathPara>
    </w:p>
    <w:p w14:paraId="7191B8F3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Diese Wähler werden auf die Parteien der neuen Wahl verteilt.</w:t>
      </w:r>
    </w:p>
    <w:p w14:paraId="7E712B19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lastRenderedPageBreak/>
        <w:t>Die unbekannten Zellzahlen:</w:t>
      </w:r>
    </w:p>
    <w:p w14:paraId="568F62C7" w14:textId="698EB5DA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rPr>
              <w:i/>
            </w:rPr>
            <w:br/>
          </m:r>
        </m:oMath>
      </m:oMathPara>
    </w:p>
    <w:p w14:paraId="55CD6081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folgen</w:t>
      </w:r>
    </w:p>
    <w:p w14:paraId="42FC2A80" w14:textId="0A87976D" w:rsidR="00DF0701" w:rsidRPr="00DF0701" w:rsidRDefault="00DF0701" w:rsidP="00DF0701">
      <w:pPr>
        <w:rPr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i1k</m:t>
                  </m:r>
                </m:sub>
              </m:sSub>
              <m:r>
                <w:rPr>
                  <w:rFonts w:ascii="Cambria Math" w:hAnsi="Cambria Math"/>
                </w:rPr>
                <m:t>,...,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iCk</m:t>
                  </m:r>
                </m:sub>
              </m:sSub>
              <m:r>
                <w:rPr>
                  <w:rFonts w:ascii="Cambria Math" w:hAnsi="Cambria Math"/>
                </w:rPr>
                <m:t>)∼Multinomial(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d>
          <m:r>
            <w:rPr>
              <w:i/>
            </w:rPr>
            <w:br/>
          </m:r>
        </m:oMath>
      </m:oMathPara>
    </w:p>
    <w:p w14:paraId="5EF75115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594E1CAB">
          <v:rect id="_x0000_i1152" style="width:0;height:1.5pt" o:hralign="center" o:hrstd="t" o:hr="t" fillcolor="#a0a0a0" stroked="f"/>
        </w:pict>
      </w:r>
    </w:p>
    <w:p w14:paraId="50EE71A3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Hierarchie:</w:t>
      </w:r>
    </w:p>
    <w:p w14:paraId="668A6057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Ebene 1</w:t>
      </w:r>
    </w:p>
    <w:p w14:paraId="659ED98C" w14:textId="0DE387E1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∼Multinomial</m:t>
          </m:r>
          <m:r>
            <w:rPr>
              <w:i/>
            </w:rPr>
            <w:br/>
          </m:r>
        </m:oMath>
      </m:oMathPara>
    </w:p>
    <w:p w14:paraId="1A0CB7F0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Ebene 2</w:t>
      </w:r>
    </w:p>
    <w:p w14:paraId="74F93120" w14:textId="622AC6A2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∼Dirichlet</m:t>
          </m:r>
          <m:r>
            <w:rPr>
              <w:i/>
            </w:rPr>
            <w:br/>
          </m:r>
        </m:oMath>
      </m:oMathPara>
    </w:p>
    <w:p w14:paraId="16DE88A5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 xml:space="preserve">Das ist ein </w:t>
      </w:r>
      <w:r w:rsidRPr="00DF0701">
        <w:rPr>
          <w:b/>
          <w:bCs/>
          <w:i/>
        </w:rPr>
        <w:t>Dirichlet-Multinomial-Modell</w:t>
      </w:r>
      <w:r w:rsidRPr="00DF0701">
        <w:rPr>
          <w:i/>
        </w:rPr>
        <w:t>.</w:t>
      </w:r>
    </w:p>
    <w:p w14:paraId="722CEAB2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24AEADAF">
          <v:rect id="_x0000_i1153" style="width:0;height:1.5pt" o:hralign="center" o:hrstd="t" o:hr="t" fillcolor="#a0a0a0" stroked="f"/>
        </w:pict>
      </w:r>
    </w:p>
    <w:p w14:paraId="403496D1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7. Marginale Verteilung</w:t>
      </w:r>
    </w:p>
    <w:p w14:paraId="3C8A95FC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Integriert man die Dirichlet-Verteilung heraus, erhält man:</w:t>
      </w:r>
    </w:p>
    <w:p w14:paraId="2BA8B805" w14:textId="1D8A4D86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∼Dirichlet</m:t>
          </m:r>
          <m:r>
            <m:rPr>
              <m:nor/>
            </m:rPr>
            <w:rPr>
              <w:i/>
            </w:rPr>
            <m:t>-</m:t>
          </m:r>
          <m:r>
            <w:rPr>
              <w:rFonts w:ascii="Cambria Math" w:hAnsi="Cambria Math"/>
            </w:rPr>
            <m:t>Multinomial</m:t>
          </m:r>
          <m:r>
            <w:rPr>
              <w:i/>
            </w:rPr>
            <w:br/>
          </m:r>
        </m:oMath>
      </m:oMathPara>
    </w:p>
    <w:p w14:paraId="02A858A2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Dies erzeugt zusätzliche Varianz ("Overdispersion").</w:t>
      </w:r>
    </w:p>
    <w:p w14:paraId="0F5CF6E7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Genau diese zusätzliche Varianz fehlt im Goodman-Modell.</w:t>
      </w:r>
    </w:p>
    <w:p w14:paraId="7C78AA4C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5C49C9B8">
          <v:rect id="_x0000_i1154" style="width:0;height:1.5pt" o:hralign="center" o:hrstd="t" o:hr="t" fillcolor="#a0a0a0" stroked="f"/>
        </w:pict>
      </w:r>
    </w:p>
    <w:p w14:paraId="3C2A2729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8. Zusammenhang mit Overdispersion</w:t>
      </w:r>
    </w:p>
    <w:p w14:paraId="382D2BFB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Das Kernargument von Brown &amp; Payne:</w:t>
      </w:r>
    </w:p>
    <w:p w14:paraId="37FD1F17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Wähler verhalten sich nicht unabhängig.</w:t>
      </w:r>
    </w:p>
    <w:p w14:paraId="049E8635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In einer Gemeinde existieren gemeinsame Einflüsse:</w:t>
      </w:r>
    </w:p>
    <w:p w14:paraId="508F525B" w14:textId="77777777" w:rsidR="00DF0701" w:rsidRPr="00DF0701" w:rsidRDefault="00DF0701" w:rsidP="00DF0701">
      <w:pPr>
        <w:numPr>
          <w:ilvl w:val="0"/>
          <w:numId w:val="7"/>
        </w:numPr>
        <w:rPr>
          <w:i/>
        </w:rPr>
      </w:pPr>
      <w:r w:rsidRPr="00DF0701">
        <w:rPr>
          <w:i/>
        </w:rPr>
        <w:t xml:space="preserve">lokale Kampagnen </w:t>
      </w:r>
    </w:p>
    <w:p w14:paraId="25574241" w14:textId="77777777" w:rsidR="00DF0701" w:rsidRPr="00DF0701" w:rsidRDefault="00DF0701" w:rsidP="00DF0701">
      <w:pPr>
        <w:numPr>
          <w:ilvl w:val="0"/>
          <w:numId w:val="7"/>
        </w:numPr>
        <w:rPr>
          <w:i/>
        </w:rPr>
      </w:pPr>
      <w:r w:rsidRPr="00DF0701">
        <w:rPr>
          <w:i/>
        </w:rPr>
        <w:t xml:space="preserve">Kandidaten </w:t>
      </w:r>
    </w:p>
    <w:p w14:paraId="1F957F3F" w14:textId="77777777" w:rsidR="00DF0701" w:rsidRPr="00DF0701" w:rsidRDefault="00DF0701" w:rsidP="00DF0701">
      <w:pPr>
        <w:numPr>
          <w:ilvl w:val="0"/>
          <w:numId w:val="7"/>
        </w:numPr>
        <w:rPr>
          <w:i/>
        </w:rPr>
      </w:pPr>
      <w:r w:rsidRPr="00DF0701">
        <w:rPr>
          <w:i/>
        </w:rPr>
        <w:t xml:space="preserve">sozioökonomische Struktur </w:t>
      </w:r>
    </w:p>
    <w:p w14:paraId="453F603D" w14:textId="77777777" w:rsidR="00DF0701" w:rsidRPr="00DF0701" w:rsidRDefault="00DF0701" w:rsidP="00DF0701">
      <w:pPr>
        <w:numPr>
          <w:ilvl w:val="0"/>
          <w:numId w:val="7"/>
        </w:numPr>
        <w:rPr>
          <w:i/>
        </w:rPr>
      </w:pPr>
      <w:r w:rsidRPr="00DF0701">
        <w:rPr>
          <w:i/>
        </w:rPr>
        <w:t xml:space="preserve">regionale Kultur </w:t>
      </w:r>
    </w:p>
    <w:p w14:paraId="2B5BE186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Dadurch sind individuelle Entscheidungen korreliert.</w:t>
      </w:r>
    </w:p>
    <w:p w14:paraId="7EE79197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Folge:</w:t>
      </w:r>
    </w:p>
    <w:p w14:paraId="14C94BBD" w14:textId="383DC394" w:rsidR="00DF0701" w:rsidRPr="00DF0701" w:rsidRDefault="00DF0701" w:rsidP="00DF0701">
      <w:pPr>
        <w:rPr>
          <w:i/>
        </w:rPr>
      </w:pPr>
      <m:oMathPara>
        <m:oMath>
          <m:r>
            <w:rPr>
              <w:rFonts w:ascii="Cambria Math" w:hAnsi="Cambria Math"/>
            </w:rPr>
            <w:lastRenderedPageBreak/>
            <m:t>Var(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96B4B22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ist größer als unter reinem Multinomialmodell.</w:t>
      </w:r>
    </w:p>
    <w:p w14:paraId="742E170A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Brown &amp; Payne modellieren genau diese Überdispersion.</w:t>
      </w:r>
    </w:p>
    <w:p w14:paraId="2736C39C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15CC8C0F">
          <v:rect id="_x0000_i1155" style="width:0;height:1.5pt" o:hralign="center" o:hrstd="t" o:hr="t" fillcolor="#a0a0a0" stroked="f"/>
        </w:pict>
      </w:r>
    </w:p>
    <w:p w14:paraId="7AFAFD94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9. Schätzung</w:t>
      </w:r>
    </w:p>
    <w:p w14:paraId="09DF02AA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Problem:</w:t>
      </w:r>
    </w:p>
    <w:p w14:paraId="4B75FCD0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Die Tabellenzellen</w:t>
      </w:r>
    </w:p>
    <w:p w14:paraId="0870953A" w14:textId="6ECF559D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rPr>
              <w:i/>
            </w:rPr>
            <w:br/>
          </m:r>
        </m:oMath>
      </m:oMathPara>
    </w:p>
    <w:p w14:paraId="6219877E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sind unbeobachtet.</w:t>
      </w:r>
    </w:p>
    <w:p w14:paraId="086FDA2C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Beobachtet werden nur:</w:t>
      </w:r>
    </w:p>
    <w:p w14:paraId="461184F4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Zeilensummen:</w:t>
      </w:r>
    </w:p>
    <w:p w14:paraId="29265C9C" w14:textId="5CBF4324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i/>
            </w:rPr>
            <w:br/>
          </m:r>
        </m:oMath>
      </m:oMathPara>
    </w:p>
    <w:p w14:paraId="3FBB8997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und Spaltensummen:</w:t>
      </w:r>
    </w:p>
    <w:p w14:paraId="189A332F" w14:textId="1B6E5173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</m:sSub>
          <m:r>
            <w:rPr>
              <w:i/>
            </w:rPr>
            <w:br/>
          </m:r>
        </m:oMath>
      </m:oMathPara>
    </w:p>
    <w:p w14:paraId="6EAA56EE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Die Likelihood wird daher über alle möglichen internen Tabellen aufsummiert.</w:t>
      </w:r>
    </w:p>
    <w:p w14:paraId="17D5E5E5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6325EAB9">
          <v:rect id="_x0000_i1156" style="width:0;height:1.5pt" o:hralign="center" o:hrstd="t" o:hr="t" fillcolor="#a0a0a0" stroked="f"/>
        </w:pict>
      </w:r>
    </w:p>
    <w:p w14:paraId="03E1385E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Formal:</w:t>
      </w:r>
    </w:p>
    <w:p w14:paraId="723C2E22" w14:textId="76C4D327" w:rsidR="00DF0701" w:rsidRPr="00DF0701" w:rsidRDefault="00DF0701" w:rsidP="00DF0701">
      <w:pPr>
        <w:rPr>
          <w:i/>
        </w:rPr>
      </w:pPr>
      <m:oMathPara>
        <m:oMath>
          <m:r>
            <w:rPr>
              <w:rFonts w:ascii="Cambria Math" w:hAnsi="Cambria Math"/>
            </w:rPr>
            <m:t>L(θ)=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nor/>
                </m:rPr>
                <w:rPr>
                  <w:i/>
                </w:rPr>
                <m:t>alle kompatiblen Tabellen</m:t>
              </m:r>
            </m:sub>
            <m:sup/>
            <m:e>
              <m:r>
                <w:rPr>
                  <w:rFonts w:ascii="Cambria Math" w:hAnsi="Cambria Math"/>
                </w:rPr>
                <m:t>P(</m:t>
              </m:r>
              <m:r>
                <m:rPr>
                  <m:nor/>
                </m:rPr>
                <w:rPr>
                  <w:i/>
                </w:rPr>
                <m:t>Tabelle</m:t>
              </m:r>
              <m:r>
                <w:rPr>
                  <w:rFonts w:ascii="Cambria Math" w:hAnsi="Cambria Math"/>
                </w:rPr>
                <m:t>∣θ)</m:t>
              </m:r>
            </m:e>
          </m:nary>
          <m:r>
            <w:rPr>
              <w:i/>
            </w:rPr>
            <w:br/>
          </m:r>
        </m:oMath>
      </m:oMathPara>
    </w:p>
    <w:p w14:paraId="09C2D334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Das ist rechnerisch schwierig.</w:t>
      </w:r>
    </w:p>
    <w:p w14:paraId="122D2751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Brown &amp; Payne verwenden Näherungsverfahren und Maximum-Likelihood.</w:t>
      </w:r>
    </w:p>
    <w:p w14:paraId="694A1575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40AA9BCA">
          <v:rect id="_x0000_i1157" style="width:0;height:1.5pt" o:hralign="center" o:hrstd="t" o:hr="t" fillcolor="#a0a0a0" stroked="f"/>
        </w:pict>
      </w:r>
    </w:p>
    <w:p w14:paraId="5A260AD6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10. Kovariaten-Erweiterung</w:t>
      </w:r>
    </w:p>
    <w:p w14:paraId="007A8BB6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Spätere Versionen modellieren</w:t>
      </w:r>
    </w:p>
    <w:p w14:paraId="784E8208" w14:textId="425B32C3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ij,k</m:t>
              </m:r>
            </m:sub>
          </m:sSub>
          <m:r>
            <w:rPr>
              <w:i/>
            </w:rPr>
            <w:br/>
          </m:r>
        </m:oMath>
      </m:oMathPara>
    </w:p>
    <w:p w14:paraId="76DF6098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als Funktion von Gebietsmerkmalen.</w:t>
      </w:r>
    </w:p>
    <w:p w14:paraId="72899DFA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Zum Beispiel:</w:t>
      </w:r>
    </w:p>
    <w:p w14:paraId="247E7C47" w14:textId="5EA72EAB" w:rsidR="00DF0701" w:rsidRPr="00DF0701" w:rsidRDefault="00DF0701" w:rsidP="00DF0701">
      <w:pPr>
        <w:rPr>
          <w:i/>
        </w:rPr>
      </w:pPr>
      <m:oMathPara>
        <m:oMath>
          <m:r>
            <w:rPr>
              <w:rFonts w:ascii="Cambria Math" w:hAnsi="Cambria Math"/>
            </w:rPr>
            <w:lastRenderedPageBreak/>
            <m:t>log⁡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ij,k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iC,k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i/>
            </w:rPr>
            <w:br/>
          </m:r>
        </m:oMath>
      </m:oMathPara>
    </w:p>
    <w:p w14:paraId="23727E65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mit:</w:t>
      </w:r>
    </w:p>
    <w:p w14:paraId="7A67B0EB" w14:textId="77777777" w:rsidR="00DF0701" w:rsidRPr="00DF0701" w:rsidRDefault="00DF0701" w:rsidP="00DF0701">
      <w:pPr>
        <w:numPr>
          <w:ilvl w:val="0"/>
          <w:numId w:val="8"/>
        </w:numPr>
        <w:rPr>
          <w:i/>
        </w:rPr>
      </w:pPr>
      <w:r w:rsidRPr="00DF0701">
        <w:rPr>
          <w:i/>
        </w:rPr>
        <w:t xml:space="preserve">Urbanisierung </w:t>
      </w:r>
    </w:p>
    <w:p w14:paraId="76FB2B77" w14:textId="77777777" w:rsidR="00DF0701" w:rsidRPr="00DF0701" w:rsidRDefault="00DF0701" w:rsidP="00DF0701">
      <w:pPr>
        <w:numPr>
          <w:ilvl w:val="0"/>
          <w:numId w:val="8"/>
        </w:numPr>
        <w:rPr>
          <w:i/>
        </w:rPr>
      </w:pPr>
      <w:r w:rsidRPr="00DF0701">
        <w:rPr>
          <w:i/>
        </w:rPr>
        <w:t xml:space="preserve">Einkommen </w:t>
      </w:r>
    </w:p>
    <w:p w14:paraId="1CBF7D6D" w14:textId="77777777" w:rsidR="00DF0701" w:rsidRPr="00DF0701" w:rsidRDefault="00DF0701" w:rsidP="00DF0701">
      <w:pPr>
        <w:numPr>
          <w:ilvl w:val="0"/>
          <w:numId w:val="8"/>
        </w:numPr>
        <w:rPr>
          <w:i/>
        </w:rPr>
      </w:pPr>
      <w:r w:rsidRPr="00DF0701">
        <w:rPr>
          <w:i/>
        </w:rPr>
        <w:t xml:space="preserve">Bildungsniveau </w:t>
      </w:r>
    </w:p>
    <w:p w14:paraId="793B888C" w14:textId="77777777" w:rsidR="00DF0701" w:rsidRPr="00DF0701" w:rsidRDefault="00DF0701" w:rsidP="00DF0701">
      <w:pPr>
        <w:numPr>
          <w:ilvl w:val="0"/>
          <w:numId w:val="8"/>
        </w:numPr>
        <w:rPr>
          <w:i/>
        </w:rPr>
      </w:pPr>
      <w:r w:rsidRPr="00DF0701">
        <w:rPr>
          <w:i/>
        </w:rPr>
        <w:t xml:space="preserve">Arbeitslosigkeit </w:t>
      </w:r>
    </w:p>
    <w:p w14:paraId="7BF26DC6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Das macht das Modell zu einem Vorläufer moderner multilevel multinomial logit Modelle.</w:t>
      </w:r>
    </w:p>
    <w:p w14:paraId="1E6A3C25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6C277364">
          <v:rect id="_x0000_i1158" style="width:0;height:1.5pt" o:hralign="center" o:hrstd="t" o:hr="t" fillcolor="#a0a0a0" stroked="f"/>
        </w:pict>
      </w:r>
    </w:p>
    <w:p w14:paraId="6C920A9D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11. Vergleich mit King's EI-Modell (1997)</w:t>
      </w:r>
    </w:p>
    <w:p w14:paraId="39AE2B90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Für eine Masterprüfung ist dieser Vergleich fast immer wichtig.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524"/>
      </w:tblGrid>
      <w:tr w:rsidR="00DF0701" w:rsidRPr="00DF0701" w14:paraId="22DD3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9F6F8" w14:textId="77777777" w:rsidR="00DF0701" w:rsidRPr="00DF0701" w:rsidRDefault="00DF0701" w:rsidP="00DF0701">
            <w:pPr>
              <w:rPr>
                <w:b/>
                <w:bCs/>
                <w:i/>
              </w:rPr>
            </w:pPr>
            <w:r w:rsidRPr="00DF0701">
              <w:rPr>
                <w:b/>
                <w:bCs/>
                <w:i/>
              </w:rPr>
              <w:t>Brown &amp; Payne</w:t>
            </w:r>
          </w:p>
        </w:tc>
        <w:tc>
          <w:tcPr>
            <w:tcW w:w="0" w:type="auto"/>
            <w:vAlign w:val="center"/>
            <w:hideMark/>
          </w:tcPr>
          <w:p w14:paraId="04148920" w14:textId="77777777" w:rsidR="00DF0701" w:rsidRPr="00DF0701" w:rsidRDefault="00DF0701" w:rsidP="00DF0701">
            <w:pPr>
              <w:rPr>
                <w:b/>
                <w:bCs/>
                <w:i/>
              </w:rPr>
            </w:pPr>
            <w:r w:rsidRPr="00DF0701">
              <w:rPr>
                <w:b/>
                <w:bCs/>
                <w:i/>
              </w:rPr>
              <w:t>King</w:t>
            </w:r>
          </w:p>
        </w:tc>
      </w:tr>
      <w:tr w:rsidR="00DF0701" w:rsidRPr="00DF0701" w14:paraId="50576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3958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Übergangsmatrizen</w:t>
            </w:r>
          </w:p>
        </w:tc>
        <w:tc>
          <w:tcPr>
            <w:tcW w:w="0" w:type="auto"/>
            <w:vAlign w:val="center"/>
            <w:hideMark/>
          </w:tcPr>
          <w:p w14:paraId="7FFAB750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meist Wählerwanderung</w:t>
            </w:r>
          </w:p>
        </w:tc>
      </w:tr>
      <w:tr w:rsidR="00DF0701" w:rsidRPr="00DF0701" w14:paraId="6DE8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D37C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Dirichlet-Heterogenität</w:t>
            </w:r>
          </w:p>
        </w:tc>
        <w:tc>
          <w:tcPr>
            <w:tcW w:w="0" w:type="auto"/>
            <w:vAlign w:val="center"/>
            <w:hideMark/>
          </w:tcPr>
          <w:p w14:paraId="69F8191B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Ja</w:t>
            </w:r>
          </w:p>
        </w:tc>
      </w:tr>
      <w:tr w:rsidR="00DF0701" w:rsidRPr="00DF0701" w14:paraId="0790A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1C66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Random Effects</w:t>
            </w:r>
          </w:p>
        </w:tc>
        <w:tc>
          <w:tcPr>
            <w:tcW w:w="0" w:type="auto"/>
            <w:vAlign w:val="center"/>
            <w:hideMark/>
          </w:tcPr>
          <w:p w14:paraId="750979C0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Ja</w:t>
            </w:r>
          </w:p>
        </w:tc>
      </w:tr>
      <w:tr w:rsidR="00DF0701" w:rsidRPr="00DF0701" w14:paraId="73BFC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0914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Bayesianisch?</w:t>
            </w:r>
          </w:p>
        </w:tc>
        <w:tc>
          <w:tcPr>
            <w:tcW w:w="0" w:type="auto"/>
            <w:vAlign w:val="center"/>
            <w:hideMark/>
          </w:tcPr>
          <w:p w14:paraId="748A2BD0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ursprünglich nein</w:t>
            </w:r>
          </w:p>
        </w:tc>
      </w:tr>
      <w:tr w:rsidR="00DF0701" w:rsidRPr="00DF0701" w14:paraId="5B56F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D124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Einfacher 2×2-Fall</w:t>
            </w:r>
          </w:p>
        </w:tc>
        <w:tc>
          <w:tcPr>
            <w:tcW w:w="0" w:type="auto"/>
            <w:vAlign w:val="center"/>
            <w:hideMark/>
          </w:tcPr>
          <w:p w14:paraId="74361F2D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weniger geeignet</w:t>
            </w:r>
          </w:p>
        </w:tc>
      </w:tr>
      <w:tr w:rsidR="00DF0701" w:rsidRPr="00DF0701" w14:paraId="604AB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35F9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Mehrparteiensysteme</w:t>
            </w:r>
          </w:p>
        </w:tc>
        <w:tc>
          <w:tcPr>
            <w:tcW w:w="0" w:type="auto"/>
            <w:vAlign w:val="center"/>
            <w:hideMark/>
          </w:tcPr>
          <w:p w14:paraId="738F6CB8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sehr gut</w:t>
            </w:r>
          </w:p>
        </w:tc>
      </w:tr>
      <w:tr w:rsidR="00DF0701" w:rsidRPr="00DF0701" w14:paraId="484CE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C38B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Politikwissenschaft</w:t>
            </w:r>
          </w:p>
        </w:tc>
        <w:tc>
          <w:tcPr>
            <w:tcW w:w="0" w:type="auto"/>
            <w:vAlign w:val="center"/>
            <w:hideMark/>
          </w:tcPr>
          <w:p w14:paraId="621E87CE" w14:textId="77777777" w:rsidR="00DF0701" w:rsidRPr="00DF0701" w:rsidRDefault="00DF0701" w:rsidP="00DF0701">
            <w:pPr>
              <w:rPr>
                <w:i/>
              </w:rPr>
            </w:pPr>
            <w:r w:rsidRPr="00DF0701">
              <w:rPr>
                <w:i/>
              </w:rPr>
              <w:t>Standard bis in die 1990er</w:t>
            </w:r>
          </w:p>
        </w:tc>
      </w:tr>
    </w:tbl>
    <w:p w14:paraId="487961CA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4082A975">
          <v:rect id="_x0000_i1159" style="width:0;height:1.5pt" o:hralign="center" o:hrstd="t" o:hr="t" fillcolor="#a0a0a0" stroked="f"/>
        </w:pict>
      </w:r>
    </w:p>
    <w:p w14:paraId="73A95CF8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12. Stärken</w:t>
      </w:r>
    </w:p>
    <w:p w14:paraId="43608716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Realistischere Annahmen</w:t>
      </w:r>
    </w:p>
    <w:p w14:paraId="692B2D88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Gemeinden dürfen unterschiedliche Übergangsmuster haben.</w:t>
      </w:r>
    </w:p>
    <w:p w14:paraId="387EB2BE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Mehrparteiensysteme</w:t>
      </w:r>
    </w:p>
    <w:p w14:paraId="6F9BF1EC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Besonders geeignet für:</w:t>
      </w:r>
    </w:p>
    <w:p w14:paraId="4C9CCED7" w14:textId="77777777" w:rsidR="00DF0701" w:rsidRPr="00DF0701" w:rsidRDefault="00DF0701" w:rsidP="00DF0701">
      <w:pPr>
        <w:numPr>
          <w:ilvl w:val="0"/>
          <w:numId w:val="9"/>
        </w:numPr>
        <w:rPr>
          <w:i/>
        </w:rPr>
      </w:pPr>
      <w:r w:rsidRPr="00DF0701">
        <w:rPr>
          <w:i/>
        </w:rPr>
        <w:t xml:space="preserve">Deutschland </w:t>
      </w:r>
    </w:p>
    <w:p w14:paraId="36B7DB5C" w14:textId="77777777" w:rsidR="00DF0701" w:rsidRPr="00DF0701" w:rsidRDefault="00DF0701" w:rsidP="00DF0701">
      <w:pPr>
        <w:numPr>
          <w:ilvl w:val="0"/>
          <w:numId w:val="9"/>
        </w:numPr>
        <w:rPr>
          <w:i/>
        </w:rPr>
      </w:pPr>
      <w:r w:rsidRPr="00DF0701">
        <w:rPr>
          <w:i/>
        </w:rPr>
        <w:t xml:space="preserve">Italien </w:t>
      </w:r>
    </w:p>
    <w:p w14:paraId="46671650" w14:textId="77777777" w:rsidR="00DF0701" w:rsidRPr="00DF0701" w:rsidRDefault="00DF0701" w:rsidP="00DF0701">
      <w:pPr>
        <w:numPr>
          <w:ilvl w:val="0"/>
          <w:numId w:val="9"/>
        </w:numPr>
        <w:rPr>
          <w:i/>
        </w:rPr>
      </w:pPr>
      <w:r w:rsidRPr="00DF0701">
        <w:rPr>
          <w:i/>
        </w:rPr>
        <w:t xml:space="preserve">Niederlande </w:t>
      </w:r>
    </w:p>
    <w:p w14:paraId="7BCFD63F" w14:textId="77777777" w:rsidR="00DF0701" w:rsidRPr="00DF0701" w:rsidRDefault="00DF0701" w:rsidP="00DF0701">
      <w:pPr>
        <w:numPr>
          <w:ilvl w:val="0"/>
          <w:numId w:val="9"/>
        </w:numPr>
        <w:rPr>
          <w:i/>
        </w:rPr>
      </w:pPr>
      <w:r w:rsidRPr="00DF0701">
        <w:rPr>
          <w:i/>
        </w:rPr>
        <w:t xml:space="preserve">Österreich </w:t>
      </w:r>
    </w:p>
    <w:p w14:paraId="6F5B3142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wo häufig 5–10 Parteien vorkommen.</w:t>
      </w:r>
    </w:p>
    <w:p w14:paraId="187DB348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lastRenderedPageBreak/>
        <w:t>Overdispersion</w:t>
      </w:r>
    </w:p>
    <w:p w14:paraId="29537FD7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Explizite Modellierung von Heterogenität.</w:t>
      </w:r>
    </w:p>
    <w:p w14:paraId="035C14CE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Hierarchische Interpretation</w:t>
      </w:r>
    </w:p>
    <w:p w14:paraId="7E96D110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Heute leicht als Mixed-Effects-Modell verständlich.</w:t>
      </w:r>
    </w:p>
    <w:p w14:paraId="7ADF55C9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6FABB728">
          <v:rect id="_x0000_i1160" style="width:0;height:1.5pt" o:hralign="center" o:hrstd="t" o:hr="t" fillcolor="#a0a0a0" stroked="f"/>
        </w:pict>
      </w:r>
    </w:p>
    <w:p w14:paraId="64EAED57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13. Schwächen</w:t>
      </w:r>
    </w:p>
    <w:p w14:paraId="239FFD0C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Identifizierbarkeit</w:t>
      </w:r>
    </w:p>
    <w:p w14:paraId="4BBB720D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Das ökologische Inferenzproblem bleibt bestehen.</w:t>
      </w:r>
    </w:p>
    <w:p w14:paraId="71133B81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Viele Übergangsmatrizen können dieselben Aggregatdaten erzeugen.</w:t>
      </w:r>
    </w:p>
    <w:p w14:paraId="09DEBB74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299E6894">
          <v:rect id="_x0000_i1161" style="width:0;height:1.5pt" o:hralign="center" o:hrstd="t" o:hr="t" fillcolor="#a0a0a0" stroked="f"/>
        </w:pict>
      </w:r>
    </w:p>
    <w:p w14:paraId="40CA00B8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Modellabhängigkeit</w:t>
      </w:r>
    </w:p>
    <w:p w14:paraId="208A79CC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Ergebnisse hängen stark von:</w:t>
      </w:r>
    </w:p>
    <w:p w14:paraId="7B6F509C" w14:textId="77777777" w:rsidR="00DF0701" w:rsidRPr="00DF0701" w:rsidRDefault="00DF0701" w:rsidP="00DF0701">
      <w:pPr>
        <w:numPr>
          <w:ilvl w:val="0"/>
          <w:numId w:val="10"/>
        </w:numPr>
        <w:rPr>
          <w:i/>
        </w:rPr>
      </w:pPr>
      <w:r w:rsidRPr="00DF0701">
        <w:rPr>
          <w:i/>
        </w:rPr>
        <w:t xml:space="preserve">Dirichlet-Annahme </w:t>
      </w:r>
    </w:p>
    <w:p w14:paraId="78747824" w14:textId="77777777" w:rsidR="00DF0701" w:rsidRPr="00DF0701" w:rsidRDefault="00DF0701" w:rsidP="00DF0701">
      <w:pPr>
        <w:numPr>
          <w:ilvl w:val="0"/>
          <w:numId w:val="10"/>
        </w:numPr>
        <w:rPr>
          <w:i/>
        </w:rPr>
      </w:pPr>
      <w:r w:rsidRPr="00DF0701">
        <w:rPr>
          <w:i/>
        </w:rPr>
        <w:t xml:space="preserve">Heterogenitätsstruktur </w:t>
      </w:r>
    </w:p>
    <w:p w14:paraId="2731E681" w14:textId="77777777" w:rsidR="00DF0701" w:rsidRPr="00DF0701" w:rsidRDefault="00DF0701" w:rsidP="00DF0701">
      <w:pPr>
        <w:numPr>
          <w:ilvl w:val="0"/>
          <w:numId w:val="10"/>
        </w:numPr>
        <w:rPr>
          <w:i/>
        </w:rPr>
      </w:pPr>
      <w:r w:rsidRPr="00DF0701">
        <w:rPr>
          <w:i/>
        </w:rPr>
        <w:t xml:space="preserve">Kovariaten </w:t>
      </w:r>
    </w:p>
    <w:p w14:paraId="4064AC38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ab.</w:t>
      </w:r>
    </w:p>
    <w:p w14:paraId="712FB383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3D1EB0BC">
          <v:rect id="_x0000_i1162" style="width:0;height:1.5pt" o:hralign="center" o:hrstd="t" o:hr="t" fillcolor="#a0a0a0" stroked="f"/>
        </w:pict>
      </w:r>
    </w:p>
    <w:p w14:paraId="4E069A41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Ecological Bias</w:t>
      </w:r>
    </w:p>
    <w:p w14:paraId="6E589E94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Wenn Übergangswahrscheinlichkeiten mit den beobachteten Randanteilen korreliert sind, entstehen weiterhin Verzerrungen.</w:t>
      </w:r>
    </w:p>
    <w:p w14:paraId="58C89457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Dies ist Robinsons klassisches Problem der ökologischen Korrelation.</w:t>
      </w:r>
    </w:p>
    <w:p w14:paraId="21EFC21F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5D6EF443">
          <v:rect id="_x0000_i1163" style="width:0;height:1.5pt" o:hralign="center" o:hrstd="t" o:hr="t" fillcolor="#a0a0a0" stroked="f"/>
        </w:pict>
      </w:r>
    </w:p>
    <w:p w14:paraId="05F6E40D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14. Moderne Interpretation</w:t>
      </w:r>
    </w:p>
    <w:p w14:paraId="6B977075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Heute würde man Brown &amp; Payne oft als folgendes Modell schreiben:</w:t>
      </w:r>
    </w:p>
    <w:p w14:paraId="2BC21903" w14:textId="0E55C710" w:rsidR="00DF0701" w:rsidRPr="00DF0701" w:rsidRDefault="00DF0701" w:rsidP="00DF07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∼Dirichlet(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=softmax(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∼Multinomial(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0466021" w14:textId="77777777" w:rsidR="00DF0701" w:rsidRPr="00DF0701" w:rsidRDefault="00DF0701" w:rsidP="00DF0701">
      <w:pPr>
        <w:rPr>
          <w:i/>
          <w:lang w:val="en-US"/>
        </w:rPr>
      </w:pPr>
      <w:r w:rsidRPr="00DF0701">
        <w:rPr>
          <w:i/>
          <w:lang w:val="en-US"/>
        </w:rPr>
        <w:t>also als</w:t>
      </w:r>
    </w:p>
    <w:p w14:paraId="36E2BC3D" w14:textId="77777777" w:rsidR="00DF0701" w:rsidRPr="00DF0701" w:rsidRDefault="00DF0701" w:rsidP="00DF0701">
      <w:pPr>
        <w:rPr>
          <w:i/>
          <w:lang w:val="en-US"/>
        </w:rPr>
      </w:pPr>
      <w:r w:rsidRPr="00DF0701">
        <w:rPr>
          <w:b/>
          <w:bCs/>
          <w:i/>
          <w:lang w:val="en-US"/>
        </w:rPr>
        <w:t>Bayesian hierarchical Dirichlet-Multinomial model for ecological inference.</w:t>
      </w:r>
    </w:p>
    <w:p w14:paraId="335C395E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Viele aktuelle Verfahren (MCMC, Stan, PyMC, INLA) sind direkte Weiterentwicklungen dieser Idee.</w:t>
      </w:r>
    </w:p>
    <w:p w14:paraId="74119061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pict w14:anchorId="049D91A0">
          <v:rect id="_x0000_i1164" style="width:0;height:1.5pt" o:hralign="center" o:hrstd="t" o:hr="t" fillcolor="#a0a0a0" stroked="f"/>
        </w:pict>
      </w:r>
    </w:p>
    <w:p w14:paraId="60DCD325" w14:textId="77777777" w:rsidR="00DF0701" w:rsidRPr="00DF0701" w:rsidRDefault="00DF0701" w:rsidP="00DF0701">
      <w:pPr>
        <w:rPr>
          <w:b/>
          <w:bCs/>
          <w:i/>
        </w:rPr>
      </w:pPr>
      <w:r w:rsidRPr="00DF0701">
        <w:rPr>
          <w:b/>
          <w:bCs/>
          <w:i/>
        </w:rPr>
        <w:t>Was man auf Masterniveau unbedingt verstehen sollte</w:t>
      </w:r>
    </w:p>
    <w:p w14:paraId="129D20AA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lastRenderedPageBreak/>
        <w:t xml:space="preserve">Die zentrale Innovation von Brown &amp; Payne ist </w:t>
      </w:r>
      <w:r w:rsidRPr="00DF0701">
        <w:rPr>
          <w:b/>
          <w:bCs/>
          <w:i/>
        </w:rPr>
        <w:t>nicht</w:t>
      </w:r>
      <w:r w:rsidRPr="00DF0701">
        <w:rPr>
          <w:i/>
        </w:rPr>
        <w:t xml:space="preserve"> die Schätzung einer Übergangsmatrix an sich.</w:t>
      </w:r>
    </w:p>
    <w:p w14:paraId="30FAD4A7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Die eigentliche Innovation ist:</w:t>
      </w:r>
    </w:p>
    <w:p w14:paraId="21BCDBAB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>Übergangswahrscheinlichkeiten werden als zufällige Größen betrachtet, die zwischen Gebieten variieren, und diese Heterogenität wird durch eine Dirichlet-Verteilung modelliert.</w:t>
      </w:r>
    </w:p>
    <w:p w14:paraId="6543F028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 xml:space="preserve">Dadurch entsteht ein </w:t>
      </w:r>
      <w:r w:rsidRPr="00DF0701">
        <w:rPr>
          <w:b/>
          <w:bCs/>
          <w:i/>
        </w:rPr>
        <w:t>Dirichlet-Multinomial-Modell mit Overdispersion</w:t>
      </w:r>
      <w:r w:rsidRPr="00DF0701">
        <w:rPr>
          <w:i/>
        </w:rPr>
        <w:t>, das wesentlich realistischer ist als Goodmans konstante Übergangsmatrix und den Grundstein für moderne hierarchische ökologische Inferenzmodelle gelegt hat.</w:t>
      </w:r>
    </w:p>
    <w:p w14:paraId="7A6121D8" w14:textId="77777777" w:rsidR="00DF0701" w:rsidRPr="00DF0701" w:rsidRDefault="00DF0701" w:rsidP="00DF0701">
      <w:pPr>
        <w:rPr>
          <w:i/>
        </w:rPr>
      </w:pPr>
      <w:r w:rsidRPr="00DF0701">
        <w:rPr>
          <w:i/>
        </w:rPr>
        <w:t xml:space="preserve">Als Prüfungsantwort in einem Masterkurs würde ich das Modell vor allem als </w:t>
      </w:r>
      <w:r w:rsidRPr="00DF0701">
        <w:rPr>
          <w:b/>
          <w:bCs/>
          <w:i/>
        </w:rPr>
        <w:t>hierarchisches Dirichlet-Multinomial-Modell für Wählerwanderungen mit gebietsspezifischen Random Effects</w:t>
      </w:r>
      <w:r w:rsidRPr="00DF0701">
        <w:rPr>
          <w:i/>
        </w:rPr>
        <w:t xml:space="preserve"> charakterisieren.</w:t>
      </w:r>
    </w:p>
    <w:p w14:paraId="03FD978A" w14:textId="77777777" w:rsidR="00032436" w:rsidRDefault="00032436">
      <w:pPr>
        <w:rPr>
          <w:i/>
        </w:rPr>
      </w:pPr>
    </w:p>
    <w:p w14:paraId="6FDC0BD9" w14:textId="77777777" w:rsidR="00032436" w:rsidRDefault="00032436">
      <w:pPr>
        <w:rPr>
          <w:i/>
        </w:rPr>
      </w:pPr>
    </w:p>
    <w:p w14:paraId="371417A5" w14:textId="77777777" w:rsidR="00032436" w:rsidRDefault="00032436">
      <w:pPr>
        <w:rPr>
          <w:i/>
        </w:rPr>
      </w:pPr>
    </w:p>
    <w:p w14:paraId="1A18CF15" w14:textId="77777777" w:rsidR="00032436" w:rsidRDefault="00032436">
      <w:pPr>
        <w:rPr>
          <w:i/>
        </w:rPr>
      </w:pPr>
      <w:r>
        <w:rPr>
          <w:i/>
        </w:rPr>
        <w:t>ANDERE MODELLE</w:t>
      </w:r>
    </w:p>
    <w:p w14:paraId="2FB075D6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 xml:space="preserve">Sehr gute Anschlussfrage. Die Modelle von </w:t>
      </w:r>
      <w:r w:rsidRPr="00032436">
        <w:rPr>
          <w:b/>
          <w:bCs/>
          <w:i/>
        </w:rPr>
        <w:t>Pavía &amp; Romero (lphom-Familie)</w:t>
      </w:r>
      <w:r w:rsidRPr="00032436">
        <w:rPr>
          <w:i/>
        </w:rPr>
        <w:t xml:space="preserve"> und </w:t>
      </w:r>
      <w:r w:rsidRPr="00032436">
        <w:rPr>
          <w:b/>
          <w:bCs/>
          <w:i/>
        </w:rPr>
        <w:t>Rosen et al. (eiMDBayes)</w:t>
      </w:r>
      <w:r w:rsidRPr="00032436">
        <w:rPr>
          <w:i/>
        </w:rPr>
        <w:t xml:space="preserve"> gehören zur neueren Generation der ökologischen Inferenz und versuchen, einige Schwächen klassischer Ansätze wie Goodman, Brown-Payne oder King zu beheben.</w:t>
      </w:r>
    </w:p>
    <w:p w14:paraId="1FA56BC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Man kann die Entwicklung grob so sehen:</w:t>
      </w:r>
    </w:p>
    <w:p w14:paraId="2823C33A" w14:textId="77777777" w:rsidR="00032436" w:rsidRPr="00032436" w:rsidRDefault="00032436" w:rsidP="00032436">
      <w:pPr>
        <w:numPr>
          <w:ilvl w:val="0"/>
          <w:numId w:val="11"/>
        </w:numPr>
        <w:rPr>
          <w:i/>
        </w:rPr>
      </w:pPr>
      <w:r w:rsidRPr="00032436">
        <w:rPr>
          <w:i/>
        </w:rPr>
        <w:t>Goodman (1953): lineares Regressionsmodell</w:t>
      </w:r>
    </w:p>
    <w:p w14:paraId="7F054210" w14:textId="77777777" w:rsidR="00032436" w:rsidRPr="00032436" w:rsidRDefault="00032436" w:rsidP="00032436">
      <w:pPr>
        <w:numPr>
          <w:ilvl w:val="0"/>
          <w:numId w:val="11"/>
        </w:numPr>
        <w:rPr>
          <w:i/>
        </w:rPr>
      </w:pPr>
      <w:r w:rsidRPr="00032436">
        <w:rPr>
          <w:i/>
        </w:rPr>
        <w:t>Brown &amp; Payne (1986): Dirichlet-Multinomial mit Heterogenität</w:t>
      </w:r>
    </w:p>
    <w:p w14:paraId="07C45049" w14:textId="77777777" w:rsidR="00032436" w:rsidRPr="00032436" w:rsidRDefault="00032436" w:rsidP="00032436">
      <w:pPr>
        <w:numPr>
          <w:ilvl w:val="0"/>
          <w:numId w:val="11"/>
        </w:numPr>
        <w:rPr>
          <w:i/>
        </w:rPr>
      </w:pPr>
      <w:r w:rsidRPr="00032436">
        <w:rPr>
          <w:i/>
        </w:rPr>
        <w:t>King (1997): Bayesianische ökologische Inferenz für 2×2-Tabellen</w:t>
      </w:r>
    </w:p>
    <w:p w14:paraId="1148A65D" w14:textId="77777777" w:rsidR="00032436" w:rsidRPr="00032436" w:rsidRDefault="00032436" w:rsidP="00032436">
      <w:pPr>
        <w:numPr>
          <w:ilvl w:val="0"/>
          <w:numId w:val="11"/>
        </w:numPr>
        <w:rPr>
          <w:i/>
        </w:rPr>
      </w:pPr>
      <w:r w:rsidRPr="00032436">
        <w:rPr>
          <w:i/>
        </w:rPr>
        <w:t>Pavía &amp; Romero (2000er–2010er): Local-Homogeneity-Ansätze (lphom)</w:t>
      </w:r>
    </w:p>
    <w:p w14:paraId="2B22E6D9" w14:textId="77777777" w:rsidR="00032436" w:rsidRPr="00032436" w:rsidRDefault="00032436" w:rsidP="00032436">
      <w:pPr>
        <w:numPr>
          <w:ilvl w:val="0"/>
          <w:numId w:val="11"/>
        </w:numPr>
        <w:rPr>
          <w:i/>
        </w:rPr>
      </w:pPr>
      <w:r w:rsidRPr="00032436">
        <w:rPr>
          <w:i/>
        </w:rPr>
        <w:t>Rosen et al. (2001 ff.): Bayesianische Multidimensionale Modelle (eiMD / eiMDBayes)</w:t>
      </w:r>
    </w:p>
    <w:p w14:paraId="74FEDAF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3DCAFE65">
          <v:rect id="_x0000_i1485" style="width:0;height:1.5pt" o:hralign="center" o:hrstd="t" o:hr="t" fillcolor="#a0a0a0" stroked="f"/>
        </w:pict>
      </w:r>
    </w:p>
    <w:p w14:paraId="7023F2AD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1. Die Grundproblematik aller ökologischen Inferenzmodelle</w:t>
      </w:r>
    </w:p>
    <w:p w14:paraId="2E21BDE0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Gegeben sind wieder:</w:t>
      </w:r>
    </w:p>
    <w:p w14:paraId="5F7E0AE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Für Gebiet (k)</w:t>
      </w:r>
    </w:p>
    <w:p w14:paraId="0175E3B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Vergangene Wahl:</w:t>
      </w:r>
    </w:p>
    <w:p w14:paraId="22ACBC9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x_{ik}</w:t>
      </w:r>
      <w:r w:rsidRPr="00032436">
        <w:rPr>
          <w:i/>
        </w:rPr>
        <w:br/>
        <w:t>]</w:t>
      </w:r>
    </w:p>
    <w:p w14:paraId="57CCBF8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Aktuelle Wahl:</w:t>
      </w:r>
    </w:p>
    <w:p w14:paraId="64DCAA5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y_{jk}</w:t>
      </w:r>
      <w:r w:rsidRPr="00032436">
        <w:rPr>
          <w:i/>
        </w:rPr>
        <w:br/>
        <w:t>]</w:t>
      </w:r>
    </w:p>
    <w:p w14:paraId="007FE3B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lastRenderedPageBreak/>
        <w:t>Gesucht:</w:t>
      </w:r>
    </w:p>
    <w:p w14:paraId="454F8C9E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[</w:t>
      </w:r>
      <w:r w:rsidRPr="00032436">
        <w:rPr>
          <w:b/>
          <w:bCs/>
          <w:i/>
        </w:rPr>
        <w:br/>
        <w:t>p_{ijk}</w:t>
      </w:r>
    </w:p>
    <w:p w14:paraId="17D2588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P(j|i)</w:t>
      </w:r>
      <w:r w:rsidRPr="00032436">
        <w:rPr>
          <w:i/>
        </w:rPr>
        <w:br/>
        <w:t>]</w:t>
      </w:r>
    </w:p>
    <w:p w14:paraId="7B9AEAC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bzw. die vollständige Kontingenztafel</w:t>
      </w:r>
    </w:p>
    <w:p w14:paraId="012E269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N_{ijk}.</w:t>
      </w:r>
      <w:r w:rsidRPr="00032436">
        <w:rPr>
          <w:i/>
        </w:rPr>
        <w:br/>
        <w:t>]</w:t>
      </w:r>
    </w:p>
    <w:p w14:paraId="628C502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2F8E3EDC">
          <v:rect id="_x0000_i1486" style="width:0;height:1.5pt" o:hralign="center" o:hrstd="t" o:hr="t" fillcolor="#a0a0a0" stroked="f"/>
        </w:pict>
      </w:r>
    </w:p>
    <w:p w14:paraId="3BEB5FA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Das Identifikationsproblem bleibt:</w:t>
      </w:r>
    </w:p>
    <w:p w14:paraId="4FC06DAB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Aus</w:t>
      </w:r>
    </w:p>
    <w:p w14:paraId="243C0C3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\mathbf X</w:t>
      </w:r>
      <w:r w:rsidRPr="00032436">
        <w:rPr>
          <w:i/>
        </w:rPr>
        <w:br/>
        <w:t>]</w:t>
      </w:r>
    </w:p>
    <w:p w14:paraId="2EAD84A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und</w:t>
      </w:r>
    </w:p>
    <w:p w14:paraId="51C7D3D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\mathbf Y</w:t>
      </w:r>
      <w:r w:rsidRPr="00032436">
        <w:rPr>
          <w:i/>
        </w:rPr>
        <w:br/>
        <w:t>]</w:t>
      </w:r>
    </w:p>
    <w:p w14:paraId="7A17982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kann man die internen Zellzahlen nicht eindeutig rekonstruieren.</w:t>
      </w:r>
    </w:p>
    <w:p w14:paraId="76350C5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Alle modernen Verfahren unterscheiden sich deshalb hauptsächlich darin,</w:t>
      </w:r>
    </w:p>
    <w:p w14:paraId="6C26A53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welche Zusatzannahmen sie zur Identifikation einführen.</w:t>
      </w:r>
    </w:p>
    <w:p w14:paraId="219E145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7F0E5369">
          <v:rect id="_x0000_i1487" style="width:0;height:1.5pt" o:hralign="center" o:hrstd="t" o:hr="t" fillcolor="#a0a0a0" stroked="f"/>
        </w:pict>
      </w:r>
    </w:p>
    <w:p w14:paraId="487E2458" w14:textId="77777777" w:rsidR="00032436" w:rsidRPr="00032436" w:rsidRDefault="00032436" w:rsidP="00032436">
      <w:pPr>
        <w:rPr>
          <w:b/>
          <w:bCs/>
          <w:i/>
          <w:lang w:val="en-US"/>
        </w:rPr>
      </w:pPr>
      <w:r w:rsidRPr="00032436">
        <w:rPr>
          <w:b/>
          <w:bCs/>
          <w:i/>
          <w:lang w:val="en-US"/>
        </w:rPr>
        <w:t>Teil I: lphom-Familie (Pavía &amp; Romero)</w:t>
      </w:r>
    </w:p>
    <w:p w14:paraId="2A45114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63A2ED03">
          <v:rect id="_x0000_i1488" style="width:0;height:1.5pt" o:hralign="center" o:hrstd="t" o:hr="t" fillcolor="#a0a0a0" stroked="f"/>
        </w:pict>
      </w:r>
    </w:p>
    <w:p w14:paraId="36B55578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2. Motivation von Pavía &amp; Romero</w:t>
      </w:r>
    </w:p>
    <w:p w14:paraId="659CB3A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Brown-Payne und King machen globale Modellannahmen:</w:t>
      </w:r>
    </w:p>
    <w:p w14:paraId="47A536C8" w14:textId="77777777" w:rsidR="00032436" w:rsidRPr="00032436" w:rsidRDefault="00032436" w:rsidP="00032436">
      <w:pPr>
        <w:numPr>
          <w:ilvl w:val="0"/>
          <w:numId w:val="12"/>
        </w:numPr>
        <w:rPr>
          <w:i/>
        </w:rPr>
      </w:pPr>
      <w:r w:rsidRPr="00032436">
        <w:rPr>
          <w:i/>
        </w:rPr>
        <w:t>gleiche Verteilungen</w:t>
      </w:r>
    </w:p>
    <w:p w14:paraId="28336F13" w14:textId="77777777" w:rsidR="00032436" w:rsidRPr="00032436" w:rsidRDefault="00032436" w:rsidP="00032436">
      <w:pPr>
        <w:numPr>
          <w:ilvl w:val="0"/>
          <w:numId w:val="12"/>
        </w:numPr>
        <w:rPr>
          <w:i/>
        </w:rPr>
      </w:pPr>
      <w:r w:rsidRPr="00032436">
        <w:rPr>
          <w:i/>
        </w:rPr>
        <w:t>gemeinsame Hyperparameter</w:t>
      </w:r>
    </w:p>
    <w:p w14:paraId="5838EC44" w14:textId="77777777" w:rsidR="00032436" w:rsidRPr="00032436" w:rsidRDefault="00032436" w:rsidP="00032436">
      <w:pPr>
        <w:numPr>
          <w:ilvl w:val="0"/>
          <w:numId w:val="12"/>
        </w:numPr>
        <w:rPr>
          <w:i/>
        </w:rPr>
      </w:pPr>
      <w:r w:rsidRPr="00032436">
        <w:rPr>
          <w:i/>
        </w:rPr>
        <w:t>gemeinsame Prioren</w:t>
      </w:r>
    </w:p>
    <w:p w14:paraId="1ACCC7AB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Pavía und Romero argumentieren:</w:t>
      </w:r>
    </w:p>
    <w:p w14:paraId="3D14B23B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Wählerverhalten ist häufig lokal homogener als global homogen.</w:t>
      </w:r>
    </w:p>
    <w:p w14:paraId="5E06435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Beispiel:</w:t>
      </w:r>
    </w:p>
    <w:p w14:paraId="3153675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In Bayern ähneln sich Nachbargemeinden.</w:t>
      </w:r>
    </w:p>
    <w:p w14:paraId="67B0F1B6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Nicht unbedingt aber:</w:t>
      </w:r>
    </w:p>
    <w:p w14:paraId="0A35C34A" w14:textId="77777777" w:rsidR="00032436" w:rsidRPr="00032436" w:rsidRDefault="00032436" w:rsidP="00032436">
      <w:pPr>
        <w:numPr>
          <w:ilvl w:val="0"/>
          <w:numId w:val="13"/>
        </w:numPr>
        <w:rPr>
          <w:i/>
        </w:rPr>
      </w:pPr>
      <w:r w:rsidRPr="00032436">
        <w:rPr>
          <w:i/>
        </w:rPr>
        <w:lastRenderedPageBreak/>
        <w:t>Bayern ↔ Berlin</w:t>
      </w:r>
    </w:p>
    <w:p w14:paraId="4B919E23" w14:textId="77777777" w:rsidR="00032436" w:rsidRPr="00032436" w:rsidRDefault="00032436" w:rsidP="00032436">
      <w:pPr>
        <w:numPr>
          <w:ilvl w:val="0"/>
          <w:numId w:val="13"/>
        </w:numPr>
        <w:rPr>
          <w:i/>
        </w:rPr>
      </w:pPr>
      <w:r w:rsidRPr="00032436">
        <w:rPr>
          <w:i/>
        </w:rPr>
        <w:t>Bayern ↔ Hamburg</w:t>
      </w:r>
    </w:p>
    <w:p w14:paraId="2C6C7DA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7C6B6E51">
          <v:rect id="_x0000_i1489" style="width:0;height:1.5pt" o:hralign="center" o:hrstd="t" o:hr="t" fillcolor="#a0a0a0" stroked="f"/>
        </w:pict>
      </w:r>
    </w:p>
    <w:p w14:paraId="591D60C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Die Idee:</w:t>
      </w:r>
    </w:p>
    <w:p w14:paraId="5717C9A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Statt globale Homogenität anzunehmen,</w:t>
      </w:r>
    </w:p>
    <w:p w14:paraId="46A0E1F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nimmt man an:</w:t>
      </w:r>
    </w:p>
    <w:p w14:paraId="2508AA3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p_{ijk}</w:t>
      </w:r>
      <w:r w:rsidRPr="00032436">
        <w:rPr>
          <w:i/>
        </w:rPr>
        <w:br/>
        <w:t>]</w:t>
      </w:r>
    </w:p>
    <w:p w14:paraId="58764396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ist lokal ähnlich.</w:t>
      </w:r>
    </w:p>
    <w:p w14:paraId="4C0BC24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40741EA6">
          <v:rect id="_x0000_i1490" style="width:0;height:1.5pt" o:hralign="center" o:hrstd="t" o:hr="t" fillcolor="#a0a0a0" stroked="f"/>
        </w:pict>
      </w:r>
    </w:p>
    <w:p w14:paraId="7A2845F9" w14:textId="77777777" w:rsidR="00032436" w:rsidRPr="00032436" w:rsidRDefault="00032436" w:rsidP="00032436">
      <w:pPr>
        <w:rPr>
          <w:b/>
          <w:bCs/>
          <w:i/>
          <w:lang w:val="en-US"/>
        </w:rPr>
      </w:pPr>
      <w:r w:rsidRPr="00032436">
        <w:rPr>
          <w:b/>
          <w:bCs/>
          <w:i/>
          <w:lang w:val="en-US"/>
        </w:rPr>
        <w:t>3. LPHOM = Local Proportional Homogeneity</w:t>
      </w:r>
    </w:p>
    <w:p w14:paraId="76116627" w14:textId="77777777" w:rsidR="00032436" w:rsidRPr="00032436" w:rsidRDefault="00032436" w:rsidP="00032436">
      <w:pPr>
        <w:rPr>
          <w:i/>
          <w:lang w:val="en-US"/>
        </w:rPr>
      </w:pPr>
      <w:r w:rsidRPr="00032436">
        <w:rPr>
          <w:i/>
          <w:lang w:val="en-US"/>
        </w:rPr>
        <w:t>Der Name bedeutet:</w:t>
      </w:r>
    </w:p>
    <w:p w14:paraId="1488DA62" w14:textId="77777777" w:rsidR="00032436" w:rsidRPr="00032436" w:rsidRDefault="00032436" w:rsidP="00032436">
      <w:pPr>
        <w:rPr>
          <w:i/>
          <w:lang w:val="en-US"/>
        </w:rPr>
      </w:pPr>
      <w:r w:rsidRPr="00032436">
        <w:rPr>
          <w:b/>
          <w:bCs/>
          <w:i/>
          <w:lang w:val="en-US"/>
        </w:rPr>
        <w:t>Local Proportional Homogeneity</w:t>
      </w:r>
    </w:p>
    <w:p w14:paraId="612EB0F3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41C89EA5">
          <v:rect id="_x0000_i1491" style="width:0;height:1.5pt" o:hralign="center" o:hrstd="t" o:hr="t" fillcolor="#a0a0a0" stroked="f"/>
        </w:pict>
      </w:r>
    </w:p>
    <w:p w14:paraId="574741D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Annahme:</w:t>
      </w:r>
    </w:p>
    <w:p w14:paraId="63B53CE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Benachbarte Gebiete besitzen ähnliche Übergangswahrscheinlichkeiten.</w:t>
      </w:r>
    </w:p>
    <w:p w14:paraId="3AEE506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Formal:</w:t>
      </w:r>
    </w:p>
    <w:p w14:paraId="6390054A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Für zwei nahe Gebiete</w:t>
      </w:r>
    </w:p>
    <w:p w14:paraId="2727E1B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k</w:t>
      </w:r>
      <w:r w:rsidRPr="00032436">
        <w:rPr>
          <w:i/>
        </w:rPr>
        <w:br/>
        <w:t>]</w:t>
      </w:r>
    </w:p>
    <w:p w14:paraId="400B10A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und</w:t>
      </w:r>
    </w:p>
    <w:p w14:paraId="038ADB7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l</w:t>
      </w:r>
      <w:r w:rsidRPr="00032436">
        <w:rPr>
          <w:i/>
        </w:rPr>
        <w:br/>
        <w:t>]</w:t>
      </w:r>
    </w:p>
    <w:p w14:paraId="011152C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gilt näherungsweise</w:t>
      </w:r>
    </w:p>
    <w:p w14:paraId="10A2204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p_{ijk}</w:t>
      </w:r>
      <w:r w:rsidRPr="00032436">
        <w:rPr>
          <w:i/>
        </w:rPr>
        <w:br/>
        <w:t>\approx</w:t>
      </w:r>
      <w:r w:rsidRPr="00032436">
        <w:rPr>
          <w:i/>
        </w:rPr>
        <w:br/>
        <w:t>p_{ijl}.</w:t>
      </w:r>
      <w:r w:rsidRPr="00032436">
        <w:rPr>
          <w:i/>
        </w:rPr>
        <w:br/>
        <w:t>]</w:t>
      </w:r>
    </w:p>
    <w:p w14:paraId="36BDC25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487AFFB3">
          <v:rect id="_x0000_i1492" style="width:0;height:1.5pt" o:hralign="center" o:hrstd="t" o:hr="t" fillcolor="#a0a0a0" stroked="f"/>
        </w:pict>
      </w:r>
    </w:p>
    <w:p w14:paraId="28D4D0C5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Nicht:</w:t>
      </w:r>
    </w:p>
    <w:p w14:paraId="0759D2D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lastRenderedPageBreak/>
        <w:t>[</w:t>
      </w:r>
      <w:r w:rsidRPr="00032436">
        <w:rPr>
          <w:i/>
        </w:rPr>
        <w:br/>
        <w:t>p_{ijk}=p_{ij}</w:t>
      </w:r>
      <w:r w:rsidRPr="00032436">
        <w:rPr>
          <w:i/>
        </w:rPr>
        <w:br/>
        <w:t>]</w:t>
      </w:r>
    </w:p>
    <w:p w14:paraId="1BFB0BBB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für alle Gebiete.</w:t>
      </w:r>
    </w:p>
    <w:p w14:paraId="08FDB53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Sondern:</w:t>
      </w:r>
    </w:p>
    <w:p w14:paraId="081CCB6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p_{ijk}</w:t>
      </w:r>
      <w:r w:rsidRPr="00032436">
        <w:rPr>
          <w:i/>
        </w:rPr>
        <w:br/>
        <w:t>]</w:t>
      </w:r>
    </w:p>
    <w:p w14:paraId="53B3130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ändert sich langsam im Raum.</w:t>
      </w:r>
    </w:p>
    <w:p w14:paraId="17ED64E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31B0551D">
          <v:rect id="_x0000_i1493" style="width:0;height:1.5pt" o:hralign="center" o:hrstd="t" o:hr="t" fillcolor="#a0a0a0" stroked="f"/>
        </w:pict>
      </w:r>
    </w:p>
    <w:p w14:paraId="0945EE8F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4. Lokale Schätzung</w:t>
      </w:r>
    </w:p>
    <w:p w14:paraId="5ADD8D3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Anstatt alle Gebiete gleichzeitig zu verwenden:</w:t>
      </w:r>
    </w:p>
    <w:p w14:paraId="008013D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Für Gebiet (k)</w:t>
      </w:r>
    </w:p>
    <w:p w14:paraId="4C86A953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nimmt man ein lokales Fenster</w:t>
      </w:r>
    </w:p>
    <w:p w14:paraId="651ABD2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N(k)</w:t>
      </w:r>
      <w:r w:rsidRPr="00032436">
        <w:rPr>
          <w:i/>
        </w:rPr>
        <w:br/>
        <w:t>]</w:t>
      </w:r>
    </w:p>
    <w:p w14:paraId="4DD76AF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von Nachbarn.</w:t>
      </w:r>
    </w:p>
    <w:p w14:paraId="5C2F71DA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Dann wird geschätzt:</w:t>
      </w:r>
    </w:p>
    <w:p w14:paraId="232F962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\hat p_{ijk}</w:t>
      </w:r>
      <w:r w:rsidRPr="00032436">
        <w:rPr>
          <w:i/>
        </w:rPr>
        <w:br/>
        <w:t>]</w:t>
      </w:r>
    </w:p>
    <w:p w14:paraId="73A04DD3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unter Nutzung dieser Nachbarschaft.</w:t>
      </w:r>
    </w:p>
    <w:p w14:paraId="67D69AE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54BE0044">
          <v:rect id="_x0000_i1494" style="width:0;height:1.5pt" o:hralign="center" o:hrstd="t" o:hr="t" fillcolor="#a0a0a0" stroked="f"/>
        </w:pict>
      </w:r>
    </w:p>
    <w:p w14:paraId="2F0258E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Idee ähnlich wie:</w:t>
      </w:r>
    </w:p>
    <w:p w14:paraId="081A6C58" w14:textId="77777777" w:rsidR="00032436" w:rsidRPr="00032436" w:rsidRDefault="00032436" w:rsidP="00032436">
      <w:pPr>
        <w:numPr>
          <w:ilvl w:val="0"/>
          <w:numId w:val="14"/>
        </w:numPr>
        <w:rPr>
          <w:i/>
        </w:rPr>
      </w:pPr>
      <w:r w:rsidRPr="00032436">
        <w:rPr>
          <w:i/>
        </w:rPr>
        <w:t>Kernel Regression</w:t>
      </w:r>
    </w:p>
    <w:p w14:paraId="78BB2330" w14:textId="77777777" w:rsidR="00032436" w:rsidRPr="00032436" w:rsidRDefault="00032436" w:rsidP="00032436">
      <w:pPr>
        <w:numPr>
          <w:ilvl w:val="0"/>
          <w:numId w:val="14"/>
        </w:numPr>
        <w:rPr>
          <w:i/>
        </w:rPr>
      </w:pPr>
      <w:r w:rsidRPr="00032436">
        <w:rPr>
          <w:i/>
        </w:rPr>
        <w:t>LOESS</w:t>
      </w:r>
    </w:p>
    <w:p w14:paraId="3E41E39F" w14:textId="77777777" w:rsidR="00032436" w:rsidRPr="00032436" w:rsidRDefault="00032436" w:rsidP="00032436">
      <w:pPr>
        <w:numPr>
          <w:ilvl w:val="0"/>
          <w:numId w:val="14"/>
        </w:numPr>
        <w:rPr>
          <w:i/>
        </w:rPr>
      </w:pPr>
      <w:r w:rsidRPr="00032436">
        <w:rPr>
          <w:i/>
        </w:rPr>
        <w:t>Spatial Smoothing</w:t>
      </w:r>
    </w:p>
    <w:p w14:paraId="00C615EB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181D1C87">
          <v:rect id="_x0000_i1495" style="width:0;height:1.5pt" o:hralign="center" o:hrstd="t" o:hr="t" fillcolor="#a0a0a0" stroked="f"/>
        </w:pict>
      </w:r>
    </w:p>
    <w:p w14:paraId="4A4392F7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5. Die zentrale Annahme</w:t>
      </w:r>
    </w:p>
    <w:p w14:paraId="1D69E93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Für kleine Nachbarschaften gilt:</w:t>
      </w:r>
    </w:p>
    <w:p w14:paraId="0324E655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[</w:t>
      </w:r>
      <w:r w:rsidRPr="00032436">
        <w:rPr>
          <w:b/>
          <w:bCs/>
          <w:i/>
        </w:rPr>
        <w:br/>
        <w:t>p_{ijk}</w:t>
      </w:r>
    </w:p>
    <w:p w14:paraId="39A50E5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p_{ij}^{(k)}</w:t>
      </w:r>
      <w:r w:rsidRPr="00032436">
        <w:rPr>
          <w:i/>
        </w:rPr>
        <w:br/>
        <w:t>]</w:t>
      </w:r>
    </w:p>
    <w:p w14:paraId="0C22FF3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lastRenderedPageBreak/>
        <w:t>konstant.</w:t>
      </w:r>
    </w:p>
    <w:p w14:paraId="35A4A30A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2FDC2922">
          <v:rect id="_x0000_i1496" style="width:0;height:1.5pt" o:hralign="center" o:hrstd="t" o:hr="t" fillcolor="#a0a0a0" stroked="f"/>
        </w:pict>
      </w:r>
    </w:p>
    <w:p w14:paraId="080F7ED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Man schätzt also viele kleine lokale Modelle.</w:t>
      </w:r>
    </w:p>
    <w:p w14:paraId="5582C205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Dadurch entstehen:</w:t>
      </w:r>
    </w:p>
    <w:p w14:paraId="145A1C93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\hat p_{ij}^{(1)},</w:t>
      </w:r>
      <w:r w:rsidRPr="00032436">
        <w:rPr>
          <w:i/>
        </w:rPr>
        <w:br/>
        <w:t>\hat p_{ij}^{(2)},</w:t>
      </w:r>
      <w:r w:rsidRPr="00032436">
        <w:rPr>
          <w:i/>
        </w:rPr>
        <w:br/>
        <w:t>\dots</w:t>
      </w:r>
      <w:r w:rsidRPr="00032436">
        <w:rPr>
          <w:i/>
        </w:rPr>
        <w:br/>
        <w:t>]</w:t>
      </w:r>
    </w:p>
    <w:p w14:paraId="6006F650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statt einer einzigen nationalen Matrix.</w:t>
      </w:r>
    </w:p>
    <w:p w14:paraId="06243CC6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2C22B8C5">
          <v:rect id="_x0000_i1497" style="width:0;height:1.5pt" o:hralign="center" o:hrstd="t" o:hr="t" fillcolor="#a0a0a0" stroked="f"/>
        </w:pict>
      </w:r>
    </w:p>
    <w:p w14:paraId="373C2603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6. Räumliche Gewichtung</w:t>
      </w:r>
    </w:p>
    <w:p w14:paraId="198B0FC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Typisch:</w:t>
      </w:r>
    </w:p>
    <w:p w14:paraId="06E8A168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[</w:t>
      </w:r>
      <w:r w:rsidRPr="00032436">
        <w:rPr>
          <w:b/>
          <w:bCs/>
          <w:i/>
        </w:rPr>
        <w:br/>
        <w:t>w_{kl}</w:t>
      </w:r>
    </w:p>
    <w:p w14:paraId="2584C60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K(d_{kl})</w:t>
      </w:r>
      <w:r w:rsidRPr="00032436">
        <w:rPr>
          <w:i/>
        </w:rPr>
        <w:br/>
        <w:t>]</w:t>
      </w:r>
    </w:p>
    <w:p w14:paraId="71AE040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mit</w:t>
      </w:r>
    </w:p>
    <w:p w14:paraId="3BDDB306" w14:textId="77777777" w:rsidR="00032436" w:rsidRPr="00032436" w:rsidRDefault="00032436" w:rsidP="00032436">
      <w:pPr>
        <w:numPr>
          <w:ilvl w:val="0"/>
          <w:numId w:val="15"/>
        </w:numPr>
        <w:rPr>
          <w:i/>
        </w:rPr>
      </w:pPr>
      <w:r w:rsidRPr="00032436">
        <w:rPr>
          <w:i/>
        </w:rPr>
        <w:t>Distanz (d_{kl})</w:t>
      </w:r>
    </w:p>
    <w:p w14:paraId="4329BA6E" w14:textId="77777777" w:rsidR="00032436" w:rsidRPr="00032436" w:rsidRDefault="00032436" w:rsidP="00032436">
      <w:pPr>
        <w:numPr>
          <w:ilvl w:val="0"/>
          <w:numId w:val="15"/>
        </w:numPr>
        <w:rPr>
          <w:i/>
        </w:rPr>
      </w:pPr>
      <w:r w:rsidRPr="00032436">
        <w:rPr>
          <w:i/>
        </w:rPr>
        <w:t>Kernel (K)</w:t>
      </w:r>
    </w:p>
    <w:p w14:paraId="32E1F23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Beispiele:</w:t>
      </w:r>
    </w:p>
    <w:p w14:paraId="2116032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Gaussian Kernel</w:t>
      </w:r>
    </w:p>
    <w:p w14:paraId="648464A2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[</w:t>
      </w:r>
      <w:r w:rsidRPr="00032436">
        <w:rPr>
          <w:b/>
          <w:bCs/>
          <w:i/>
        </w:rPr>
        <w:br/>
        <w:t>w_{kl}</w:t>
      </w:r>
    </w:p>
    <w:p w14:paraId="461576CA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\exp(-d_{kl}^2/h^2)</w:t>
      </w:r>
      <w:r w:rsidRPr="00032436">
        <w:rPr>
          <w:i/>
        </w:rPr>
        <w:br/>
        <w:t>]</w:t>
      </w:r>
    </w:p>
    <w:p w14:paraId="407AF85A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4B1738FB">
          <v:rect id="_x0000_i1498" style="width:0;height:1.5pt" o:hralign="center" o:hrstd="t" o:hr="t" fillcolor="#a0a0a0" stroked="f"/>
        </w:pict>
      </w:r>
    </w:p>
    <w:p w14:paraId="48966DC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Nahe Gebiete erhalten großes Gewicht.</w:t>
      </w:r>
    </w:p>
    <w:p w14:paraId="4DFE90B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Entfernte Gebiete kleines Gewicht.</w:t>
      </w:r>
    </w:p>
    <w:p w14:paraId="3A03588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54F1BFBC">
          <v:rect id="_x0000_i1499" style="width:0;height:1.5pt" o:hralign="center" o:hrstd="t" o:hr="t" fillcolor="#a0a0a0" stroked="f"/>
        </w:pict>
      </w:r>
    </w:p>
    <w:p w14:paraId="2D684A40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7. Warum funktioniert das?</w:t>
      </w:r>
    </w:p>
    <w:p w14:paraId="14F541D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Das eigentliche ökologische Problem wird durch lokale Homogenität entschärft.</w:t>
      </w:r>
    </w:p>
    <w:p w14:paraId="1FEC48C6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Wenn Nachbargebiete sehr ähnliche Wählerwanderungen haben,</w:t>
      </w:r>
    </w:p>
    <w:p w14:paraId="46B0A21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liefert die lokale Information zusätzliche Identifikation.</w:t>
      </w:r>
    </w:p>
    <w:p w14:paraId="0146C46B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5955853C">
          <v:rect id="_x0000_i1500" style="width:0;height:1.5pt" o:hralign="center" o:hrstd="t" o:hr="t" fillcolor="#a0a0a0" stroked="f"/>
        </w:pict>
      </w:r>
    </w:p>
    <w:p w14:paraId="12E9E69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lastRenderedPageBreak/>
        <w:t>Man könnte sagen:</w:t>
      </w:r>
    </w:p>
    <w:p w14:paraId="3240A8D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Brown-Payne nutzt</w:t>
      </w:r>
    </w:p>
    <w:p w14:paraId="75993D7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statistische Heterogenitätsannahmen</w:t>
      </w:r>
    </w:p>
    <w:p w14:paraId="12D7F72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lphom nutzt</w:t>
      </w:r>
    </w:p>
    <w:p w14:paraId="023076A6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räumliche Strukturannahmen</w:t>
      </w:r>
    </w:p>
    <w:p w14:paraId="184460A0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40E524E4">
          <v:rect id="_x0000_i1501" style="width:0;height:1.5pt" o:hralign="center" o:hrstd="t" o:hr="t" fillcolor="#a0a0a0" stroked="f"/>
        </w:pict>
      </w:r>
    </w:p>
    <w:p w14:paraId="123B94F3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8. Vorteile</w:t>
      </w:r>
    </w:p>
    <w:p w14:paraId="12CDE8F3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Weniger Modellabhängigkeit</w:t>
      </w:r>
    </w:p>
    <w:p w14:paraId="006E6E60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Keine globale Dirichlet-Verteilung nötig.</w:t>
      </w:r>
    </w:p>
    <w:p w14:paraId="278CFFEA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Sehr gut für Wahlen</w:t>
      </w:r>
    </w:p>
    <w:p w14:paraId="67427FD6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Wahlverhalten ist räumlich stark korreliert.</w:t>
      </w:r>
    </w:p>
    <w:p w14:paraId="7D2F1330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Robust gegenüber Ausreißern</w:t>
      </w:r>
    </w:p>
    <w:p w14:paraId="120003E3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Nationale Sonderfälle beeinflussen lokale Schätzungen weniger.</w:t>
      </w:r>
    </w:p>
    <w:p w14:paraId="25A1E13A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31C50D5B">
          <v:rect id="_x0000_i1502" style="width:0;height:1.5pt" o:hralign="center" o:hrstd="t" o:hr="t" fillcolor="#a0a0a0" stroked="f"/>
        </w:pict>
      </w:r>
    </w:p>
    <w:p w14:paraId="4E4A25AB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9. Nachteile</w:t>
      </w:r>
    </w:p>
    <w:p w14:paraId="0D93E26C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Räumliche Homogenität muss existieren</w:t>
      </w:r>
    </w:p>
    <w:p w14:paraId="7D61FFC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Wenn Nachbarn sehr unterschiedlich sind:</w:t>
      </w:r>
    </w:p>
    <w:p w14:paraId="339E7E7D" w14:textId="77777777" w:rsidR="00032436" w:rsidRPr="00032436" w:rsidRDefault="00032436" w:rsidP="00032436">
      <w:pPr>
        <w:numPr>
          <w:ilvl w:val="0"/>
          <w:numId w:val="16"/>
        </w:numPr>
        <w:rPr>
          <w:i/>
        </w:rPr>
      </w:pPr>
      <w:r w:rsidRPr="00032436">
        <w:rPr>
          <w:i/>
        </w:rPr>
        <w:t>Großstadt vs Vorort</w:t>
      </w:r>
    </w:p>
    <w:p w14:paraId="62674B5D" w14:textId="77777777" w:rsidR="00032436" w:rsidRPr="00032436" w:rsidRDefault="00032436" w:rsidP="00032436">
      <w:pPr>
        <w:numPr>
          <w:ilvl w:val="0"/>
          <w:numId w:val="16"/>
        </w:numPr>
        <w:rPr>
          <w:i/>
        </w:rPr>
      </w:pPr>
      <w:r w:rsidRPr="00032436">
        <w:rPr>
          <w:i/>
        </w:rPr>
        <w:t>ethnisch segmentierte Gebiete</w:t>
      </w:r>
    </w:p>
    <w:p w14:paraId="2FC3135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dann kann Bias entstehen.</w:t>
      </w:r>
    </w:p>
    <w:p w14:paraId="69C9C14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6F9E1D52">
          <v:rect id="_x0000_i1503" style="width:0;height:1.5pt" o:hralign="center" o:hrstd="t" o:hr="t" fillcolor="#a0a0a0" stroked="f"/>
        </w:pict>
      </w:r>
    </w:p>
    <w:p w14:paraId="7C0998DC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Bandbreite wählen</w:t>
      </w:r>
    </w:p>
    <w:p w14:paraId="173A33B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Kernel-Breite (h)</w:t>
      </w:r>
    </w:p>
    <w:p w14:paraId="2EDF072A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ist kritisch.</w:t>
      </w:r>
    </w:p>
    <w:p w14:paraId="3D22B09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Zu klein:</w:t>
      </w:r>
    </w:p>
    <w:p w14:paraId="76DE9FD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hohe Varianz.</w:t>
      </w:r>
    </w:p>
    <w:p w14:paraId="55A72AB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Zu groß:</w:t>
      </w:r>
    </w:p>
    <w:p w14:paraId="091F6583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hoher Bias.</w:t>
      </w:r>
    </w:p>
    <w:p w14:paraId="148605B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1FD7B4A6">
          <v:rect id="_x0000_i1504" style="width:0;height:1.5pt" o:hralign="center" o:hrstd="t" o:hr="t" fillcolor="#a0a0a0" stroked="f"/>
        </w:pict>
      </w:r>
    </w:p>
    <w:p w14:paraId="74952C7E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10. Master-Level Interpretation</w:t>
      </w:r>
    </w:p>
    <w:p w14:paraId="19D8CBC5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LPHOM ist im Kern</w:t>
      </w:r>
    </w:p>
    <w:p w14:paraId="2D0E10EB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lastRenderedPageBreak/>
        <w:t>ein räumlich geglättetes ökologisches Inferenzverfahren, das lokale statt globale Homogenität zur Identifikation verwendet.</w:t>
      </w:r>
    </w:p>
    <w:p w14:paraId="0FABE4B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313A0079">
          <v:rect id="_x0000_i1505" style="width:0;height:1.5pt" o:hralign="center" o:hrstd="t" o:hr="t" fillcolor="#a0a0a0" stroked="f"/>
        </w:pict>
      </w:r>
    </w:p>
    <w:p w14:paraId="5072C036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Teil II: eiMDBayes (Rosen et al.)</w:t>
      </w:r>
    </w:p>
    <w:p w14:paraId="5D44AF2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1930F654">
          <v:rect id="_x0000_i1506" style="width:0;height:1.5pt" o:hralign="center" o:hrstd="t" o:hr="t" fillcolor="#a0a0a0" stroked="f"/>
        </w:pict>
      </w:r>
    </w:p>
    <w:p w14:paraId="2EFF8B30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11. Historischer Hintergrund</w:t>
      </w:r>
    </w:p>
    <w:p w14:paraId="1C8B702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King's EI war ursprünglich primär für</w:t>
      </w:r>
    </w:p>
    <w:p w14:paraId="2C59649A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2\times2</w:t>
      </w:r>
      <w:r w:rsidRPr="00032436">
        <w:rPr>
          <w:i/>
        </w:rPr>
        <w:br/>
        <w:t>]</w:t>
      </w:r>
    </w:p>
    <w:p w14:paraId="7C752DC6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Tabellen gedacht.</w:t>
      </w:r>
    </w:p>
    <w:p w14:paraId="366A103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Beispiel: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847"/>
        <w:gridCol w:w="1418"/>
      </w:tblGrid>
      <w:tr w:rsidR="00032436" w:rsidRPr="00032436" w14:paraId="727C0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D27F6" w14:textId="77777777" w:rsidR="00032436" w:rsidRPr="00032436" w:rsidRDefault="00032436" w:rsidP="00032436">
            <w:pPr>
              <w:rPr>
                <w:i/>
              </w:rPr>
            </w:pPr>
          </w:p>
        </w:tc>
        <w:tc>
          <w:tcPr>
            <w:tcW w:w="0" w:type="auto"/>
            <w:vAlign w:val="center"/>
            <w:hideMark/>
          </w:tcPr>
          <w:p w14:paraId="13F2C643" w14:textId="77777777" w:rsidR="00032436" w:rsidRPr="00032436" w:rsidRDefault="00032436" w:rsidP="00032436">
            <w:pPr>
              <w:rPr>
                <w:b/>
                <w:bCs/>
                <w:i/>
              </w:rPr>
            </w:pPr>
            <w:r w:rsidRPr="00032436">
              <w:rPr>
                <w:b/>
                <w:bCs/>
                <w:i/>
              </w:rPr>
              <w:t>gewählt</w:t>
            </w:r>
          </w:p>
        </w:tc>
        <w:tc>
          <w:tcPr>
            <w:tcW w:w="0" w:type="auto"/>
            <w:vAlign w:val="center"/>
            <w:hideMark/>
          </w:tcPr>
          <w:p w14:paraId="63ACAD2A" w14:textId="77777777" w:rsidR="00032436" w:rsidRPr="00032436" w:rsidRDefault="00032436" w:rsidP="00032436">
            <w:pPr>
              <w:rPr>
                <w:b/>
                <w:bCs/>
                <w:i/>
              </w:rPr>
            </w:pPr>
            <w:r w:rsidRPr="00032436">
              <w:rPr>
                <w:b/>
                <w:bCs/>
                <w:i/>
              </w:rPr>
              <w:t>nicht gewählt</w:t>
            </w:r>
          </w:p>
        </w:tc>
      </w:tr>
      <w:tr w:rsidR="00032436" w:rsidRPr="00032436" w14:paraId="50E99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3302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weiß</w:t>
            </w:r>
          </w:p>
        </w:tc>
        <w:tc>
          <w:tcPr>
            <w:tcW w:w="0" w:type="auto"/>
            <w:vAlign w:val="center"/>
            <w:hideMark/>
          </w:tcPr>
          <w:p w14:paraId="53688268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B5FAFD6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?</w:t>
            </w:r>
          </w:p>
        </w:tc>
      </w:tr>
      <w:tr w:rsidR="00032436" w:rsidRPr="00032436" w14:paraId="2B02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72B7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schwarz</w:t>
            </w:r>
          </w:p>
        </w:tc>
        <w:tc>
          <w:tcPr>
            <w:tcW w:w="0" w:type="auto"/>
            <w:vAlign w:val="center"/>
            <w:hideMark/>
          </w:tcPr>
          <w:p w14:paraId="7F5DA467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6790006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?</w:t>
            </w:r>
          </w:p>
        </w:tc>
      </w:tr>
    </w:tbl>
    <w:p w14:paraId="23F4CCD6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0666BC3A">
          <v:rect id="_x0000_i1507" style="width:0;height:1.5pt" o:hralign="center" o:hrstd="t" o:hr="t" fillcolor="#a0a0a0" stroked="f"/>
        </w:pict>
      </w:r>
    </w:p>
    <w:p w14:paraId="0162E5D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Problem:</w:t>
      </w:r>
    </w:p>
    <w:p w14:paraId="4A192AF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Viele reale Anwendungen besitzen</w:t>
      </w:r>
    </w:p>
    <w:p w14:paraId="42935F1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R\times C</w:t>
      </w:r>
      <w:r w:rsidRPr="00032436">
        <w:rPr>
          <w:i/>
        </w:rPr>
        <w:br/>
        <w:t>]</w:t>
      </w:r>
    </w:p>
    <w:p w14:paraId="2AB2D9BB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Tabellen.</w:t>
      </w:r>
    </w:p>
    <w:p w14:paraId="2A57AA8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Beispielsweise:</w:t>
      </w:r>
    </w:p>
    <w:p w14:paraId="00351353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6 Parteien → 7 Parteien</w:t>
      </w:r>
    </w:p>
    <w:p w14:paraId="0F32FF5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6\times7</w:t>
      </w:r>
      <w:r w:rsidRPr="00032436">
        <w:rPr>
          <w:i/>
        </w:rPr>
        <w:br/>
        <w:t>]</w:t>
      </w:r>
    </w:p>
    <w:p w14:paraId="327987B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Übergangsmatrix.</w:t>
      </w:r>
    </w:p>
    <w:p w14:paraId="7B575B2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2E4FAA07">
          <v:rect id="_x0000_i1508" style="width:0;height:1.5pt" o:hralign="center" o:hrstd="t" o:hr="t" fillcolor="#a0a0a0" stroked="f"/>
        </w:pict>
      </w:r>
    </w:p>
    <w:p w14:paraId="6151195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Hier wird King's Modell unhandlich.</w:t>
      </w:r>
    </w:p>
    <w:p w14:paraId="7F46431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413AA7C8">
          <v:rect id="_x0000_i1509" style="width:0;height:1.5pt" o:hralign="center" o:hrstd="t" o:hr="t" fillcolor="#a0a0a0" stroked="f"/>
        </w:pict>
      </w:r>
    </w:p>
    <w:p w14:paraId="4587FE47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12. Die Idee von eiMD</w:t>
      </w:r>
    </w:p>
    <w:p w14:paraId="0D32C3A3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MD = Multidimensional.</w:t>
      </w:r>
    </w:p>
    <w:p w14:paraId="6F87EF85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Rosen et al. entwickeln ein Modell für:</w:t>
      </w:r>
    </w:p>
    <w:p w14:paraId="4CFCC11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lastRenderedPageBreak/>
        <w:t>[</w:t>
      </w:r>
      <w:r w:rsidRPr="00032436">
        <w:rPr>
          <w:i/>
        </w:rPr>
        <w:br/>
        <w:t>R\times C</w:t>
      </w:r>
      <w:r w:rsidRPr="00032436">
        <w:rPr>
          <w:i/>
        </w:rPr>
        <w:br/>
        <w:t>]</w:t>
      </w:r>
    </w:p>
    <w:p w14:paraId="17879DD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Tabellen.</w:t>
      </w:r>
    </w:p>
    <w:p w14:paraId="48BF13D3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02438A50">
          <v:rect id="_x0000_i1510" style="width:0;height:1.5pt" o:hralign="center" o:hrstd="t" o:hr="t" fillcolor="#a0a0a0" stroked="f"/>
        </w:pict>
      </w:r>
    </w:p>
    <w:p w14:paraId="656873D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Jede Zeile besitzt einen Wahrscheinlichkeitsvektor</w:t>
      </w:r>
    </w:p>
    <w:p w14:paraId="7332134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\mathbf p_{ik}.</w:t>
      </w:r>
      <w:r w:rsidRPr="00032436">
        <w:rPr>
          <w:i/>
        </w:rPr>
        <w:br/>
        <w:t>]</w:t>
      </w:r>
    </w:p>
    <w:p w14:paraId="631A0F10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Wie bei Brown-Payne.</w:t>
      </w:r>
    </w:p>
    <w:p w14:paraId="79C0C04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741DCCB1">
          <v:rect id="_x0000_i1511" style="width:0;height:1.5pt" o:hralign="center" o:hrstd="t" o:hr="t" fillcolor="#a0a0a0" stroked="f"/>
        </w:pict>
      </w:r>
    </w:p>
    <w:p w14:paraId="729DAAC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Aber nun wird die gesamte Übergangsmatrix gemeinsam modelliert.</w:t>
      </w:r>
    </w:p>
    <w:p w14:paraId="25AE651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364293E5">
          <v:rect id="_x0000_i1512" style="width:0;height:1.5pt" o:hralign="center" o:hrstd="t" o:hr="t" fillcolor="#a0a0a0" stroked="f"/>
        </w:pict>
      </w:r>
    </w:p>
    <w:p w14:paraId="2E6935D7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13. Logistische Transformation</w:t>
      </w:r>
    </w:p>
    <w:p w14:paraId="1543571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Problem:</w:t>
      </w:r>
    </w:p>
    <w:p w14:paraId="536FF87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p_{ij}</w:t>
      </w:r>
      <w:r w:rsidRPr="00032436">
        <w:rPr>
          <w:i/>
        </w:rPr>
        <w:br/>
        <w:t>]</w:t>
      </w:r>
    </w:p>
    <w:p w14:paraId="099C16D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liegen auf dem Simplex.</w:t>
      </w:r>
    </w:p>
    <w:p w14:paraId="4426257B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Man transformiert:</w:t>
      </w:r>
    </w:p>
    <w:p w14:paraId="0678A991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[</w:t>
      </w:r>
      <w:r w:rsidRPr="00032436">
        <w:rPr>
          <w:b/>
          <w:bCs/>
          <w:i/>
        </w:rPr>
        <w:br/>
        <w:t>\theta_{ij}</w:t>
      </w:r>
    </w:p>
    <w:p w14:paraId="5E0DD6E5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\log</w:t>
      </w:r>
      <w:r w:rsidRPr="00032436">
        <w:rPr>
          <w:i/>
        </w:rPr>
        <w:br/>
        <w:t>\frac{p_{ij}}</w:t>
      </w:r>
      <w:r w:rsidRPr="00032436">
        <w:rPr>
          <w:i/>
        </w:rPr>
        <w:br/>
        <w:t>{p_{iC}}</w:t>
      </w:r>
      <w:r w:rsidRPr="00032436">
        <w:rPr>
          <w:i/>
        </w:rPr>
        <w:br/>
        <w:t>]</w:t>
      </w:r>
    </w:p>
    <w:p w14:paraId="53FA0A5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(multinomial logit).</w:t>
      </w:r>
    </w:p>
    <w:p w14:paraId="3A6CD00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333090D5">
          <v:rect id="_x0000_i1513" style="width:0;height:1.5pt" o:hralign="center" o:hrstd="t" o:hr="t" fillcolor="#a0a0a0" stroked="f"/>
        </w:pict>
      </w:r>
    </w:p>
    <w:p w14:paraId="7B757D7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Dann kann man</w:t>
      </w:r>
    </w:p>
    <w:p w14:paraId="655C72F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\theta</w:t>
      </w:r>
      <w:r w:rsidRPr="00032436">
        <w:rPr>
          <w:i/>
        </w:rPr>
        <w:br/>
        <w:t>]</w:t>
      </w:r>
    </w:p>
    <w:p w14:paraId="26B4258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als multivariat normal modellieren.</w:t>
      </w:r>
    </w:p>
    <w:p w14:paraId="680FBEA5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693110A5">
          <v:rect id="_x0000_i1514" style="width:0;height:1.5pt" o:hralign="center" o:hrstd="t" o:hr="t" fillcolor="#a0a0a0" stroked="f"/>
        </w:pict>
      </w:r>
    </w:p>
    <w:p w14:paraId="3F11B8A7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14. Multivariate Normalverteilung</w:t>
      </w:r>
    </w:p>
    <w:p w14:paraId="25E5AA0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Zentrale Annahme:</w:t>
      </w:r>
    </w:p>
    <w:p w14:paraId="76B95DDB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lastRenderedPageBreak/>
        <w:t>[</w:t>
      </w:r>
      <w:r w:rsidRPr="00032436">
        <w:rPr>
          <w:i/>
        </w:rPr>
        <w:br/>
        <w:t>\theta_k</w:t>
      </w:r>
      <w:r w:rsidRPr="00032436">
        <w:rPr>
          <w:i/>
        </w:rPr>
        <w:br/>
        <w:t>\sim</w:t>
      </w:r>
      <w:r w:rsidRPr="00032436">
        <w:rPr>
          <w:i/>
        </w:rPr>
        <w:br/>
        <w:t>MVN(\mu,\Sigma)</w:t>
      </w:r>
      <w:r w:rsidRPr="00032436">
        <w:rPr>
          <w:i/>
        </w:rPr>
        <w:br/>
        <w:t>]</w:t>
      </w:r>
    </w:p>
    <w:p w14:paraId="4052900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1A587EE8">
          <v:rect id="_x0000_i1515" style="width:0;height:1.5pt" o:hralign="center" o:hrstd="t" o:hr="t" fillcolor="#a0a0a0" stroked="f"/>
        </w:pict>
      </w:r>
    </w:p>
    <w:p w14:paraId="3A6CEF0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wobei:</w:t>
      </w:r>
    </w:p>
    <w:p w14:paraId="0019E09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\mu</w:t>
      </w:r>
      <w:r w:rsidRPr="00032436">
        <w:rPr>
          <w:i/>
        </w:rPr>
        <w:br/>
        <w:t>]</w:t>
      </w:r>
    </w:p>
    <w:p w14:paraId="7BCACC6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= durchschnittliche Übergänge</w:t>
      </w:r>
    </w:p>
    <w:p w14:paraId="2E10CF2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\Sigma</w:t>
      </w:r>
      <w:r w:rsidRPr="00032436">
        <w:rPr>
          <w:i/>
        </w:rPr>
        <w:br/>
        <w:t>]</w:t>
      </w:r>
    </w:p>
    <w:p w14:paraId="55E71DB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= Kovarianzstruktur</w:t>
      </w:r>
    </w:p>
    <w:p w14:paraId="1E6B276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50095283">
          <v:rect id="_x0000_i1516" style="width:0;height:1.5pt" o:hralign="center" o:hrstd="t" o:hr="t" fillcolor="#a0a0a0" stroked="f"/>
        </w:pict>
      </w:r>
    </w:p>
    <w:p w14:paraId="0FD3904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Das ist die entscheidende Innovation.</w:t>
      </w:r>
    </w:p>
    <w:p w14:paraId="4252E94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10AF4954">
          <v:rect id="_x0000_i1517" style="width:0;height:1.5pt" o:hralign="center" o:hrstd="t" o:hr="t" fillcolor="#a0a0a0" stroked="f"/>
        </w:pict>
      </w:r>
    </w:p>
    <w:p w14:paraId="01CC41CE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15. Warum ist das wichtig?</w:t>
      </w:r>
    </w:p>
    <w:p w14:paraId="14053CBA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Brown-Payne:</w:t>
      </w:r>
    </w:p>
    <w:p w14:paraId="27F76A9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Dirichlet-Heterogenität.</w:t>
      </w:r>
    </w:p>
    <w:p w14:paraId="59C0E41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2F9CD7E9">
          <v:rect id="_x0000_i1518" style="width:0;height:1.5pt" o:hralign="center" o:hrstd="t" o:hr="t" fillcolor="#a0a0a0" stroked="f"/>
        </w:pict>
      </w:r>
    </w:p>
    <w:p w14:paraId="57FC34C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Dirichlet erzwingt eine bestimmte Kovarianzstruktur.</w:t>
      </w:r>
    </w:p>
    <w:p w14:paraId="0180B280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Sie ist relativ unflexibel.</w:t>
      </w:r>
    </w:p>
    <w:p w14:paraId="414C789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2F13C88F">
          <v:rect id="_x0000_i1519" style="width:0;height:1.5pt" o:hralign="center" o:hrstd="t" o:hr="t" fillcolor="#a0a0a0" stroked="f"/>
        </w:pict>
      </w:r>
    </w:p>
    <w:p w14:paraId="2DBA48F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eiMDBayes:</w:t>
      </w:r>
    </w:p>
    <w:p w14:paraId="5E8EEFF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MVN(\mu,\Sigma)</w:t>
      </w:r>
      <w:r w:rsidRPr="00032436">
        <w:rPr>
          <w:i/>
        </w:rPr>
        <w:br/>
        <w:t>]</w:t>
      </w:r>
    </w:p>
    <w:p w14:paraId="2C97EF2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erlaubt beliebige Korrelationen.</w:t>
      </w:r>
    </w:p>
    <w:p w14:paraId="5BBF9080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2501D14B">
          <v:rect id="_x0000_i1520" style="width:0;height:1.5pt" o:hralign="center" o:hrstd="t" o:hr="t" fillcolor="#a0a0a0" stroked="f"/>
        </w:pict>
      </w:r>
    </w:p>
    <w:p w14:paraId="5F1761B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Beispiel:</w:t>
      </w:r>
    </w:p>
    <w:p w14:paraId="1F0C231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Wenn CDU→AfD steigt,</w:t>
      </w:r>
    </w:p>
    <w:p w14:paraId="2FABD88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könnte gleichzeitig</w:t>
      </w:r>
    </w:p>
    <w:p w14:paraId="6E9E16A5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CDU→SPD sinken.</w:t>
      </w:r>
    </w:p>
    <w:p w14:paraId="41D797DA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lastRenderedPageBreak/>
        <w:t>Diese Zusammenhänge kann</w:t>
      </w:r>
    </w:p>
    <w:p w14:paraId="06E94CDB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\Sigma</w:t>
      </w:r>
      <w:r w:rsidRPr="00032436">
        <w:rPr>
          <w:i/>
        </w:rPr>
        <w:br/>
        <w:t>]</w:t>
      </w:r>
    </w:p>
    <w:p w14:paraId="3F362C0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abbilden.</w:t>
      </w:r>
    </w:p>
    <w:p w14:paraId="1C44B4E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51C6FEB1">
          <v:rect id="_x0000_i1521" style="width:0;height:1.5pt" o:hralign="center" o:hrstd="t" o:hr="t" fillcolor="#a0a0a0" stroked="f"/>
        </w:pict>
      </w:r>
    </w:p>
    <w:p w14:paraId="12DDEFDF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16. Bayesianische Hierarchie</w:t>
      </w:r>
    </w:p>
    <w:p w14:paraId="6747F695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Ebene 1:</w:t>
      </w:r>
    </w:p>
    <w:p w14:paraId="4ECB914A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N_{ik}</w:t>
      </w:r>
      <w:r w:rsidRPr="00032436">
        <w:rPr>
          <w:i/>
        </w:rPr>
        <w:br/>
        <w:t>\sim</w:t>
      </w:r>
      <w:r w:rsidRPr="00032436">
        <w:rPr>
          <w:i/>
        </w:rPr>
        <w:br/>
        <w:t>Multinomial(n_{ik},p_{ik})</w:t>
      </w:r>
      <w:r w:rsidRPr="00032436">
        <w:rPr>
          <w:i/>
        </w:rPr>
        <w:br/>
        <w:t>]</w:t>
      </w:r>
    </w:p>
    <w:p w14:paraId="72919195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5A259AF9">
          <v:rect id="_x0000_i1522" style="width:0;height:1.5pt" o:hralign="center" o:hrstd="t" o:hr="t" fillcolor="#a0a0a0" stroked="f"/>
        </w:pict>
      </w:r>
    </w:p>
    <w:p w14:paraId="558AE8D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Ebene 2:</w:t>
      </w:r>
    </w:p>
    <w:p w14:paraId="4D12F5D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\theta_k</w:t>
      </w:r>
      <w:r w:rsidRPr="00032436">
        <w:rPr>
          <w:i/>
        </w:rPr>
        <w:br/>
        <w:t>\sim</w:t>
      </w:r>
      <w:r w:rsidRPr="00032436">
        <w:rPr>
          <w:i/>
        </w:rPr>
        <w:br/>
        <w:t>MVN(\mu,\Sigma)</w:t>
      </w:r>
      <w:r w:rsidRPr="00032436">
        <w:rPr>
          <w:i/>
        </w:rPr>
        <w:br/>
        <w:t>]</w:t>
      </w:r>
    </w:p>
    <w:p w14:paraId="6B6E175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6FB73804">
          <v:rect id="_x0000_i1523" style="width:0;height:1.5pt" o:hralign="center" o:hrstd="t" o:hr="t" fillcolor="#a0a0a0" stroked="f"/>
        </w:pict>
      </w:r>
    </w:p>
    <w:p w14:paraId="798337F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Ebene 3:</w:t>
      </w:r>
    </w:p>
    <w:p w14:paraId="3A067E8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Prioren auf</w:t>
      </w:r>
    </w:p>
    <w:p w14:paraId="2630063D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\mu,\Sigma.</w:t>
      </w:r>
      <w:r w:rsidRPr="00032436">
        <w:rPr>
          <w:i/>
        </w:rPr>
        <w:br/>
        <w:t>]</w:t>
      </w:r>
    </w:p>
    <w:p w14:paraId="1B6C10C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62ECF16E">
          <v:rect id="_x0000_i1524" style="width:0;height:1.5pt" o:hralign="center" o:hrstd="t" o:hr="t" fillcolor="#a0a0a0" stroked="f"/>
        </w:pict>
      </w:r>
    </w:p>
    <w:p w14:paraId="1BCD5C9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Meist:</w:t>
      </w:r>
    </w:p>
    <w:p w14:paraId="3066F290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\mu \sim N</w:t>
      </w:r>
      <w:r w:rsidRPr="00032436">
        <w:rPr>
          <w:i/>
        </w:rPr>
        <w:br/>
        <w:t>]</w:t>
      </w:r>
    </w:p>
    <w:p w14:paraId="78745DF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\Sigma \sim IW</w:t>
      </w:r>
      <w:r w:rsidRPr="00032436">
        <w:rPr>
          <w:i/>
        </w:rPr>
        <w:br/>
        <w:t>]</w:t>
      </w:r>
    </w:p>
    <w:p w14:paraId="2346D7C1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(Inverse Wishart, historisch)</w:t>
      </w:r>
    </w:p>
    <w:p w14:paraId="6FCFD1F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36F6EC18">
          <v:rect id="_x0000_i1525" style="width:0;height:1.5pt" o:hralign="center" o:hrstd="t" o:hr="t" fillcolor="#a0a0a0" stroked="f"/>
        </w:pict>
      </w:r>
    </w:p>
    <w:p w14:paraId="12B6DC2E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17. MCMC-Schätzung</w:t>
      </w:r>
    </w:p>
    <w:p w14:paraId="0C29967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lastRenderedPageBreak/>
        <w:t>Die unbekannten Zellzahlen</w:t>
      </w:r>
    </w:p>
    <w:p w14:paraId="327E578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N_{ijk}</w:t>
      </w:r>
      <w:r w:rsidRPr="00032436">
        <w:rPr>
          <w:i/>
        </w:rPr>
        <w:br/>
        <w:t>]</w:t>
      </w:r>
    </w:p>
    <w:p w14:paraId="33F1B3E2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werden als latente Variablen behandelt.</w:t>
      </w:r>
    </w:p>
    <w:p w14:paraId="5A8EC203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39CC141C">
          <v:rect id="_x0000_i1526" style="width:0;height:1.5pt" o:hralign="center" o:hrstd="t" o:hr="t" fillcolor="#a0a0a0" stroked="f"/>
        </w:pict>
      </w:r>
    </w:p>
    <w:p w14:paraId="31B5CFE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Bayes liefert:</w:t>
      </w:r>
    </w:p>
    <w:p w14:paraId="26F65A9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[</w:t>
      </w:r>
      <w:r w:rsidRPr="00032436">
        <w:rPr>
          <w:i/>
        </w:rPr>
        <w:br/>
        <w:t>P(N,\theta,\mu,\Sigma</w:t>
      </w:r>
      <w:r w:rsidRPr="00032436">
        <w:rPr>
          <w:i/>
        </w:rPr>
        <w:br/>
        <w:t>\mid</w:t>
      </w:r>
      <w:r w:rsidRPr="00032436">
        <w:rPr>
          <w:i/>
        </w:rPr>
        <w:br/>
        <w:t>\text{Daten})</w:t>
      </w:r>
      <w:r w:rsidRPr="00032436">
        <w:rPr>
          <w:i/>
        </w:rPr>
        <w:br/>
        <w:t>]</w:t>
      </w:r>
    </w:p>
    <w:p w14:paraId="53FF169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652C4345">
          <v:rect id="_x0000_i1527" style="width:0;height:1.5pt" o:hralign="center" o:hrstd="t" o:hr="t" fillcolor="#a0a0a0" stroked="f"/>
        </w:pict>
      </w:r>
    </w:p>
    <w:p w14:paraId="7C13A69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Schätzung über:</w:t>
      </w:r>
    </w:p>
    <w:p w14:paraId="18EA6D49" w14:textId="77777777" w:rsidR="00032436" w:rsidRPr="00032436" w:rsidRDefault="00032436" w:rsidP="00032436">
      <w:pPr>
        <w:numPr>
          <w:ilvl w:val="0"/>
          <w:numId w:val="17"/>
        </w:numPr>
        <w:rPr>
          <w:i/>
        </w:rPr>
      </w:pPr>
      <w:r w:rsidRPr="00032436">
        <w:rPr>
          <w:i/>
        </w:rPr>
        <w:t>Gibbs Sampling</w:t>
      </w:r>
    </w:p>
    <w:p w14:paraId="746F442F" w14:textId="77777777" w:rsidR="00032436" w:rsidRPr="00032436" w:rsidRDefault="00032436" w:rsidP="00032436">
      <w:pPr>
        <w:numPr>
          <w:ilvl w:val="0"/>
          <w:numId w:val="17"/>
        </w:numPr>
        <w:rPr>
          <w:i/>
        </w:rPr>
      </w:pPr>
      <w:r w:rsidRPr="00032436">
        <w:rPr>
          <w:i/>
        </w:rPr>
        <w:t>Metropolis-Hastings</w:t>
      </w:r>
    </w:p>
    <w:p w14:paraId="6B97C7E4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6E1DAABF">
          <v:rect id="_x0000_i1528" style="width:0;height:1.5pt" o:hralign="center" o:hrstd="t" o:hr="t" fillcolor="#a0a0a0" stroked="f"/>
        </w:pict>
      </w:r>
    </w:p>
    <w:p w14:paraId="38DC69BE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heute oft Hamiltonian Monte Carlo.</w:t>
      </w:r>
    </w:p>
    <w:p w14:paraId="7AD177D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032C44D2">
          <v:rect id="_x0000_i1529" style="width:0;height:1.5pt" o:hralign="center" o:hrstd="t" o:hr="t" fillcolor="#a0a0a0" stroked="f"/>
        </w:pict>
      </w:r>
    </w:p>
    <w:p w14:paraId="50F02AF5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18. Was macht eiMDBayes besonders?</w:t>
      </w:r>
    </w:p>
    <w:p w14:paraId="28ACD28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Es modelliert:</w:t>
      </w:r>
    </w:p>
    <w:p w14:paraId="0915FAA9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Unsicherheit</w:t>
      </w:r>
    </w:p>
    <w:p w14:paraId="2B3DE8E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vollständig posterior.</w:t>
      </w:r>
    </w:p>
    <w:p w14:paraId="011CD903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5458E143">
          <v:rect id="_x0000_i1530" style="width:0;height:1.5pt" o:hralign="center" o:hrstd="t" o:hr="t" fillcolor="#a0a0a0" stroked="f"/>
        </w:pict>
      </w:r>
    </w:p>
    <w:p w14:paraId="4ABDFB91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Mehrparteiensysteme</w:t>
      </w:r>
    </w:p>
    <w:p w14:paraId="7568BB5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direkt.</w:t>
      </w:r>
    </w:p>
    <w:p w14:paraId="4DE82A2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70C6B14A">
          <v:rect id="_x0000_i1531" style="width:0;height:1.5pt" o:hralign="center" o:hrstd="t" o:hr="t" fillcolor="#a0a0a0" stroked="f"/>
        </w:pict>
      </w:r>
    </w:p>
    <w:p w14:paraId="5EA739CB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Korrelationen</w:t>
      </w:r>
    </w:p>
    <w:p w14:paraId="5061101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zwischen Übergängen.</w:t>
      </w:r>
    </w:p>
    <w:p w14:paraId="36B3190C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118C4E95">
          <v:rect id="_x0000_i1532" style="width:0;height:1.5pt" o:hralign="center" o:hrstd="t" o:hr="t" fillcolor="#a0a0a0" stroked="f"/>
        </w:pict>
      </w:r>
    </w:p>
    <w:p w14:paraId="0FD4C145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Kovariaten</w:t>
      </w:r>
    </w:p>
    <w:p w14:paraId="70073AB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leicht integrierbar.</w:t>
      </w:r>
    </w:p>
    <w:p w14:paraId="6064B00F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4EAF76C8">
          <v:rect id="_x0000_i1533" style="width:0;height:1.5pt" o:hralign="center" o:hrstd="t" o:hr="t" fillcolor="#a0a0a0" stroked="f"/>
        </w:pict>
      </w:r>
    </w:p>
    <w:p w14:paraId="11C31C2C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19. Vergleich der drei Ansätze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1415"/>
        <w:gridCol w:w="2110"/>
        <w:gridCol w:w="2234"/>
      </w:tblGrid>
      <w:tr w:rsidR="00032436" w:rsidRPr="00032436" w14:paraId="68B3C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C8CF8" w14:textId="77777777" w:rsidR="00032436" w:rsidRPr="00032436" w:rsidRDefault="00032436" w:rsidP="00032436">
            <w:pPr>
              <w:rPr>
                <w:b/>
                <w:bCs/>
                <w:i/>
              </w:rPr>
            </w:pPr>
            <w:r w:rsidRPr="00032436">
              <w:rPr>
                <w:b/>
                <w:bCs/>
                <w:i/>
              </w:rPr>
              <w:lastRenderedPageBreak/>
              <w:t>Eigenschaft</w:t>
            </w:r>
          </w:p>
        </w:tc>
        <w:tc>
          <w:tcPr>
            <w:tcW w:w="0" w:type="auto"/>
            <w:vAlign w:val="center"/>
            <w:hideMark/>
          </w:tcPr>
          <w:p w14:paraId="3358B66C" w14:textId="77777777" w:rsidR="00032436" w:rsidRPr="00032436" w:rsidRDefault="00032436" w:rsidP="00032436">
            <w:pPr>
              <w:rPr>
                <w:b/>
                <w:bCs/>
                <w:i/>
              </w:rPr>
            </w:pPr>
            <w:r w:rsidRPr="00032436">
              <w:rPr>
                <w:b/>
                <w:bCs/>
                <w:i/>
              </w:rPr>
              <w:t>Brown-Payne</w:t>
            </w:r>
          </w:p>
        </w:tc>
        <w:tc>
          <w:tcPr>
            <w:tcW w:w="0" w:type="auto"/>
            <w:vAlign w:val="center"/>
            <w:hideMark/>
          </w:tcPr>
          <w:p w14:paraId="6D5B2D24" w14:textId="77777777" w:rsidR="00032436" w:rsidRPr="00032436" w:rsidRDefault="00032436" w:rsidP="00032436">
            <w:pPr>
              <w:rPr>
                <w:b/>
                <w:bCs/>
                <w:i/>
              </w:rPr>
            </w:pPr>
            <w:r w:rsidRPr="00032436">
              <w:rPr>
                <w:b/>
                <w:bCs/>
                <w:i/>
              </w:rPr>
              <w:t>lphom</w:t>
            </w:r>
          </w:p>
        </w:tc>
        <w:tc>
          <w:tcPr>
            <w:tcW w:w="0" w:type="auto"/>
            <w:vAlign w:val="center"/>
            <w:hideMark/>
          </w:tcPr>
          <w:p w14:paraId="5DDFAB19" w14:textId="77777777" w:rsidR="00032436" w:rsidRPr="00032436" w:rsidRDefault="00032436" w:rsidP="00032436">
            <w:pPr>
              <w:rPr>
                <w:b/>
                <w:bCs/>
                <w:i/>
              </w:rPr>
            </w:pPr>
            <w:r w:rsidRPr="00032436">
              <w:rPr>
                <w:b/>
                <w:bCs/>
                <w:i/>
              </w:rPr>
              <w:t>eiMDBayes</w:t>
            </w:r>
          </w:p>
        </w:tc>
      </w:tr>
      <w:tr w:rsidR="00032436" w:rsidRPr="00032436" w14:paraId="10553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1744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Grundidee</w:t>
            </w:r>
          </w:p>
        </w:tc>
        <w:tc>
          <w:tcPr>
            <w:tcW w:w="0" w:type="auto"/>
            <w:vAlign w:val="center"/>
            <w:hideMark/>
          </w:tcPr>
          <w:p w14:paraId="4F8268FD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Random Effects</w:t>
            </w:r>
          </w:p>
        </w:tc>
        <w:tc>
          <w:tcPr>
            <w:tcW w:w="0" w:type="auto"/>
            <w:vAlign w:val="center"/>
            <w:hideMark/>
          </w:tcPr>
          <w:p w14:paraId="59029138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Räumliche Homogenität</w:t>
            </w:r>
          </w:p>
        </w:tc>
        <w:tc>
          <w:tcPr>
            <w:tcW w:w="0" w:type="auto"/>
            <w:vAlign w:val="center"/>
            <w:hideMark/>
          </w:tcPr>
          <w:p w14:paraId="5289ECFB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Bayesianische Hierarchie</w:t>
            </w:r>
          </w:p>
        </w:tc>
      </w:tr>
      <w:tr w:rsidR="00032436" w:rsidRPr="00032436" w14:paraId="77BE3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D527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Heterogenität</w:t>
            </w:r>
          </w:p>
        </w:tc>
        <w:tc>
          <w:tcPr>
            <w:tcW w:w="0" w:type="auto"/>
            <w:vAlign w:val="center"/>
            <w:hideMark/>
          </w:tcPr>
          <w:p w14:paraId="0D801063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Dirichlet</w:t>
            </w:r>
          </w:p>
        </w:tc>
        <w:tc>
          <w:tcPr>
            <w:tcW w:w="0" w:type="auto"/>
            <w:vAlign w:val="center"/>
            <w:hideMark/>
          </w:tcPr>
          <w:p w14:paraId="050169EE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lokal-räumlich</w:t>
            </w:r>
          </w:p>
        </w:tc>
        <w:tc>
          <w:tcPr>
            <w:tcW w:w="0" w:type="auto"/>
            <w:vAlign w:val="center"/>
            <w:hideMark/>
          </w:tcPr>
          <w:p w14:paraId="22497946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MVN-Struktur</w:t>
            </w:r>
          </w:p>
        </w:tc>
      </w:tr>
      <w:tr w:rsidR="00032436" w:rsidRPr="00032436" w14:paraId="00A4B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2F6A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Räumliche Information</w:t>
            </w:r>
          </w:p>
        </w:tc>
        <w:tc>
          <w:tcPr>
            <w:tcW w:w="0" w:type="auto"/>
            <w:vAlign w:val="center"/>
            <w:hideMark/>
          </w:tcPr>
          <w:p w14:paraId="7243E021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30FA3E09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0B2AB66A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optional</w:t>
            </w:r>
          </w:p>
        </w:tc>
      </w:tr>
      <w:tr w:rsidR="00032436" w:rsidRPr="00032436" w14:paraId="0E1C1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ABCB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Mehrparteiensysteme</w:t>
            </w:r>
          </w:p>
        </w:tc>
        <w:tc>
          <w:tcPr>
            <w:tcW w:w="0" w:type="auto"/>
            <w:vAlign w:val="center"/>
            <w:hideMark/>
          </w:tcPr>
          <w:p w14:paraId="59F971D9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gut</w:t>
            </w:r>
          </w:p>
        </w:tc>
        <w:tc>
          <w:tcPr>
            <w:tcW w:w="0" w:type="auto"/>
            <w:vAlign w:val="center"/>
            <w:hideMark/>
          </w:tcPr>
          <w:p w14:paraId="519174BD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gut</w:t>
            </w:r>
          </w:p>
        </w:tc>
        <w:tc>
          <w:tcPr>
            <w:tcW w:w="0" w:type="auto"/>
            <w:vAlign w:val="center"/>
            <w:hideMark/>
          </w:tcPr>
          <w:p w14:paraId="54384782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sehr gut</w:t>
            </w:r>
          </w:p>
        </w:tc>
      </w:tr>
      <w:tr w:rsidR="00032436" w:rsidRPr="00032436" w14:paraId="4780D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9E7E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Unsicherheitsquantifizierung</w:t>
            </w:r>
          </w:p>
        </w:tc>
        <w:tc>
          <w:tcPr>
            <w:tcW w:w="0" w:type="auto"/>
            <w:vAlign w:val="center"/>
            <w:hideMark/>
          </w:tcPr>
          <w:p w14:paraId="47E535C5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begrenzt</w:t>
            </w:r>
          </w:p>
        </w:tc>
        <w:tc>
          <w:tcPr>
            <w:tcW w:w="0" w:type="auto"/>
            <w:vAlign w:val="center"/>
            <w:hideMark/>
          </w:tcPr>
          <w:p w14:paraId="3F4C92EB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begrenzt</w:t>
            </w:r>
          </w:p>
        </w:tc>
        <w:tc>
          <w:tcPr>
            <w:tcW w:w="0" w:type="auto"/>
            <w:vAlign w:val="center"/>
            <w:hideMark/>
          </w:tcPr>
          <w:p w14:paraId="77AD1EBB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vollständig</w:t>
            </w:r>
          </w:p>
        </w:tc>
      </w:tr>
      <w:tr w:rsidR="00032436" w:rsidRPr="00032436" w14:paraId="4C578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3936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Korrelationen zwischen Übergängen</w:t>
            </w:r>
          </w:p>
        </w:tc>
        <w:tc>
          <w:tcPr>
            <w:tcW w:w="0" w:type="auto"/>
            <w:vAlign w:val="center"/>
            <w:hideMark/>
          </w:tcPr>
          <w:p w14:paraId="7A588D0D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schwach</w:t>
            </w:r>
          </w:p>
        </w:tc>
        <w:tc>
          <w:tcPr>
            <w:tcW w:w="0" w:type="auto"/>
            <w:vAlign w:val="center"/>
            <w:hideMark/>
          </w:tcPr>
          <w:p w14:paraId="32283405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schwach</w:t>
            </w:r>
          </w:p>
        </w:tc>
        <w:tc>
          <w:tcPr>
            <w:tcW w:w="0" w:type="auto"/>
            <w:vAlign w:val="center"/>
            <w:hideMark/>
          </w:tcPr>
          <w:p w14:paraId="4B6066E0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stark</w:t>
            </w:r>
          </w:p>
        </w:tc>
      </w:tr>
      <w:tr w:rsidR="00032436" w:rsidRPr="00032436" w14:paraId="6DFB9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7F04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MCMC</w:t>
            </w:r>
          </w:p>
        </w:tc>
        <w:tc>
          <w:tcPr>
            <w:tcW w:w="0" w:type="auto"/>
            <w:vAlign w:val="center"/>
            <w:hideMark/>
          </w:tcPr>
          <w:p w14:paraId="3813B23E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66A9BCAD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18B835FB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ja</w:t>
            </w:r>
          </w:p>
        </w:tc>
      </w:tr>
      <w:tr w:rsidR="00032436" w:rsidRPr="00032436" w14:paraId="0D996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FB90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Rechenaufwand</w:t>
            </w:r>
          </w:p>
        </w:tc>
        <w:tc>
          <w:tcPr>
            <w:tcW w:w="0" w:type="auto"/>
            <w:vAlign w:val="center"/>
            <w:hideMark/>
          </w:tcPr>
          <w:p w14:paraId="58D6A88A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niedrig</w:t>
            </w:r>
          </w:p>
        </w:tc>
        <w:tc>
          <w:tcPr>
            <w:tcW w:w="0" w:type="auto"/>
            <w:vAlign w:val="center"/>
            <w:hideMark/>
          </w:tcPr>
          <w:p w14:paraId="3E0C9F2F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mittel</w:t>
            </w:r>
          </w:p>
        </w:tc>
        <w:tc>
          <w:tcPr>
            <w:tcW w:w="0" w:type="auto"/>
            <w:vAlign w:val="center"/>
            <w:hideMark/>
          </w:tcPr>
          <w:p w14:paraId="05439AE1" w14:textId="77777777" w:rsidR="00032436" w:rsidRPr="00032436" w:rsidRDefault="00032436" w:rsidP="00032436">
            <w:pPr>
              <w:rPr>
                <w:i/>
              </w:rPr>
            </w:pPr>
            <w:r w:rsidRPr="00032436">
              <w:rPr>
                <w:i/>
              </w:rPr>
              <w:t>hoch</w:t>
            </w:r>
          </w:p>
        </w:tc>
      </w:tr>
    </w:tbl>
    <w:p w14:paraId="50A52CA0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pict w14:anchorId="3C6CA987">
          <v:rect id="_x0000_i1534" style="width:0;height:1.5pt" o:hralign="center" o:hrstd="t" o:hr="t" fillcolor="#a0a0a0" stroked="f"/>
        </w:pict>
      </w:r>
    </w:p>
    <w:p w14:paraId="6BADCFE3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Was man auf Masterniveau über diese Modelle verstehen sollte</w:t>
      </w:r>
    </w:p>
    <w:p w14:paraId="060D2889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Die drei Modellklassen lösen das ökologische Inferenzproblem auf unterschiedliche Weise:</w:t>
      </w:r>
    </w:p>
    <w:p w14:paraId="41D8C6FE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Brown &amp; Payne</w:t>
      </w:r>
    </w:p>
    <w:p w14:paraId="3456D318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Heterogenität zwischen Gebieten wird über eine Dirichlet-Verteilung modelliert.</w:t>
      </w:r>
    </w:p>
    <w:p w14:paraId="01ED0AE0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lphom (Pavía &amp; Romero)</w:t>
      </w:r>
    </w:p>
    <w:p w14:paraId="7DC6EDF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Identifikation entsteht durch die Annahme lokaler räumlicher Homogenität; benachbarte Gebiete haben ähnliche Übergangsmuster.</w:t>
      </w:r>
    </w:p>
    <w:p w14:paraId="53A41E95" w14:textId="77777777" w:rsidR="00032436" w:rsidRPr="00032436" w:rsidRDefault="00032436" w:rsidP="00032436">
      <w:pPr>
        <w:rPr>
          <w:b/>
          <w:bCs/>
          <w:i/>
        </w:rPr>
      </w:pPr>
      <w:r w:rsidRPr="00032436">
        <w:rPr>
          <w:b/>
          <w:bCs/>
          <w:i/>
        </w:rPr>
        <w:t>eiMDBayes (Rosen et al.)</w:t>
      </w:r>
    </w:p>
    <w:p w14:paraId="5A3622A7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>Die unbekannten Übergangswahrscheinlichkeiten werden in einem voll-bayesianischen hierarchischen Modell mit multivariater Normalstruktur auf der Logit-Skala modelliert, wodurch komplexe Abhängigkeiten und Unsicherheiten erfasst werden können.</w:t>
      </w:r>
    </w:p>
    <w:p w14:paraId="69DC496A" w14:textId="77777777" w:rsidR="00032436" w:rsidRPr="00032436" w:rsidRDefault="00032436" w:rsidP="00032436">
      <w:pPr>
        <w:rPr>
          <w:i/>
        </w:rPr>
      </w:pPr>
      <w:r w:rsidRPr="00032436">
        <w:rPr>
          <w:i/>
        </w:rPr>
        <w:t xml:space="preserve">Aus Sicht moderner Statistik ist </w:t>
      </w:r>
      <w:r w:rsidRPr="00032436">
        <w:rPr>
          <w:b/>
          <w:bCs/>
          <w:i/>
        </w:rPr>
        <w:t>eiMDBayes</w:t>
      </w:r>
      <w:r w:rsidRPr="00032436">
        <w:rPr>
          <w:i/>
        </w:rPr>
        <w:t xml:space="preserve"> das flexibelste und probabilistisch sauberste Modell, während </w:t>
      </w:r>
      <w:r w:rsidRPr="00032436">
        <w:rPr>
          <w:b/>
          <w:bCs/>
          <w:i/>
        </w:rPr>
        <w:t>lphom</w:t>
      </w:r>
      <w:r w:rsidRPr="00032436">
        <w:rPr>
          <w:i/>
        </w:rPr>
        <w:t xml:space="preserve"> oft erstaunlich gut funktioniert, wenn starke räumliche Autokorrelation vorhanden ist und man möglichst wenige parametrisierende Annahmen treffen möchte.</w:t>
      </w:r>
    </w:p>
    <w:p w14:paraId="1B0503F1" w14:textId="7E3388EC" w:rsidR="00537049" w:rsidRDefault="00DF0701">
      <w:r w:rsidRPr="00DF0701">
        <w:rPr>
          <w:i/>
        </w:rPr>
        <w:br/>
      </w:r>
    </w:p>
    <w:sectPr w:rsidR="005370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2F64"/>
    <w:multiLevelType w:val="multilevel"/>
    <w:tmpl w:val="B54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61F0"/>
    <w:multiLevelType w:val="multilevel"/>
    <w:tmpl w:val="005C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12A35"/>
    <w:multiLevelType w:val="multilevel"/>
    <w:tmpl w:val="F0F4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47CDC"/>
    <w:multiLevelType w:val="multilevel"/>
    <w:tmpl w:val="C57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12ADC"/>
    <w:multiLevelType w:val="multilevel"/>
    <w:tmpl w:val="F84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2549D"/>
    <w:multiLevelType w:val="multilevel"/>
    <w:tmpl w:val="8C14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A0984"/>
    <w:multiLevelType w:val="multilevel"/>
    <w:tmpl w:val="816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C0245"/>
    <w:multiLevelType w:val="multilevel"/>
    <w:tmpl w:val="827E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5734C"/>
    <w:multiLevelType w:val="multilevel"/>
    <w:tmpl w:val="1C04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83FE2"/>
    <w:multiLevelType w:val="multilevel"/>
    <w:tmpl w:val="0338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05090A"/>
    <w:multiLevelType w:val="multilevel"/>
    <w:tmpl w:val="EBB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86F56"/>
    <w:multiLevelType w:val="multilevel"/>
    <w:tmpl w:val="207A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468FD"/>
    <w:multiLevelType w:val="multilevel"/>
    <w:tmpl w:val="1D2A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35CD1"/>
    <w:multiLevelType w:val="multilevel"/>
    <w:tmpl w:val="0BF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F364E"/>
    <w:multiLevelType w:val="multilevel"/>
    <w:tmpl w:val="327C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F6BE1"/>
    <w:multiLevelType w:val="multilevel"/>
    <w:tmpl w:val="D9A2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F4798"/>
    <w:multiLevelType w:val="multilevel"/>
    <w:tmpl w:val="C8E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309349">
    <w:abstractNumId w:val="5"/>
  </w:num>
  <w:num w:numId="2" w16cid:durableId="1492402177">
    <w:abstractNumId w:val="7"/>
  </w:num>
  <w:num w:numId="3" w16cid:durableId="1848981351">
    <w:abstractNumId w:val="3"/>
  </w:num>
  <w:num w:numId="4" w16cid:durableId="1426224793">
    <w:abstractNumId w:val="10"/>
  </w:num>
  <w:num w:numId="5" w16cid:durableId="751270714">
    <w:abstractNumId w:val="16"/>
  </w:num>
  <w:num w:numId="6" w16cid:durableId="131145086">
    <w:abstractNumId w:val="11"/>
  </w:num>
  <w:num w:numId="7" w16cid:durableId="1930038817">
    <w:abstractNumId w:val="14"/>
  </w:num>
  <w:num w:numId="8" w16cid:durableId="766540952">
    <w:abstractNumId w:val="6"/>
  </w:num>
  <w:num w:numId="9" w16cid:durableId="1618875624">
    <w:abstractNumId w:val="15"/>
  </w:num>
  <w:num w:numId="10" w16cid:durableId="1827696723">
    <w:abstractNumId w:val="8"/>
  </w:num>
  <w:num w:numId="11" w16cid:durableId="577598184">
    <w:abstractNumId w:val="9"/>
  </w:num>
  <w:num w:numId="12" w16cid:durableId="1612979561">
    <w:abstractNumId w:val="1"/>
  </w:num>
  <w:num w:numId="13" w16cid:durableId="581723716">
    <w:abstractNumId w:val="0"/>
  </w:num>
  <w:num w:numId="14" w16cid:durableId="665740643">
    <w:abstractNumId w:val="4"/>
  </w:num>
  <w:num w:numId="15" w16cid:durableId="1808232191">
    <w:abstractNumId w:val="12"/>
  </w:num>
  <w:num w:numId="16" w16cid:durableId="1111900021">
    <w:abstractNumId w:val="2"/>
  </w:num>
  <w:num w:numId="17" w16cid:durableId="8243911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01"/>
    <w:rsid w:val="00032436"/>
    <w:rsid w:val="000709C1"/>
    <w:rsid w:val="000A1AB2"/>
    <w:rsid w:val="000A4078"/>
    <w:rsid w:val="000B52B0"/>
    <w:rsid w:val="000D73E8"/>
    <w:rsid w:val="0011568A"/>
    <w:rsid w:val="00182E2A"/>
    <w:rsid w:val="002835EB"/>
    <w:rsid w:val="002B214B"/>
    <w:rsid w:val="003D06B7"/>
    <w:rsid w:val="003F5815"/>
    <w:rsid w:val="004321EC"/>
    <w:rsid w:val="004C2204"/>
    <w:rsid w:val="0051047D"/>
    <w:rsid w:val="00537049"/>
    <w:rsid w:val="005374C9"/>
    <w:rsid w:val="005560B3"/>
    <w:rsid w:val="005B1FAB"/>
    <w:rsid w:val="005B5D78"/>
    <w:rsid w:val="00605C8D"/>
    <w:rsid w:val="006D5AE4"/>
    <w:rsid w:val="006F2410"/>
    <w:rsid w:val="007164BD"/>
    <w:rsid w:val="00723C13"/>
    <w:rsid w:val="00753092"/>
    <w:rsid w:val="00883450"/>
    <w:rsid w:val="00895CCA"/>
    <w:rsid w:val="00921564"/>
    <w:rsid w:val="009A60EF"/>
    <w:rsid w:val="009C4A2F"/>
    <w:rsid w:val="009D1BAC"/>
    <w:rsid w:val="00A903C3"/>
    <w:rsid w:val="00AB7D25"/>
    <w:rsid w:val="00AD16E0"/>
    <w:rsid w:val="00B96BC6"/>
    <w:rsid w:val="00BA30A9"/>
    <w:rsid w:val="00C118DC"/>
    <w:rsid w:val="00C63D56"/>
    <w:rsid w:val="00C83B33"/>
    <w:rsid w:val="00CB6051"/>
    <w:rsid w:val="00CF0BF7"/>
    <w:rsid w:val="00DF0701"/>
    <w:rsid w:val="00EE36C0"/>
    <w:rsid w:val="00EE599F"/>
    <w:rsid w:val="00F974A3"/>
    <w:rsid w:val="00FA6BD2"/>
    <w:rsid w:val="00FE3548"/>
    <w:rsid w:val="00FF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3292C"/>
  <w15:chartTrackingRefBased/>
  <w15:docId w15:val="{0342F28E-498C-4424-B238-8D422AD91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0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0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0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0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0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0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0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0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0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0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0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0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07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07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07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07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07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07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0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0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0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0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0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07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07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07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0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07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0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1912</Words>
  <Characters>12048</Characters>
  <Application>Microsoft Office Word</Application>
  <DocSecurity>0</DocSecurity>
  <Lines>100</Lines>
  <Paragraphs>27</Paragraphs>
  <ScaleCrop>false</ScaleCrop>
  <Company/>
  <LinksUpToDate>false</LinksUpToDate>
  <CharactersWithSpaces>13933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Mertes</dc:creator>
  <cp:keywords/>
  <dc:description/>
  <cp:lastModifiedBy>Leonie Mertes</cp:lastModifiedBy>
  <cp:revision>2</cp:revision>
  <dcterms:created xsi:type="dcterms:W3CDTF">2026-06-08T21:22:00Z</dcterms:created>
  <dcterms:modified xsi:type="dcterms:W3CDTF">2026-06-08T21:32:00Z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1146df79-ca6e-4b4a-8e2c-1c9df4003f8a</vt:lpwstr>
  </property>
</Properties>
</file>