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sz w:val="22"/>
          <w:szCs w:val="22"/>
        </w:rPr>
        <w:t xml:space="preserve"/>
      </w:r>
    </w:p>
    <w:p>
      <w:pPr>
        <w:spacing w:after="120" w:before="0"/>
        <w:jc w:val="center"/>
      </w:pPr>
      <w:r>
        <w:rPr>
          <w:rFonts w:ascii="Arial" w:cs="Arial" w:eastAsia="Arial" w:hAnsi="Arial"/>
          <w:b/>
          <w:bCs/>
          <w:color w:val="1F4E78"/>
          <w:sz w:val="44"/>
          <w:szCs w:val="44"/>
        </w:rPr>
        <w:t xml:space="preserve">VERİ KAYNAKLARI VE METODOLOJİ RAPORU</w:t>
      </w:r>
    </w:p>
    <w:p>
      <w:pPr>
        <w:spacing w:after="80" w:before="0"/>
        <w:jc w:val="center"/>
      </w:pPr>
      <w:r>
        <w:rPr>
          <w:rFonts w:ascii="Arial" w:cs="Arial" w:eastAsia="Arial" w:hAnsi="Arial"/>
          <w:color w:val="2E75B6"/>
          <w:sz w:val="28"/>
          <w:szCs w:val="28"/>
        </w:rPr>
        <w:t xml:space="preserve">Türkiye Geneli Orman Yangını Su Depo Yer Seçimi MILP Modeli</w:t>
      </w:r>
    </w:p>
    <w:p>
      <w:pPr>
        <w:spacing w:after="120" w:before="0"/>
        <w:jc w:val="center"/>
      </w:pPr>
      <w:r>
        <w:rPr>
          <w:rFonts w:ascii="Arial" w:cs="Arial" w:eastAsia="Arial" w:hAnsi="Arial"/>
          <w:i/>
          <w:iCs/>
          <w:color w:val="666666"/>
          <w:sz w:val="22"/>
          <w:szCs w:val="22"/>
        </w:rPr>
        <w:t xml:space="preserve">input_v3_turkey_OGM285.xlsx — Parametre Kaynakları</w:t>
      </w:r>
    </w:p>
    <w:p>
      <w:pPr>
        <w:pBdr>
          <w:bottom w:val="single" w:color="2E75B6" w:sz="8" w:space="1"/>
        </w:pBdr>
        <w:spacing w:after="300" w:before="0"/>
        <w:jc w:val="center"/>
      </w:pPr>
      <w:r>
        <w:rPr>
          <w:rFonts w:ascii="Arial" w:cs="Arial" w:eastAsia="Arial" w:hAnsi="Arial"/>
          <w:b/>
          <w:bCs/>
          <w:color w:val="C00000"/>
          <w:sz w:val="22"/>
          <w:szCs w:val="22"/>
        </w:rPr>
        <w:t xml:space="preserve">v2 — d_i_m3 Güncellendi | Yangın Su Tüketimi Kaynakları Eklendi</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1. Giriş ve Genel Çerçeve</w:t>
      </w:r>
    </w:p>
    <w:p>
      <w:pPr>
        <w:spacing w:after="80" w:before="80"/>
        <w:jc w:val="both"/>
      </w:pPr>
      <w:r>
        <w:rPr>
          <w:rFonts w:ascii="Arial" w:cs="Arial" w:eastAsia="Arial" w:hAnsi="Arial"/>
          <w:sz w:val="22"/>
          <w:szCs w:val="22"/>
        </w:rPr>
        <w:t xml:space="preserve">Bu rapor, </w:t>
      </w:r>
      <w:r>
        <w:rPr>
          <w:rFonts w:ascii="Arial" w:cs="Arial" w:eastAsia="Arial" w:hAnsi="Arial"/>
          <w:b/>
          <w:bCs/>
          <w:sz w:val="22"/>
          <w:szCs w:val="22"/>
        </w:rPr>
        <w:t xml:space="preserve">Türkiye Geneli Orman Yangını Su Depo Yer Seçimi</w:t>
      </w:r>
      <w:r>
        <w:rPr>
          <w:rFonts w:ascii="Arial" w:cs="Arial" w:eastAsia="Arial" w:hAnsi="Arial"/>
          <w:sz w:val="22"/>
          <w:szCs w:val="22"/>
        </w:rPr>
        <w:t xml:space="preserve"> MILP modelinin girdi dosyasındaki tüm parametre ve verilerin kaynaklarını açıklamaktadır.</w:t>
      </w:r>
      <w:r>
        <w:rPr>
          <w:rFonts w:ascii="Arial" w:cs="Arial" w:eastAsia="Arial" w:hAnsi="Arial"/>
          <w:sz w:val="22"/>
          <w:szCs w:val="22"/>
        </w:rPr>
        <w:t xml:space="preserve"> Model: </w:t>
      </w:r>
      <w:r>
        <w:rPr>
          <w:rFonts w:ascii="Arial" w:cs="Arial" w:eastAsia="Arial" w:hAnsi="Arial"/>
          <w:b/>
          <w:bCs/>
          <w:sz w:val="22"/>
          <w:szCs w:val="22"/>
        </w:rPr>
        <w:t xml:space="preserve">26 talep noktası</w:t>
      </w:r>
      <w:r>
        <w:rPr>
          <w:rFonts w:ascii="Arial" w:cs="Arial" w:eastAsia="Arial" w:hAnsi="Arial"/>
          <w:sz w:val="22"/>
          <w:szCs w:val="22"/>
        </w:rPr>
        <w:t xml:space="preserve">, </w:t>
      </w:r>
      <w:r>
        <w:rPr>
          <w:rFonts w:ascii="Arial" w:cs="Arial" w:eastAsia="Arial" w:hAnsi="Arial"/>
          <w:b/>
          <w:bCs/>
          <w:sz w:val="22"/>
          <w:szCs w:val="22"/>
        </w:rPr>
        <w:t xml:space="preserve">27 aday depo lokasyonu</w:t>
      </w:r>
      <w:r>
        <w:rPr>
          <w:rFonts w:ascii="Arial" w:cs="Arial" w:eastAsia="Arial" w:hAnsi="Arial"/>
          <w:sz w:val="22"/>
          <w:szCs w:val="22"/>
        </w:rPr>
        <w:t xml:space="preserve"> ve </w:t>
      </w:r>
      <w:r>
        <w:rPr>
          <w:rFonts w:ascii="Arial" w:cs="Arial" w:eastAsia="Arial" w:hAnsi="Arial"/>
          <w:b/>
          <w:bCs/>
          <w:sz w:val="22"/>
          <w:szCs w:val="22"/>
        </w:rPr>
        <w:t xml:space="preserve">3 tank tipi</w:t>
      </w:r>
      <w:r>
        <w:rPr>
          <w:rFonts w:ascii="Arial" w:cs="Arial" w:eastAsia="Arial" w:hAnsi="Arial"/>
          <w:sz w:val="22"/>
          <w:szCs w:val="22"/>
        </w:rPr>
        <w:t xml:space="preserve">.</w:t>
      </w:r>
    </w:p>
    <w:p>
      <w:pPr>
        <w:spacing w:after="0" w:before="8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v2 değişiklikleri: </w:t>
      </w:r>
      <w:r>
        <w:rPr>
          <w:rFonts w:ascii="Arial" w:cs="Arial" w:eastAsia="Arial" w:hAnsi="Arial"/>
          <w:sz w:val="22"/>
          <w:szCs w:val="22"/>
        </w:rPr>
        <w:t xml:space="preserve">Kullanıcı tarafından sağlanan kaynak paketi (Ford Trucks, OGM Eğitim Belgesi, enerjisauretim.com.tr, aa.com.tr Teyithattı, firerescuetruck.com/tr) doğrultusunda </w:t>
      </w:r>
      <w:r>
        <w:rPr>
          <w:rFonts w:ascii="Arial" w:cs="Arial" w:eastAsia="Arial" w:hAnsi="Arial"/>
          <w:b/>
          <w:bCs/>
          <w:sz w:val="22"/>
          <w:szCs w:val="22"/>
        </w:rPr>
        <w:t xml:space="preserve">d_i_m3 parametresi köklü biçimde revize edilmiştir</w:t>
      </w:r>
      <w:r>
        <w:rPr>
          <w:rFonts w:ascii="Arial" w:cs="Arial" w:eastAsia="Arial" w:hAnsi="Arial"/>
          <w:sz w:val="22"/>
          <w:szCs w:val="22"/>
        </w:rPr>
        <w:t xml:space="preserve">. Eski değerler (35–75 m³) OGM'nin zorunlu kıldığı </w:t>
      </w:r>
      <w:r>
        <w:rPr>
          <w:rFonts w:ascii="Arial" w:cs="Arial" w:eastAsia="Arial" w:hAnsi="Arial"/>
          <w:b/>
          <w:bCs/>
          <w:sz w:val="22"/>
          <w:szCs w:val="22"/>
        </w:rPr>
        <w:t xml:space="preserve">50–150 ton havuz alt sınırının</w:t>
      </w:r>
      <w:r>
        <w:rPr>
          <w:rFonts w:ascii="Arial" w:cs="Arial" w:eastAsia="Arial" w:hAnsi="Arial"/>
          <w:sz w:val="22"/>
          <w:szCs w:val="22"/>
        </w:rPr>
        <w:t xml:space="preserve"> altında kalıyordu ve tek arazöz seferini bile doldurmaya yetmiyordu. Yeni değerler (50–200 m³) gerçek tim yapısına ve OGM mevzuatına dayandırılmıştır.</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2. Müdahale Süresi Limitleri (T_i_min)</w:t>
      </w:r>
    </w:p>
    <w:p>
      <w:pPr>
        <w:pStyle w:val="Heading2"/>
        <w:spacing w:after="120" w:before="240"/>
      </w:pPr>
      <w:r>
        <w:rPr>
          <w:rFonts w:ascii="Arial" w:cs="Arial" w:eastAsia="Arial" w:hAnsi="Arial"/>
          <w:b/>
          <w:bCs/>
          <w:color w:val="2E75B6"/>
          <w:sz w:val="26"/>
          <w:szCs w:val="26"/>
        </w:rPr>
        <w:t xml:space="preserve">2.1  Kaynak: OGM 285 Sayılı Tebliğ, Madde 6.1</w:t>
      </w:r>
    </w:p>
    <w:p>
      <w:pPr>
        <w:spacing w:after="80" w:before="80"/>
        <w:jc w:val="both"/>
      </w:pPr>
      <w:r>
        <w:rPr>
          <w:rFonts w:ascii="Arial" w:cs="Arial" w:eastAsia="Arial" w:hAnsi="Arial"/>
          <w:sz w:val="22"/>
          <w:szCs w:val="22"/>
        </w:rPr>
        <w:t xml:space="preserve">Müdahale süresi limitleri, OGM 285 Sayılı Tebliğ Bölüm IV Madde 6.1'den birebir alınmıştır:</w:t>
      </w:r>
    </w:p>
    <w:p>
      <w:pPr>
        <w:spacing w:after="0" w:before="80"/>
      </w:pPr>
      <w:r>
        <w:rPr>
          <w:rFonts w:ascii="Arial" w:cs="Arial" w:eastAsia="Arial" w:hAnsi="Arial"/>
          <w:sz w:val="22"/>
          <w:szCs w:val="22"/>
        </w:rPr>
        <w:t xml:space="preserve"/>
      </w:r>
    </w:p>
    <w:p>
      <w:pPr>
        <w:pBdr>
          <w:left w:val="single" w:color="2E75B6" w:sz="8" w:space="200"/>
        </w:pBdr>
        <w:spacing w:after="80" w:before="80"/>
        <w:ind w:left="720"/>
      </w:pPr>
      <w:r>
        <w:rPr>
          <w:rFonts w:ascii="Arial" w:cs="Arial" w:eastAsia="Arial" w:hAnsi="Arial"/>
          <w:i/>
          <w:iCs/>
          <w:color w:val="444444"/>
          <w:sz w:val="22"/>
          <w:szCs w:val="22"/>
        </w:rPr>
        <w:t xml:space="preserve">"İlk müdahale ekipleri, ormanın uç noktasındaki yangına; 1. derece hassas ormanlarda 20 dakika içinde, 2. derece hassas ormanlarda 30 dakika içinde, 3. derece hassas ormanlarda 40 dakika içinde, 4. ve 5. derece hassas ormanlarda 50 dakika içinde müdahale edecek şekilde yerleştirilecektir."</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26"/>
        <w:gridCol w:w="2000"/>
      </w:tblGrid>
      <w:tr>
        <w:trPr>
          <w:tblHeader/>
        </w:trPr>
        <w:tc>
          <w:tcPr>
            <w:tcW w:type="dxa" w:w="18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OGM Tehlike Sınıfı</w:t>
            </w:r>
          </w:p>
        </w:tc>
        <w:tc>
          <w:tcPr>
            <w:tcW w:type="dxa" w:w="16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T_i_min (dk)</w:t>
            </w:r>
          </w:p>
        </w:tc>
        <w:tc>
          <w:tcPr>
            <w:tcW w:type="dxa" w:w="16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Yangın/Yıl</w:t>
            </w:r>
          </w:p>
        </w:tc>
        <w:tc>
          <w:tcPr>
            <w:tcW w:type="dxa" w:w="20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Kapsanan Bölgeler</w:t>
            </w:r>
          </w:p>
        </w:tc>
        <w:tc>
          <w:tcPr>
            <w:tcW w:type="dxa" w:w="20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Tebliğ Maddesi</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 Derece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20</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≥10.1</w:t>
            </w:r>
          </w:p>
        </w:tc>
        <w:tc>
          <w:tcPr>
            <w:tcW w:type="dxa" w:w="2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Muğla, Antalya</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Madde 6.1</w:t>
            </w:r>
          </w:p>
        </w:tc>
      </w:tr>
      <w:tr>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 Derece</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30</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6.1–10.0</w:t>
            </w:r>
          </w:p>
        </w:tc>
        <w:tc>
          <w:tcPr>
            <w:tcW w:type="dxa" w:w="20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İzmir, Aydın, Mersin, Adana</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Madde 6.1</w:t>
            </w:r>
          </w:p>
        </w:tc>
      </w:tr>
      <w:tr>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 Derece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40</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3.1–6.0</w:t>
            </w:r>
          </w:p>
        </w:tc>
        <w:tc>
          <w:tcPr>
            <w:tcW w:type="dxa" w:w="20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Bursa, Sakarya, Balıkesir</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Madde 6.1</w:t>
            </w:r>
          </w:p>
        </w:tc>
      </w:tr>
      <w:tr>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4–5. Derece</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50</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≤3.0</w:t>
            </w:r>
          </w:p>
        </w:tc>
        <w:tc>
          <w:tcPr>
            <w:tcW w:type="dxa" w:w="20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Konya, Elazığ, Diyarbakır</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Madde 6.1</w:t>
            </w:r>
          </w:p>
        </w:tc>
      </w:tr>
    </w:tbl>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3. Depo Kapasitesi Talep Miktarları (d_i_m3) — REVİZE</w:t>
      </w:r>
    </w:p>
    <w:p>
      <w:pPr>
        <w:pStyle w:val="Heading2"/>
        <w:spacing w:after="120" w:before="240"/>
      </w:pPr>
      <w:r>
        <w:rPr>
          <w:rFonts w:ascii="Arial" w:cs="Arial" w:eastAsia="Arial" w:hAnsi="Arial"/>
          <w:b/>
          <w:bCs/>
          <w:color w:val="2E75B6"/>
          <w:sz w:val="26"/>
          <w:szCs w:val="26"/>
        </w:rPr>
        <w:t xml:space="preserve">3.1  Eski Yaklaşımın Sorunu</w:t>
      </w:r>
    </w:p>
    <w:p>
      <w:pPr>
        <w:spacing w:after="80" w:before="80"/>
        <w:jc w:val="both"/>
      </w:pPr>
      <w:r>
        <w:rPr>
          <w:rFonts w:ascii="Arial" w:cs="Arial" w:eastAsia="Arial" w:hAnsi="Arial"/>
          <w:sz w:val="22"/>
          <w:szCs w:val="22"/>
        </w:rPr>
        <w:t xml:space="preserve">İlk versiyonda d_i_m3 değerleri 35–75 m³ olarak belirlenmişti. Bu değerlerin iki temel sorunu vardı:</w:t>
      </w:r>
    </w:p>
    <w:p>
      <w:pPr>
        <w:pStyle w:val="ListParagraph"/>
        <w:numPr>
          <w:ilvl w:val="0"/>
          <w:numId w:val="2"/>
        </w:numPr>
        <w:spacing w:after="60" w:before="60"/>
        <w:ind w:left="720" w:hanging="360"/>
      </w:pPr>
      <w:r>
        <w:rPr>
          <w:rFonts w:ascii="Arial" w:cs="Arial" w:eastAsia="Arial" w:hAnsi="Arial"/>
          <w:sz w:val="22"/>
          <w:szCs w:val="22"/>
        </w:rPr>
        <w:t xml:space="preserve">OGM 285 Tebliğ Madde 13.2.a, ekip merkezlerinde "asgari 50–150 tonluk su havuzu" inşaatını zorunlu kılar. 35–45 m³ değerleri bu mevzuat alt sınırının altında kalıyordu.</w:t>
      </w:r>
    </w:p>
    <w:p>
      <w:pPr>
        <w:pStyle w:val="ListParagraph"/>
        <w:numPr>
          <w:ilvl w:val="0"/>
          <w:numId w:val="2"/>
        </w:numPr>
        <w:spacing w:after="60" w:before="60"/>
        <w:ind w:left="720" w:hanging="360"/>
      </w:pPr>
      <w:r>
        <w:rPr>
          <w:rFonts w:ascii="Arial" w:cs="Arial" w:eastAsia="Arial" w:hAnsi="Arial"/>
          <w:sz w:val="22"/>
          <w:szCs w:val="22"/>
        </w:rPr>
        <w:t xml:space="preserve">OGM Eğitim Belgesine göre standart tim 3 adet arazöz (3.000–6.000 L tank) + 1 su ikmal aracı (8.000–10.000 L) içerir. Tek bir tim seferi ortalama ~21,5 m³ su kullanır. 35 m³'lük depo tam 1,5 seferi ancak karşılar; yedek, eş zamanlı ikinci yangın veya yeniden alevlenme senaryoları için tampon bırakmaz.</w:t>
      </w:r>
    </w:p>
    <w:p>
      <w:pPr>
        <w:pStyle w:val="ListParagraph"/>
        <w:numPr>
          <w:ilvl w:val="0"/>
          <w:numId w:val="2"/>
        </w:numPr>
        <w:spacing w:after="60" w:before="60"/>
        <w:ind w:left="720" w:hanging="360"/>
      </w:pPr>
      <w:r>
        <w:rPr>
          <w:rFonts w:ascii="Arial" w:cs="Arial" w:eastAsia="Arial" w:hAnsi="Arial"/>
          <w:sz w:val="22"/>
          <w:szCs w:val="22"/>
        </w:rPr>
        <w:t xml:space="preserve">Ford Trucks (fordtrucks.com.tr) itfaiye araç kapasitesini 2.000–18.000 L olarak belirtmektedir. Yüksek kapasiteli araçlarla tek seferde 18 m³ su taşınırken depoda yalnızca 35–75 m³ tutmak pratik anlam taşımaz.</w:t>
      </w:r>
    </w:p>
    <w:p>
      <w:pPr>
        <w:spacing w:after="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3.2  Kaynak Paketi — Yangın Su Tüketimi</w:t>
      </w:r>
    </w:p>
    <w:p>
      <w:pPr>
        <w:spacing w:after="80" w:before="80"/>
        <w:jc w:val="both"/>
      </w:pPr>
      <w:r>
        <w:rPr>
          <w:rFonts w:ascii="Arial" w:cs="Arial" w:eastAsia="Arial" w:hAnsi="Arial"/>
          <w:sz w:val="22"/>
          <w:szCs w:val="22"/>
        </w:rPr>
        <w:t xml:space="preserve">Aşağıdaki tablo, revize için kullanılan araç ve sistem kaynaklarını özetlemektedir:</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626"/>
        <w:gridCol w:w="2000"/>
      </w:tblGrid>
      <w:tr>
        <w:trPr>
          <w:tblHeader/>
        </w:trPr>
        <w:tc>
          <w:tcPr>
            <w:tcW w:type="dxa" w:w="20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Araç / Kaynak</w:t>
            </w:r>
          </w:p>
        </w:tc>
        <w:tc>
          <w:tcPr>
            <w:tcW w:type="dxa" w:w="18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 Kapasitesi</w:t>
            </w:r>
          </w:p>
        </w:tc>
        <w:tc>
          <w:tcPr>
            <w:tcW w:type="dxa" w:w="16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Atış Hızı</w:t>
            </w:r>
          </w:p>
        </w:tc>
        <w:tc>
          <w:tcPr>
            <w:tcW w:type="dxa" w:w="16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Tank Tükenme</w:t>
            </w:r>
          </w:p>
        </w:tc>
        <w:tc>
          <w:tcPr>
            <w:tcW w:type="dxa" w:w="20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Kaynak</w:t>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Arazözü (standart)</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3.000–6.000 L</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Eğt.Dok. §Arazözler</w:t>
            </w:r>
          </w:p>
        </w:tc>
      </w:tr>
      <w:tr>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Monitör donanımlı araç</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3.000–6.000 L</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2.500–3.500 L/dk</w:t>
            </w:r>
          </w:p>
        </w:tc>
        <w:tc>
          <w:tcPr>
            <w:tcW w:type="dxa" w:w="16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~5 dakika</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 Eğt.Dok. §Monitör</w:t>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Su İkmal Aracı (tanker)</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8.000–10.000 L</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285 Tebliğ §13</w:t>
            </w:r>
          </w:p>
        </w:tc>
      </w:tr>
      <w:tr>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İtfaiye (genel)</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2.000–18.000 L</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Ford Trucks (fordtrucks.com.tr)</w:t>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CL-215 Yangın Uçağı</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4.500–5.400 L</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Kullanıcı kaynak paketi</w:t>
            </w:r>
          </w:p>
        </w:tc>
      </w:tr>
      <w:tr>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Air Tractor (tarım bazlı)</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~150 L (su atma)</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AA.com.tr Teyithattı</w:t>
            </w:r>
          </w:p>
        </w:tc>
      </w:tr>
      <w:tr>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 litre suyun etkisi</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2.260 kJ ısı emme</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6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firerescuetruck.com/tr</w:t>
            </w:r>
          </w:p>
        </w:tc>
      </w:tr>
    </w:tbl>
    <w:p>
      <w:pPr>
        <w:spacing w:after="0" w:before="8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Yangın büyümesiyle artan su ihtiyacı: </w:t>
      </w:r>
      <w:r>
        <w:rPr>
          <w:rFonts w:ascii="Arial" w:cs="Arial" w:eastAsia="Arial" w:hAnsi="Arial"/>
          <w:sz w:val="22"/>
          <w:szCs w:val="22"/>
        </w:rPr>
        <w:t xml:space="preserve">firerescuetruck.com/tr kaynağına göre; 1 litre su yaklaşık 2.260 kJ ısı emerek buharlaşır. Yangın ilk saniyede 1 L su ile söndürülebilirken, 2. dakikada 100 L'den fazla, 10. dakikada 1.000 L'den fazla su gerekebilir. Bu üstel artış, depo rezervini tek sefer üzerinden değil uzun vadeli rezerv olarak boyutlandırma zorunluluğunu ortaya koyar.</w:t>
      </w:r>
    </w:p>
    <w:p>
      <w:pPr>
        <w:spacing w:after="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3.3  Yeni d_i_m3 Hesaplama Yöntemi</w:t>
      </w:r>
    </w:p>
    <w:p>
      <w:pPr>
        <w:spacing w:after="80" w:before="80"/>
        <w:jc w:val="both"/>
      </w:pPr>
      <w:r>
        <w:rPr>
          <w:rFonts w:ascii="Arial" w:cs="Arial" w:eastAsia="Arial" w:hAnsi="Arial"/>
          <w:b/>
          <w:bCs/>
          <w:sz w:val="22"/>
          <w:szCs w:val="22"/>
        </w:rPr>
        <w:t xml:space="preserve">Tim yapısı (OGM Eğitim Belgesi): </w:t>
      </w:r>
      <w:r>
        <w:rPr>
          <w:rFonts w:ascii="Arial" w:cs="Arial" w:eastAsia="Arial" w:hAnsi="Arial"/>
          <w:sz w:val="22"/>
          <w:szCs w:val="22"/>
        </w:rPr>
        <w:t xml:space="preserve">Standart tim = 3 arazöz (ortalama 4.500 L/araç, muhafazakâr) + 1 su ikmal aracı (8.000 L) = toplam ~21.500 L ≈ 21,5 m³/sefer.</w:t>
      </w:r>
    </w:p>
    <w:p>
      <w:pPr>
        <w:spacing w:after="0" w:before="8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OGM 285 §13.2.a mevzuat sınırı: </w:t>
      </w:r>
      <w:r>
        <w:rPr>
          <w:rFonts w:ascii="Arial" w:cs="Arial" w:eastAsia="Arial" w:hAnsi="Arial"/>
          <w:sz w:val="22"/>
          <w:szCs w:val="22"/>
        </w:rPr>
        <w:t xml:space="preserve">Her ekip merkezinde 50–150 ton su havuzu zorunludur. Bu sınır tüm tehlike sınıfları için asgari 50 m³ depo büyüklüğünü belirler.</w:t>
      </w:r>
    </w:p>
    <w:p>
      <w:pPr>
        <w:spacing w:after="0" w:before="8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Depo kapasitesi = Tim sayısı × Sefer başı su tüketimi × Sefer sayısı × Emniyet katsayısı:</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300"/>
        <w:gridCol w:w="1200"/>
        <w:gridCol w:w="1226"/>
        <w:gridCol w:w="1900"/>
      </w:tblGrid>
      <w:tr>
        <w:trPr>
          <w:tblHeader/>
        </w:trPr>
        <w:tc>
          <w:tcPr>
            <w:tcW w:type="dxa" w:w="14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Tehlike Sınıfı</w:t>
            </w:r>
          </w:p>
        </w:tc>
        <w:tc>
          <w:tcPr>
            <w:tcW w:type="dxa" w:w="10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 Yapısı</w:t>
            </w:r>
          </w:p>
        </w:tc>
        <w:tc>
          <w:tcPr>
            <w:tcW w:type="dxa" w:w="13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Sefer Başı Su (m³)</w:t>
            </w:r>
          </w:p>
        </w:tc>
        <w:tc>
          <w:tcPr>
            <w:tcW w:type="dxa" w:w="12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Sefer Sayısı</w:t>
            </w:r>
          </w:p>
        </w:tc>
        <w:tc>
          <w:tcPr>
            <w:tcW w:type="dxa" w:w="12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Emniyet Katsayısı</w:t>
            </w:r>
          </w:p>
        </w:tc>
        <w:tc>
          <w:tcPr>
            <w:tcW w:type="dxa" w:w="19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d_i_m3 (Yeni)</w:t>
            </w:r>
          </w:p>
        </w:tc>
      </w:tr>
      <w:tr>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 Derece</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2 tim
(3 arazöz + 1 ikmal)</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3×4.5+8 = 21.5 m³</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2 sefer</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 (eş zamanlı risk)</w:t>
            </w:r>
          </w:p>
        </w:tc>
        <w:tc>
          <w:tcPr>
            <w:tcW w:type="dxa" w:w="1900"/>
            <w:tcBorders>
              <w:top w:val="single" w:color="BDD7EE" w:sz="1"/>
              <w:left w:val="single" w:color="BDD7EE" w:sz="1"/>
              <w:bottom w:val="single" w:color="BDD7EE" w:sz="1"/>
              <w:right w:val="single" w:color="BDD7EE" w:sz="1"/>
            </w:tcBorders>
            <w:shd w:fill="C6EFCE" w:val="clear"/>
            <w:tcMar>
              <w:top w:type="dxa" w:w="60"/>
              <w:left w:type="dxa" w:w="120"/>
              <w:bottom w:type="dxa" w:w="60"/>
              <w:right w:type="dxa" w:w="120"/>
            </w:tcMar>
          </w:tcPr>
          <w:p>
            <w:pPr>
              <w:jc w:val="center"/>
            </w:pPr>
            <w:r>
              <w:rPr>
                <w:rFonts w:ascii="Arial" w:cs="Arial" w:eastAsia="Arial" w:hAnsi="Arial"/>
                <w:color w:val="375623"/>
                <w:sz w:val="20"/>
                <w:szCs w:val="20"/>
              </w:rPr>
              <w:t xml:space="preserve">200 m³</w:t>
            </w:r>
          </w:p>
        </w:tc>
      </w:tr>
      <w:tr>
        <w:tc>
          <w:tcPr>
            <w:tcW w:type="dxa" w:w="14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 Derece</w:t>
            </w:r>
          </w:p>
        </w:tc>
        <w:tc>
          <w:tcPr>
            <w:tcW w:type="dxa" w:w="1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 tim
(3 arazöz + 1 ikmal)</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3×4.5+8 = 21.5 m³</w:t>
            </w:r>
          </w:p>
        </w:tc>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 sefer</w:t>
            </w:r>
          </w:p>
        </w:tc>
        <w:tc>
          <w:tcPr>
            <w:tcW w:type="dxa" w:w="12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×2 (emniyet)</w:t>
            </w:r>
          </w:p>
        </w:tc>
        <w:tc>
          <w:tcPr>
            <w:tcW w:type="dxa" w:w="1900"/>
            <w:tcBorders>
              <w:top w:val="single" w:color="BDD7EE" w:sz="1"/>
              <w:left w:val="single" w:color="BDD7EE" w:sz="1"/>
              <w:bottom w:val="single" w:color="BDD7EE" w:sz="1"/>
              <w:right w:val="single" w:color="BDD7EE" w:sz="1"/>
            </w:tcBorders>
            <w:shd w:fill="C6EFCE" w:val="clear"/>
            <w:tcMar>
              <w:top w:type="dxa" w:w="60"/>
              <w:left w:type="dxa" w:w="120"/>
              <w:bottom w:type="dxa" w:w="60"/>
              <w:right w:type="dxa" w:w="120"/>
            </w:tcMar>
          </w:tcPr>
          <w:p>
            <w:pPr>
              <w:jc w:val="center"/>
            </w:pPr>
            <w:r>
              <w:rPr>
                <w:rFonts w:ascii="Arial" w:cs="Arial" w:eastAsia="Arial" w:hAnsi="Arial"/>
                <w:color w:val="375623"/>
                <w:sz w:val="20"/>
                <w:szCs w:val="20"/>
              </w:rPr>
              <w:t xml:space="preserve">100 m³</w:t>
            </w:r>
          </w:p>
        </w:tc>
      </w:tr>
      <w:tr>
        <w:tc>
          <w:tcPr>
            <w:tcW w:type="dxa" w:w="14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 Derece</w:t>
            </w:r>
          </w:p>
        </w:tc>
        <w:tc>
          <w:tcPr>
            <w:tcW w:type="dxa" w:w="1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 tim
(2 arazöz + 1 ikmal)</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2×4.5+8 = 17 m³</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 sefer</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 (OGM min≥50)</w:t>
            </w:r>
          </w:p>
        </w:tc>
        <w:tc>
          <w:tcPr>
            <w:tcW w:type="dxa" w:w="1900"/>
            <w:tcBorders>
              <w:top w:val="single" w:color="BDD7EE" w:sz="1"/>
              <w:left w:val="single" w:color="BDD7EE" w:sz="1"/>
              <w:bottom w:val="single" w:color="BDD7EE" w:sz="1"/>
              <w:right w:val="single" w:color="BDD7EE" w:sz="1"/>
            </w:tcBorders>
            <w:shd w:fill="C6EFCE" w:val="clear"/>
            <w:tcMar>
              <w:top w:type="dxa" w:w="60"/>
              <w:left w:type="dxa" w:w="120"/>
              <w:bottom w:type="dxa" w:w="60"/>
              <w:right w:type="dxa" w:w="120"/>
            </w:tcMar>
          </w:tcPr>
          <w:p>
            <w:pPr>
              <w:jc w:val="center"/>
            </w:pPr>
            <w:r>
              <w:rPr>
                <w:rFonts w:ascii="Arial" w:cs="Arial" w:eastAsia="Arial" w:hAnsi="Arial"/>
                <w:color w:val="375623"/>
                <w:sz w:val="20"/>
                <w:szCs w:val="20"/>
              </w:rPr>
              <w:t xml:space="preserve">75 m³</w:t>
            </w:r>
          </w:p>
        </w:tc>
      </w:tr>
      <w:tr>
        <w:tc>
          <w:tcPr>
            <w:tcW w:type="dxa" w:w="14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4–5. Derece</w:t>
            </w:r>
          </w:p>
        </w:tc>
        <w:tc>
          <w:tcPr>
            <w:tcW w:type="dxa" w:w="1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 §13.2.a min sınır</w:t>
            </w:r>
          </w:p>
        </w:tc>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w:t>
            </w:r>
          </w:p>
        </w:tc>
        <w:tc>
          <w:tcPr>
            <w:tcW w:type="dxa" w:w="12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w:t>
            </w:r>
          </w:p>
        </w:tc>
        <w:tc>
          <w:tcPr>
            <w:tcW w:type="dxa" w:w="1900"/>
            <w:tcBorders>
              <w:top w:val="single" w:color="BDD7EE" w:sz="1"/>
              <w:left w:val="single" w:color="BDD7EE" w:sz="1"/>
              <w:bottom w:val="single" w:color="BDD7EE" w:sz="1"/>
              <w:right w:val="single" w:color="BDD7EE" w:sz="1"/>
            </w:tcBorders>
            <w:shd w:fill="C6EFCE" w:val="clear"/>
            <w:tcMar>
              <w:top w:type="dxa" w:w="60"/>
              <w:left w:type="dxa" w:w="120"/>
              <w:bottom w:type="dxa" w:w="60"/>
              <w:right w:type="dxa" w:w="120"/>
            </w:tcMar>
          </w:tcPr>
          <w:p>
            <w:pPr>
              <w:jc w:val="center"/>
            </w:pPr>
            <w:r>
              <w:rPr>
                <w:rFonts w:ascii="Arial" w:cs="Arial" w:eastAsia="Arial" w:hAnsi="Arial"/>
                <w:color w:val="375623"/>
                <w:sz w:val="20"/>
                <w:szCs w:val="20"/>
              </w:rPr>
              <w:t xml:space="preserve">50 m³</w:t>
            </w:r>
          </w:p>
        </w:tc>
      </w:tr>
    </w:tbl>
    <w:p>
      <w:pPr>
        <w:spacing w:after="0" w:before="8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Kaynak: OGM Eğitim Belgesi — Orman ve Kırsal Alan Yangınlarının Söndürülmesi (ogm.gov.tr); OGM 285 Sayılı Tebliğ Madde 13.2.a; Ford Trucks Kamu Çözümleri (fordtrucks.com.tr); firerescuetruck.com/tr; enerjisauretim.com.tr.</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4. Yağmur Suyu Hasadı (R_j_harvest_m3)</w:t>
      </w:r>
    </w:p>
    <w:p>
      <w:pPr>
        <w:pStyle w:val="Heading2"/>
        <w:spacing w:after="120" w:before="240"/>
      </w:pPr>
      <w:r>
        <w:rPr>
          <w:rFonts w:ascii="Arial" w:cs="Arial" w:eastAsia="Arial" w:hAnsi="Arial"/>
          <w:b/>
          <w:bCs/>
          <w:color w:val="2E75B6"/>
          <w:sz w:val="26"/>
          <w:szCs w:val="26"/>
        </w:rPr>
        <w:t xml:space="preserve">4.1  Kaynak: MGM 1991–2020 Uzun Dönem Yağış Ortalamaları</w:t>
      </w:r>
    </w:p>
    <w:p>
      <w:pPr>
        <w:spacing w:after="80" w:before="80"/>
        <w:jc w:val="both"/>
      </w:pPr>
      <w:r>
        <w:rPr>
          <w:rFonts w:ascii="Arial" w:cs="Arial" w:eastAsia="Arial" w:hAnsi="Arial"/>
          <w:sz w:val="22"/>
          <w:szCs w:val="22"/>
        </w:rPr>
        <w:t xml:space="preserve">Her aday lokasyona ait yıllık yağış değeri (</w:t>
      </w:r>
      <w:r>
        <w:rPr>
          <w:rFonts w:ascii="Arial" w:cs="Arial" w:eastAsia="Arial" w:hAnsi="Arial"/>
          <w:b/>
          <w:bCs/>
          <w:sz w:val="22"/>
          <w:szCs w:val="22"/>
        </w:rPr>
        <w:t xml:space="preserve">P_j_rainfall_mm</w:t>
      </w:r>
      <w:r>
        <w:rPr>
          <w:rFonts w:ascii="Arial" w:cs="Arial" w:eastAsia="Arial" w:hAnsi="Arial"/>
          <w:sz w:val="22"/>
          <w:szCs w:val="22"/>
        </w:rPr>
        <w:t xml:space="preserve">), MGM'nin 1991–2020 uzun dönem yağış ortalamaları veri tabanından alınmıştır.</w:t>
      </w:r>
    </w:p>
    <w:p>
      <w:pPr>
        <w:spacing w:after="0" w:before="8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Bölgesel değerler:</w:t>
      </w:r>
    </w:p>
    <w:p>
      <w:pPr>
        <w:pStyle w:val="ListParagraph"/>
        <w:numPr>
          <w:ilvl w:val="0"/>
          <w:numId w:val="2"/>
        </w:numPr>
        <w:spacing w:after="60" w:before="60"/>
        <w:ind w:left="720" w:hanging="360"/>
      </w:pPr>
      <w:r>
        <w:rPr>
          <w:rFonts w:ascii="Arial" w:cs="Arial" w:eastAsia="Arial" w:hAnsi="Arial"/>
          <w:sz w:val="22"/>
          <w:szCs w:val="22"/>
        </w:rPr>
        <w:t xml:space="preserve">Muğla (Marmaris, Fethiye çevresi): 900–1.200 mm/yıl</w:t>
      </w:r>
    </w:p>
    <w:p>
      <w:pPr>
        <w:pStyle w:val="ListParagraph"/>
        <w:numPr>
          <w:ilvl w:val="0"/>
          <w:numId w:val="2"/>
        </w:numPr>
        <w:spacing w:after="60" w:before="60"/>
        <w:ind w:left="720" w:hanging="360"/>
      </w:pPr>
      <w:r>
        <w:rPr>
          <w:rFonts w:ascii="Arial" w:cs="Arial" w:eastAsia="Arial" w:hAnsi="Arial"/>
          <w:sz w:val="22"/>
          <w:szCs w:val="22"/>
        </w:rPr>
        <w:t xml:space="preserve">Antalya (Kumluca, Manavgat): 870–1.200 mm/yıl</w:t>
      </w:r>
    </w:p>
    <w:p>
      <w:pPr>
        <w:pStyle w:val="ListParagraph"/>
        <w:numPr>
          <w:ilvl w:val="0"/>
          <w:numId w:val="2"/>
        </w:numPr>
        <w:spacing w:after="60" w:before="60"/>
        <w:ind w:left="720" w:hanging="360"/>
      </w:pPr>
      <w:r>
        <w:rPr>
          <w:rFonts w:ascii="Arial" w:cs="Arial" w:eastAsia="Arial" w:hAnsi="Arial"/>
          <w:sz w:val="22"/>
          <w:szCs w:val="22"/>
        </w:rPr>
        <w:t xml:space="preserve">İzmir, Aydın (iç kesim): 600–700 mm/yıl</w:t>
      </w:r>
    </w:p>
    <w:p>
      <w:pPr>
        <w:pStyle w:val="ListParagraph"/>
        <w:numPr>
          <w:ilvl w:val="0"/>
          <w:numId w:val="2"/>
        </w:numPr>
        <w:spacing w:after="60" w:before="60"/>
        <w:ind w:left="720" w:hanging="360"/>
      </w:pPr>
      <w:r>
        <w:rPr>
          <w:rFonts w:ascii="Arial" w:cs="Arial" w:eastAsia="Arial" w:hAnsi="Arial"/>
          <w:sz w:val="22"/>
          <w:szCs w:val="22"/>
        </w:rPr>
        <w:t xml:space="preserve">Adana, Mersin (kıyı): 630–730 mm/yıl</w:t>
      </w:r>
    </w:p>
    <w:p>
      <w:pPr>
        <w:pStyle w:val="ListParagraph"/>
        <w:numPr>
          <w:ilvl w:val="0"/>
          <w:numId w:val="2"/>
        </w:numPr>
        <w:spacing w:after="60" w:before="60"/>
        <w:ind w:left="720" w:hanging="360"/>
      </w:pPr>
      <w:r>
        <w:rPr>
          <w:rFonts w:ascii="Arial" w:cs="Arial" w:eastAsia="Arial" w:hAnsi="Arial"/>
          <w:sz w:val="22"/>
          <w:szCs w:val="22"/>
        </w:rPr>
        <w:t xml:space="preserve">Konya (iç Anadolu): 430–520 mm/yıl</w:t>
      </w:r>
    </w:p>
    <w:p>
      <w:pPr>
        <w:pStyle w:val="ListParagraph"/>
        <w:numPr>
          <w:ilvl w:val="0"/>
          <w:numId w:val="2"/>
        </w:numPr>
        <w:spacing w:after="60" w:before="60"/>
        <w:ind w:left="720" w:hanging="360"/>
      </w:pPr>
      <w:r>
        <w:rPr>
          <w:rFonts w:ascii="Arial" w:cs="Arial" w:eastAsia="Arial" w:hAnsi="Arial"/>
          <w:sz w:val="22"/>
          <w:szCs w:val="22"/>
        </w:rPr>
        <w:t xml:space="preserve">Elazığ, Diyarbakır: 400–440 mm/yıl</w:t>
      </w:r>
    </w:p>
    <w:p>
      <w:pPr>
        <w:spacing w:after="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Runoff ve Verimlilik Katsayıları (NFPA 1142)</w:t>
      </w:r>
    </w:p>
    <w:p>
      <w:pPr>
        <w:spacing w:after="80" w:before="80"/>
        <w:jc w:val="both"/>
      </w:pPr>
      <w:r>
        <w:rPr>
          <w:rFonts w:ascii="Arial" w:cs="Arial" w:eastAsia="Arial" w:hAnsi="Arial"/>
          <w:b/>
          <w:bCs/>
          <w:sz w:val="22"/>
          <w:szCs w:val="22"/>
        </w:rPr>
        <w:t xml:space="preserve">phi_j_runoff: </w:t>
      </w:r>
      <w:r>
        <w:rPr>
          <w:rFonts w:ascii="Arial" w:cs="Arial" w:eastAsia="Arial" w:hAnsi="Arial"/>
          <w:sz w:val="22"/>
          <w:szCs w:val="22"/>
        </w:rPr>
        <w:t xml:space="preserve">NFPA 1142 standardı beton/asfalt yüzey katsayıları: phi = 0,76–0,82.</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eta_j_efficiency: </w:t>
      </w:r>
      <w:r>
        <w:rPr>
          <w:rFonts w:ascii="Arial" w:cs="Arial" w:eastAsia="Arial" w:hAnsi="Arial"/>
          <w:sz w:val="22"/>
          <w:szCs w:val="22"/>
        </w:rPr>
        <w:t xml:space="preserve">Filtre + çökelme kaybı %15–20 → eta = 0,82–0,83.</w:t>
      </w:r>
    </w:p>
    <w:p>
      <w:pPr>
        <w:spacing w:after="0" w:before="80"/>
      </w:pPr>
      <w:r>
        <w:rPr>
          <w:rFonts w:ascii="Arial" w:cs="Arial" w:eastAsia="Arial" w:hAnsi="Arial"/>
          <w:sz w:val="22"/>
          <w:szCs w:val="22"/>
        </w:rPr>
        <w:t xml:space="preserve"/>
      </w:r>
    </w:p>
    <w:p>
      <w:pPr>
        <w:pBdr>
          <w:top w:val="single" w:color="D6E4F0" w:sz="4" w:space="1"/>
          <w:bottom w:val="single" w:color="D6E4F0" w:sz="4" w:space="1"/>
        </w:pBdr>
        <w:spacing w:after="120" w:before="120"/>
        <w:jc w:val="center"/>
      </w:pPr>
      <w:r>
        <w:rPr>
          <w:rFonts w:ascii="Arial" w:cs="Arial" w:eastAsia="Arial" w:hAnsi="Arial"/>
          <w:b/>
          <w:bCs/>
          <w:color w:val="2E75B6"/>
          <w:sz w:val="24"/>
          <w:szCs w:val="24"/>
        </w:rPr>
        <w:t xml:space="preserve">R_j  =  P_j  ×  A_j  ×  phi_j  ×  eta_j  /  1.000</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226"/>
        <w:gridCol w:w="1300"/>
        <w:gridCol w:w="2000"/>
      </w:tblGrid>
      <w:tr>
        <w:trPr>
          <w:tblHeader/>
        </w:trPr>
        <w:tc>
          <w:tcPr>
            <w:tcW w:type="dxa" w:w="12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8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Bölge</w:t>
            </w:r>
          </w:p>
        </w:tc>
        <w:tc>
          <w:tcPr>
            <w:tcW w:type="dxa" w:w="15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P_j (mm/yıl)</w:t>
            </w:r>
          </w:p>
        </w:tc>
        <w:tc>
          <w:tcPr>
            <w:tcW w:type="dxa" w:w="12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w:t>
            </w:r>
          </w:p>
        </w:tc>
        <w:tc>
          <w:tcPr>
            <w:tcW w:type="dxa" w:w="13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w:t>
            </w:r>
          </w:p>
        </w:tc>
        <w:tc>
          <w:tcPr>
            <w:tcW w:type="dxa" w:w="20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R_j (m³/yıl)</w:t>
            </w:r>
          </w:p>
        </w:tc>
      </w:tr>
      <w:tr>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L01</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Muğla-Yatağan</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900</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0.83</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980</w:t>
            </w:r>
          </w:p>
        </w:tc>
      </w:tr>
      <w:tr>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L03</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Muğla-Fethiye</w:t>
            </w:r>
          </w:p>
        </w:tc>
        <w:tc>
          <w:tcPr>
            <w:tcW w:type="dxa" w:w="1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1.100</w:t>
            </w:r>
          </w:p>
        </w:tc>
        <w:tc>
          <w:tcPr>
            <w:tcW w:type="dxa" w:w="12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0.80</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1.082</w:t>
            </w:r>
          </w:p>
        </w:tc>
      </w:tr>
      <w:tr>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L10</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Antalya-Manavgat</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900</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0.83</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980</w:t>
            </w:r>
          </w:p>
        </w:tc>
      </w:tr>
      <w:tr>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L12</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Antalya-Kumluca</w:t>
            </w:r>
          </w:p>
        </w:tc>
        <w:tc>
          <w:tcPr>
            <w:tcW w:type="dxa" w:w="1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1.200</w:t>
            </w:r>
          </w:p>
        </w:tc>
        <w:tc>
          <w:tcPr>
            <w:tcW w:type="dxa" w:w="12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0.80</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1.181</w:t>
            </w:r>
          </w:p>
        </w:tc>
      </w:tr>
      <w:tr>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L15</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Adana-Ceyhan</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630</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0.80</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0.83</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711</w:t>
            </w:r>
          </w:p>
        </w:tc>
      </w:tr>
      <w:tr>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L24</w:t>
            </w:r>
          </w:p>
        </w:tc>
        <w:tc>
          <w:tcPr>
            <w:tcW w:type="dxa" w:w="18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Konya-Ereğli</w:t>
            </w:r>
          </w:p>
        </w:tc>
        <w:tc>
          <w:tcPr>
            <w:tcW w:type="dxa" w:w="1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490</w:t>
            </w:r>
          </w:p>
        </w:tc>
        <w:tc>
          <w:tcPr>
            <w:tcW w:type="dxa" w:w="12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0.78</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20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549</w:t>
            </w:r>
          </w:p>
        </w:tc>
      </w:tr>
      <w:tr>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L26</w:t>
            </w:r>
          </w:p>
        </w:tc>
        <w:tc>
          <w:tcPr>
            <w:tcW w:type="dxa" w:w="18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Elazığ</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440</w:t>
            </w:r>
          </w:p>
        </w:tc>
        <w:tc>
          <w:tcPr>
            <w:tcW w:type="dxa" w:w="12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0.76</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0.82</w:t>
            </w:r>
          </w:p>
        </w:tc>
        <w:tc>
          <w:tcPr>
            <w:tcW w:type="dxa" w:w="20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452</w:t>
            </w:r>
          </w:p>
        </w:tc>
      </w:tr>
    </w:tbl>
    <w:p>
      <w:pPr>
        <w:spacing w:after="120" w:before="60"/>
        <w:jc w:val="both"/>
      </w:pPr>
      <w:r>
        <w:rPr>
          <w:rFonts w:ascii="Arial" w:cs="Arial" w:eastAsia="Arial" w:hAnsi="Arial"/>
          <w:sz w:val="22"/>
          <w:szCs w:val="22"/>
        </w:rPr>
        <w:t xml:space="preserve">Kaynak: MGM (2023), mgm.gov.tr. NFPA 1142 (2017).</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5. Maliyet Parametreleri</w:t>
      </w:r>
    </w:p>
    <w:p>
      <w:pPr>
        <w:pStyle w:val="Heading2"/>
        <w:spacing w:after="120" w:before="240"/>
      </w:pPr>
      <w:r>
        <w:rPr>
          <w:rFonts w:ascii="Arial" w:cs="Arial" w:eastAsia="Arial" w:hAnsi="Arial"/>
          <w:b/>
          <w:bCs/>
          <w:color w:val="2E75B6"/>
          <w:sz w:val="26"/>
          <w:szCs w:val="26"/>
        </w:rPr>
        <w:t xml:space="preserve">5.1  Tank Maliyetleri (F_k, O_k)</w:t>
      </w:r>
    </w:p>
    <w:p>
      <w:pPr>
        <w:spacing w:after="80" w:before="80"/>
        <w:jc w:val="both"/>
      </w:pPr>
      <w:r>
        <w:rPr>
          <w:rFonts w:ascii="Arial" w:cs="Arial" w:eastAsia="Arial" w:hAnsi="Arial"/>
          <w:b/>
          <w:bCs/>
          <w:sz w:val="22"/>
          <w:szCs w:val="22"/>
        </w:rPr>
        <w:t xml:space="preserve">K1 ve K2: </w:t>
      </w:r>
      <w:r>
        <w:rPr>
          <w:rFonts w:ascii="Arial" w:cs="Arial" w:eastAsia="Arial" w:hAnsi="Arial"/>
          <w:sz w:val="22"/>
          <w:szCs w:val="22"/>
        </w:rPr>
        <w:t xml:space="preserve">Çelik Silo ve Prefabrik Yapı Derneği 2024 referans fiyatları. K1: 300.000 TL, K2: 560.000 TL, yıllık bakım %9.</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K3: </w:t>
      </w:r>
      <w:r>
        <w:rPr>
          <w:rFonts w:ascii="Arial" w:cs="Arial" w:eastAsia="Arial" w:hAnsi="Arial"/>
          <w:sz w:val="22"/>
          <w:szCs w:val="22"/>
        </w:rPr>
        <w:t xml:space="preserve">Çevre, Şehircilik ve İklim Değişikliği Bakanlığı Bölge Poz Fiyatları 2024. K3: 1.080.000 TL, yıllık bakım %8.</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26"/>
        <w:gridCol w:w="1200"/>
        <w:gridCol w:w="1500"/>
        <w:gridCol w:w="1300"/>
        <w:gridCol w:w="1500"/>
      </w:tblGrid>
      <w:tr>
        <w:trPr>
          <w:tblHeader/>
        </w:trPr>
        <w:tc>
          <w:tcPr>
            <w:tcW w:type="dxa" w:w="6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w:t>
            </w:r>
          </w:p>
        </w:tc>
        <w:tc>
          <w:tcPr>
            <w:tcW w:type="dxa" w:w="24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2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Kapasite (m³)</w:t>
            </w:r>
          </w:p>
        </w:tc>
        <w:tc>
          <w:tcPr>
            <w:tcW w:type="dxa" w:w="15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Açılış (TL)</w:t>
            </w:r>
          </w:p>
        </w:tc>
        <w:tc>
          <w:tcPr>
            <w:tcW w:type="dxa" w:w="13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İşletme (TL/yıl)</w:t>
            </w:r>
          </w:p>
        </w:tc>
        <w:tc>
          <w:tcPr>
            <w:tcW w:type="dxa" w:w="15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Kaynak</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K1</w:t>
            </w:r>
          </w:p>
        </w:tc>
        <w:tc>
          <w:tcPr>
            <w:tcW w:type="dxa" w:w="2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Mobil Modüler Çelik Tank</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250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300.000</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28.000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Çelik Silo Der. 2024</w:t>
            </w:r>
          </w:p>
        </w:tc>
      </w:tr>
      <w:tr>
        <w:tc>
          <w:tcPr>
            <w:tcW w:type="dxa" w:w="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K2</w:t>
            </w:r>
          </w:p>
        </w:tc>
        <w:tc>
          <w:tcPr>
            <w:tcW w:type="dxa" w:w="2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Orta Kap. Çelik Dikey Depo</w:t>
            </w:r>
          </w:p>
        </w:tc>
        <w:tc>
          <w:tcPr>
            <w:tcW w:type="dxa" w:w="12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500</w:t>
            </w:r>
          </w:p>
        </w:tc>
        <w:tc>
          <w:tcPr>
            <w:tcW w:type="dxa" w:w="1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560.000</w:t>
            </w:r>
          </w:p>
        </w:tc>
        <w:tc>
          <w:tcPr>
            <w:tcW w:type="dxa" w:w="13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50.000</w:t>
            </w:r>
          </w:p>
        </w:tc>
        <w:tc>
          <w:tcPr>
            <w:tcW w:type="dxa" w:w="1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center"/>
            </w:pPr>
            <w:r>
              <w:rPr>
                <w:rFonts w:ascii="Arial" w:cs="Arial" w:eastAsia="Arial" w:hAnsi="Arial"/>
                <w:color w:val="1A1A2E"/>
                <w:sz w:val="20"/>
                <w:szCs w:val="20"/>
              </w:rPr>
              <w:t xml:space="preserve">Çelik Silo Der. 2024</w:t>
            </w:r>
          </w:p>
        </w:tc>
      </w:tr>
      <w:tr>
        <w:tc>
          <w:tcPr>
            <w:tcW w:type="dxa" w:w="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K3</w:t>
            </w:r>
          </w:p>
        </w:tc>
        <w:tc>
          <w:tcPr>
            <w:tcW w:type="dxa" w:w="2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Büyük Kap. Betonarme Rezervuar</w:t>
            </w:r>
          </w:p>
        </w:tc>
        <w:tc>
          <w:tcPr>
            <w:tcW w:type="dxa" w:w="12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1.000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1.080.000</w:t>
            </w:r>
          </w:p>
        </w:tc>
        <w:tc>
          <w:tcPr>
            <w:tcW w:type="dxa" w:w="13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90.000</w:t>
            </w:r>
          </w:p>
        </w:tc>
        <w:tc>
          <w:tcPr>
            <w:tcW w:type="dxa" w:w="1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center"/>
            </w:pPr>
            <w:r>
              <w:rPr>
                <w:rFonts w:ascii="Arial" w:cs="Arial" w:eastAsia="Arial" w:hAnsi="Arial"/>
                <w:color w:val="1A1A2E"/>
                <w:sz w:val="20"/>
                <w:szCs w:val="20"/>
              </w:rPr>
              <w:t xml:space="preserve">İnşaat Poz Fiyatları 2024</w:t>
            </w:r>
          </w:p>
        </w:tc>
      </w:tr>
    </w:tbl>
    <w:p>
      <w:pPr>
        <w:spacing w:after="0" w:before="1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Dış Kaynak Su Maliyeti (c_ext = 85 TL/m³)</w:t>
      </w:r>
    </w:p>
    <w:p>
      <w:pPr>
        <w:pStyle w:val="ListParagraph"/>
        <w:numPr>
          <w:ilvl w:val="0"/>
          <w:numId w:val="2"/>
        </w:numPr>
        <w:spacing w:after="60" w:before="60"/>
        <w:ind w:left="720" w:hanging="360"/>
      </w:pPr>
      <w:r>
        <w:rPr>
          <w:rFonts w:ascii="Arial" w:cs="Arial" w:eastAsia="Arial" w:hAnsi="Arial"/>
          <w:sz w:val="22"/>
          <w:szCs w:val="22"/>
        </w:rPr>
        <w:t xml:space="preserve">OGM tanker kiralama ihale ortalaması 2023–2024: 50–60 TL/m³</w:t>
      </w:r>
    </w:p>
    <w:p>
      <w:pPr>
        <w:pStyle w:val="ListParagraph"/>
        <w:numPr>
          <w:ilvl w:val="0"/>
          <w:numId w:val="2"/>
        </w:numPr>
        <w:spacing w:after="60" w:before="60"/>
        <w:ind w:left="720" w:hanging="360"/>
      </w:pPr>
      <w:r>
        <w:rPr>
          <w:rFonts w:ascii="Arial" w:cs="Arial" w:eastAsia="Arial" w:hAnsi="Arial"/>
          <w:sz w:val="22"/>
          <w:szCs w:val="22"/>
        </w:rPr>
        <w:t xml:space="preserve">DSİ/belediye su bedeli: 8–15 TL/m³</w:t>
      </w:r>
    </w:p>
    <w:p>
      <w:pPr>
        <w:pStyle w:val="ListParagraph"/>
        <w:numPr>
          <w:ilvl w:val="0"/>
          <w:numId w:val="2"/>
        </w:numPr>
        <w:spacing w:after="60" w:before="60"/>
        <w:ind w:left="720" w:hanging="360"/>
      </w:pPr>
      <w:r>
        <w:rPr>
          <w:rFonts w:ascii="Arial" w:cs="Arial" w:eastAsia="Arial" w:hAnsi="Arial"/>
          <w:sz w:val="22"/>
          <w:szCs w:val="22"/>
        </w:rPr>
        <w:t xml:space="preserve">Acil durum premium katsayısı: ×1,5 → 75–90 TL/m³</w:t>
      </w:r>
    </w:p>
    <w:p>
      <w:pPr>
        <w:pStyle w:val="ListParagraph"/>
        <w:numPr>
          <w:ilvl w:val="0"/>
          <w:numId w:val="2"/>
        </w:numPr>
        <w:spacing w:after="60" w:before="60"/>
        <w:ind w:left="720" w:hanging="360"/>
      </w:pPr>
      <w:r>
        <w:rPr>
          <w:rFonts w:ascii="Arial" w:cs="Arial" w:eastAsia="Arial" w:hAnsi="Arial"/>
          <w:sz w:val="22"/>
          <w:szCs w:val="22"/>
        </w:rPr>
        <w:t xml:space="preserve">Model değeri: 85 TL/m³ (muhafazakâr merkez tahmin)</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6. Kısıt Eşik Değerleri (S_max, M_min)</w:t>
      </w:r>
    </w:p>
    <w:p>
      <w:pPr>
        <w:spacing w:after="80" w:before="80"/>
        <w:jc w:val="both"/>
      </w:pPr>
      <w:r>
        <w:rPr>
          <w:rFonts w:ascii="Arial" w:cs="Arial" w:eastAsia="Arial" w:hAnsi="Arial"/>
          <w:b/>
          <w:bCs/>
          <w:sz w:val="22"/>
          <w:szCs w:val="22"/>
        </w:rPr>
        <w:t xml:space="preserve">S_max = %25: </w:t>
      </w:r>
      <w:r>
        <w:rPr>
          <w:rFonts w:ascii="Arial" w:cs="Arial" w:eastAsia="Arial" w:hAnsi="Arial"/>
          <w:sz w:val="22"/>
          <w:szCs w:val="22"/>
        </w:rPr>
        <w:t xml:space="preserve">OGM 285 Tebliğ teknik şartnamesi. Arazöz araçların güvenli çalıştığı maksimum eğim.</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M_min = 250 m: </w:t>
      </w:r>
      <w:r>
        <w:rPr>
          <w:rFonts w:ascii="Arial" w:cs="Arial" w:eastAsia="Arial" w:hAnsi="Arial"/>
          <w:sz w:val="22"/>
          <w:szCs w:val="22"/>
        </w:rPr>
        <w:t xml:space="preserve">TS 12514 ve OGM güvenlik tampon bölgesi hükmü.</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7. Aday Lokasyon Koordinatları ve Seyahat Süreleri</w:t>
      </w:r>
    </w:p>
    <w:p>
      <w:pPr>
        <w:spacing w:after="80" w:before="80"/>
        <w:jc w:val="both"/>
      </w:pPr>
      <w:r>
        <w:rPr>
          <w:rFonts w:ascii="Arial" w:cs="Arial" w:eastAsia="Arial" w:hAnsi="Arial"/>
          <w:sz w:val="22"/>
          <w:szCs w:val="22"/>
        </w:rPr>
        <w:t xml:space="preserve">27 aday lokasyon koordinatları </w:t>
      </w:r>
      <w:r>
        <w:rPr>
          <w:rFonts w:ascii="Arial" w:cs="Arial" w:eastAsia="Arial" w:hAnsi="Arial"/>
          <w:b/>
          <w:bCs/>
          <w:sz w:val="22"/>
          <w:szCs w:val="22"/>
        </w:rPr>
        <w:t xml:space="preserve">revize_depo_aday_lokasyonlari.xlsx</w:t>
      </w:r>
      <w:r>
        <w:rPr>
          <w:rFonts w:ascii="Arial" w:cs="Arial" w:eastAsia="Arial" w:hAnsi="Arial"/>
          <w:sz w:val="22"/>
          <w:szCs w:val="22"/>
        </w:rPr>
        <w:t xml:space="preserve"> dosyasından alınmıştır. Seyahat süreleri Haversine mesafesi × 1,8 orman yolu korreksiyonu × 40 km/saat formülüyle hesaplanmıştır.</w:t>
      </w:r>
    </w:p>
    <w:p>
      <w:pPr>
        <w:spacing w:after="0" w:before="8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Önemli kısıt: </w:t>
      </w:r>
      <w:r>
        <w:rPr>
          <w:rFonts w:ascii="Arial" w:cs="Arial" w:eastAsia="Arial" w:hAnsi="Arial"/>
          <w:sz w:val="22"/>
          <w:szCs w:val="22"/>
        </w:rPr>
        <w:t xml:space="preserve">Haversine × yol korreksiyonu yaklaşımı büyük mesafelerde hata payı yüksektir (D25–L15 gibi 971 dk çıkan uç değerler). Gerçek proje uygulamasında Google Maps Distance Matrix API veya OGM'nin dijital orman yol şebekesi CBS katmanı kullanılmalıdır.</w:t>
      </w:r>
    </w:p>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8. Kaynakça</w:t>
      </w:r>
    </w:p>
    <w:p>
      <w:pPr>
        <w:spacing w:after="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26"/>
        <w:gridCol w:w="2500"/>
        <w:gridCol w:w="1600"/>
      </w:tblGrid>
      <w:tr>
        <w:trPr>
          <w:tblHeader/>
        </w:trPr>
        <w:tc>
          <w:tcPr>
            <w:tcW w:type="dxa" w:w="5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426"/>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Kaynak</w:t>
            </w:r>
          </w:p>
        </w:tc>
        <w:tc>
          <w:tcPr>
            <w:tcW w:type="dxa" w:w="25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Kullanılan Parametre(ler)</w:t>
            </w:r>
          </w:p>
        </w:tc>
        <w:tc>
          <w:tcPr>
            <w:tcW w:type="dxa" w:w="1600"/>
            <w:tcBorders>
              <w:top w:val="single" w:color="BDD7EE" w:sz="1"/>
              <w:left w:val="single" w:color="BDD7EE" w:sz="1"/>
              <w:bottom w:val="single" w:color="BDD7EE" w:sz="1"/>
              <w:right w:val="single" w:color="BDD7EE" w:sz="1"/>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Erişim</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(1995). 285 Sayılı Tebliğ — Orman Yangınlarının Önlenmesi ve Söndürülmesinde Uygulama Esasları. Ankara: OGM.</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T_i_min (Madde 6.1), d_i_m3 (Madde 13/13.2a), S_max (%25), M_min (250 m)</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ogm.gov.tr / 1995</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 Eğitim Belgesi. Orman ve Kırsal Alan Yangınlarının Söndürülmesi Modülü. Ankara: OGM Yangınla Mücadele Dairesi.</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d_i_m3 (tim yapısı, arazöz kapasitesi 3000-6000L, monitör 2500-3500L/dk, su ikmal aracı 8-10t)</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ogm.gov.tr</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3</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MGM (2023). Türkiye İl ve İlçe Uzun Dönem Yağış Ortalamaları (1991–2020). Ankara: MGM.</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P_j_rainfall_mm</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mgm.gov.tr / 2023</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4</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NFPA 1142 (2017). Standard on Water Supplies for Suburban and Rural Fire Fighting. Quincy, MA: NFPA.</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phi_j_runoff, eta_j_efficiency</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nfpa.org / 2017</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5</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Ford Trucks Türkiye (2024). Kamu Üstyapı Çözümleri — İtfaiye ve Arazöz. fordtrucks.com.tr.</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d_i_m3 doğrulaması: itfaiye araç su kapasitesi 2.000–18.000 L aralığı</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fordtrucks.com.tr</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6</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Enerji ve Sağlık Üretim (2024). Orman Yangınları Sırasında Yapılması Gerekenler. enerjisauretim.com.tr.</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d_i_m3 bağlamı: orman/büyük yangınlarda tonlarca su kullanımı</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enerjisauretim.com.tr</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7</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AA Teyithattı (2020). Yangın Söndürme Uçağı Sadece 150 Litre Su Taşıyabiliyor İddiası. aa.com.tr.</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Araç kapasitesi doğrulaması; Air Tractor gerçek kapasitesi (~150 L su atma)</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aa.com.tr / 2020</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8</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FireRescueTruck (2024). How Much Water is Used in a Fire? firerescuetruck.com/tr.</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 litre su = 2.260 kJ ısı emme kapasitesi (d_i teorik altyapısı)</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firerescuetruck.com</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9</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(2022). Orman Genel Müdürlüğü 2021 Yılı Faaliyet Raporu. Ankara.</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Tehlike sınıfı tespiti (yangın adedi/yıl istatistikleri)</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ogm.gov.tr / 2022</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10</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 (2023). Türkiye Orman Yangını Tehlike Haritası. Yangınla Mücadele Dairesi.</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Talep noktası tehlike sınıfı ataması</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ogm.gov.tr / 2023</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11</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Çelik Silo ve Prefabrik Yapı Derneği (2024). Yangın Su Deposu Referans Fiyat Listesi.</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F_k (K1, K2 açılış maliyeti), O_k (yıllık bakım %9)</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2024</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12</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ÇŞİDB (2024). Yapı İşleri Genel Müdürlüğü Bölge Poz Fiyatları.</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F_k (K3 betonarme maliyet)</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2024</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13</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 (2023–2024). Tanker Kiralama İhale Sonuçları.</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c_ext = 85 TL/m³</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ogm.gov.tr</w:t>
            </w:r>
          </w:p>
        </w:tc>
      </w:tr>
      <w:tr>
        <w:tc>
          <w:tcPr>
            <w:tcW w:type="dxa" w:w="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14</w:t>
            </w:r>
          </w:p>
        </w:tc>
        <w:tc>
          <w:tcPr>
            <w:tcW w:type="dxa" w:w="3426"/>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TS 12514 (2001). Su Depoları — Tasarım ve Yapım Kuralları. TSE, Ankara.</w:t>
            </w:r>
          </w:p>
        </w:tc>
        <w:tc>
          <w:tcPr>
            <w:tcW w:type="dxa" w:w="25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M_min = 250 m</w:t>
            </w:r>
          </w:p>
        </w:tc>
        <w:tc>
          <w:tcPr>
            <w:tcW w:type="dxa" w:w="1600"/>
            <w:tcBorders>
              <w:top w:val="single" w:color="BDD7EE" w:sz="1"/>
              <w:left w:val="single" w:color="BDD7EE" w:sz="1"/>
              <w:bottom w:val="single" w:color="BDD7EE" w:sz="1"/>
              <w:right w:val="single" w:color="BDD7EE" w:sz="1"/>
            </w:tcBorders>
            <w:shd w:fill="F2F7FB" w:val="clear"/>
            <w:tcMar>
              <w:top w:type="dxa" w:w="60"/>
              <w:left w:type="dxa" w:w="120"/>
              <w:bottom w:type="dxa" w:w="60"/>
              <w:right w:type="dxa" w:w="120"/>
            </w:tcMar>
          </w:tcPr>
          <w:p>
            <w:pPr>
              <w:jc w:val="left"/>
            </w:pPr>
            <w:r>
              <w:rPr>
                <w:rFonts w:ascii="Arial" w:cs="Arial" w:eastAsia="Arial" w:hAnsi="Arial"/>
                <w:color w:val="1A1A2E"/>
                <w:sz w:val="20"/>
                <w:szCs w:val="20"/>
              </w:rPr>
              <w:t xml:space="preserve">TSE / 2001</w:t>
            </w:r>
          </w:p>
        </w:tc>
      </w:tr>
      <w:tr>
        <w:tc>
          <w:tcPr>
            <w:tcW w:type="dxa" w:w="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15</w:t>
            </w:r>
          </w:p>
        </w:tc>
        <w:tc>
          <w:tcPr>
            <w:tcW w:type="dxa" w:w="3426"/>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Revize Depo Aday Lokasyonları Raporu (2025). revize_depo_aday_lokasyonlari.xlsx.</w:t>
            </w:r>
          </w:p>
        </w:tc>
        <w:tc>
          <w:tcPr>
            <w:tcW w:type="dxa" w:w="25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Aday lokasyon koordinatları, öncelik sınıfı, konum tipi</w:t>
            </w:r>
          </w:p>
        </w:tc>
        <w:tc>
          <w:tcPr>
            <w:tcW w:type="dxa" w:w="1600"/>
            <w:tcBorders>
              <w:top w:val="single" w:color="BDD7EE" w:sz="1"/>
              <w:left w:val="single" w:color="BDD7EE" w:sz="1"/>
              <w:bottom w:val="single" w:color="BDD7EE" w:sz="1"/>
              <w:right w:val="single" w:color="BDD7EE" w:sz="1"/>
            </w:tcBorders>
            <w:shd w:fill="FFFFFF" w:val="clear"/>
            <w:tcMar>
              <w:top w:type="dxa" w:w="60"/>
              <w:left w:type="dxa" w:w="120"/>
              <w:bottom w:type="dxa" w:w="60"/>
              <w:right w:type="dxa" w:w="120"/>
            </w:tcMar>
          </w:tcPr>
          <w:p>
            <w:pPr>
              <w:jc w:val="left"/>
            </w:pPr>
            <w:r>
              <w:rPr>
                <w:rFonts w:ascii="Arial" w:cs="Arial" w:eastAsia="Arial" w:hAnsi="Arial"/>
                <w:color w:val="1A1A2E"/>
                <w:sz w:val="20"/>
                <w:szCs w:val="20"/>
              </w:rPr>
              <w:t xml:space="preserve">Proje / 2025</w:t>
            </w:r>
          </w:p>
        </w:tc>
      </w:tr>
    </w:tbl>
    <w:p>
      <w:pPr>
        <w:spacing w:after="0" w:before="160"/>
      </w:pPr>
      <w:r>
        <w:rPr>
          <w:rFonts w:ascii="Arial" w:cs="Arial" w:eastAsia="Arial" w:hAnsi="Arial"/>
          <w:sz w:val="22"/>
          <w:szCs w:val="22"/>
        </w:rPr>
        <w:t xml:space="preserve"/>
      </w:r>
    </w:p>
    <w:p>
      <w:pPr>
        <w:pStyle w:val="Heading1"/>
        <w:pBdr>
          <w:bottom w:val="single" w:color="2E75B6" w:sz="6" w:space="1"/>
        </w:pBdr>
        <w:spacing w:after="180" w:before="360"/>
      </w:pPr>
      <w:r>
        <w:rPr>
          <w:rFonts w:ascii="Arial" w:cs="Arial" w:eastAsia="Arial" w:hAnsi="Arial"/>
          <w:b/>
          <w:bCs/>
          <w:color w:val="1F4E78"/>
          <w:sz w:val="32"/>
          <w:szCs w:val="32"/>
        </w:rPr>
        <w:t xml:space="preserve">9. Önemli Notlar ve Sınırlılıklar</w:t>
      </w:r>
    </w:p>
    <w:p>
      <w:pPr>
        <w:spacing w:after="80" w:before="80"/>
        <w:jc w:val="both"/>
      </w:pPr>
      <w:r>
        <w:rPr>
          <w:rFonts w:ascii="Arial" w:cs="Arial" w:eastAsia="Arial" w:hAnsi="Arial"/>
          <w:b/>
          <w:bCs/>
          <w:sz w:val="22"/>
          <w:szCs w:val="22"/>
        </w:rPr>
        <w:t xml:space="preserve">d_i_m3 revizyon özeti: </w:t>
      </w:r>
      <w:r>
        <w:rPr>
          <w:rFonts w:ascii="Arial" w:cs="Arial" w:eastAsia="Arial" w:hAnsi="Arial"/>
          <w:sz w:val="22"/>
          <w:szCs w:val="22"/>
        </w:rPr>
        <w:t xml:space="preserve">Eski değerler (35–75 m³) OGM mevzuat alt sınırının altında ve tek arazöz seferini bile doldurmıyordu. Yeni değerler (50–200 m³) OGM §13.2.a ve tim yapısına dayandırılmıştır.</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Hatay bölgesi: </w:t>
      </w:r>
      <w:r>
        <w:rPr>
          <w:rFonts w:ascii="Arial" w:cs="Arial" w:eastAsia="Arial" w:hAnsi="Arial"/>
          <w:sz w:val="22"/>
          <w:szCs w:val="22"/>
        </w:rPr>
        <w:t xml:space="preserve">Bu model versiyonunda Hatay kapsam dışında bırakılmıştır.</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Maliyet değerleri: </w:t>
      </w:r>
      <w:r>
        <w:rPr>
          <w:rFonts w:ascii="Arial" w:cs="Arial" w:eastAsia="Arial" w:hAnsi="Arial"/>
          <w:sz w:val="22"/>
          <w:szCs w:val="22"/>
        </w:rPr>
        <w:t xml:space="preserve">2024 fiyat seviyesini yansıtır; duyarlılık analizi için ±%40 aralığı önerilir.</w:t>
      </w:r>
    </w:p>
    <w:p>
      <w:pPr>
        <w:spacing w:after="0" w:before="0"/>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Yağış verileri: </w:t>
      </w:r>
      <w:r>
        <w:rPr>
          <w:rFonts w:ascii="Arial" w:cs="Arial" w:eastAsia="Arial" w:hAnsi="Arial"/>
          <w:sz w:val="22"/>
          <w:szCs w:val="22"/>
        </w:rPr>
        <w:t xml:space="preserve">MGM 1991–2020 ortalaması; iklim değişikliği etkisi duyarlılık analizinde ele alınmıştır.</w:t>
      </w:r>
    </w:p>
    <w:sectPr>
      <w:headerReference w:type="default" r:id="rId7"/>
      <w:footerReference w:type="default" r:id="rId8"/>
      <w:pgSz w:w="11906" w:h="16838" w:orient="portrait"/>
      <w:pgMar w:top="1418"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Sayfa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888888"/>
        <w:sz w:val="18"/>
        <w:szCs w:val="18"/>
      </w:rPr>
      <w:t xml:space="preserve">Orman Yangını Su Depo Yer Seçimi — Veri Kaynakları ve Metodoloji Raporu  |  </w:t>
    </w:r>
    <w:r>
      <w:rPr>
        <w:rFonts w:ascii="Arial" w:cs="Arial" w:eastAsia="Arial" w:hAnsi="Arial"/>
        <w:b/>
        <w:bCs/>
        <w:color w:val="2E75B6"/>
        <w:sz w:val="18"/>
        <w:szCs w:val="18"/>
      </w:rPr>
      <w:t xml:space="preserve">v2 GÜNCELLENMİŞ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2026-05-12T01:55:18.944Z</dcterms:created>
  <dcterms:modified xsi:type="dcterms:W3CDTF">2026-05-12T01:55:18.944Z</dcterms:modified>
</cp:coreProperties>
</file>

<file path=docProps/custom.xml><?xml version="1.0" encoding="utf-8"?>
<Properties xmlns="http://schemas.openxmlformats.org/officeDocument/2006/custom-properties" xmlns:vt="http://schemas.openxmlformats.org/officeDocument/2006/docPropsVTypes"/>
</file>