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This Master Brand–Influencer Agreement (the “Agreement”) is made as of </w:t>
      </w:r>
      <w:r w:rsidRPr="00E46BB0">
        <w:rPr>
          <w:rFonts w:ascii="Times New Roman" w:hAnsi="Times New Roman" w:cs="Times New Roman"/>
          <w:sz w:val="22"/>
          <w:szCs w:val="22"/>
          <w:highlight w:val="yellow"/>
        </w:rPr>
        <w:t>{{</w:t>
      </w:r>
      <w:proofErr w:type="spellStart"/>
      <w:r w:rsidRPr="00E46BB0">
        <w:rPr>
          <w:rFonts w:ascii="Times New Roman" w:hAnsi="Times New Roman" w:cs="Times New Roman"/>
          <w:sz w:val="22"/>
          <w:szCs w:val="22"/>
          <w:highlight w:val="yellow"/>
        </w:rPr>
        <w:t>Agreement.EffectiveDate</w:t>
      </w:r>
      <w:proofErr w:type="spellEnd"/>
      <w:r w:rsidRPr="00E46BB0">
        <w:rPr>
          <w:rFonts w:ascii="Times New Roman" w:hAnsi="Times New Roman" w:cs="Times New Roman"/>
          <w:sz w:val="22"/>
          <w:szCs w:val="22"/>
          <w:highlight w:val="yellow"/>
        </w:rPr>
        <w:t>}}</w:t>
      </w:r>
      <w:r w:rsidRPr="0037329D">
        <w:rPr>
          <w:rFonts w:ascii="Times New Roman" w:hAnsi="Times New Roman" w:cs="Times New Roman"/>
          <w:sz w:val="22"/>
          <w:szCs w:val="22"/>
        </w:rPr>
        <w:t xml:space="preserve"> (the “Effective Date”) by and among: (</w:t>
      </w:r>
      <w:proofErr w:type="spellStart"/>
      <w:r w:rsidRPr="0037329D">
        <w:rPr>
          <w:rFonts w:ascii="Times New Roman" w:hAnsi="Times New Roman" w:cs="Times New Roman"/>
          <w:sz w:val="22"/>
          <w:szCs w:val="22"/>
        </w:rPr>
        <w:t>i</w:t>
      </w:r>
      <w:proofErr w:type="spellEnd"/>
      <w:r w:rsidRPr="0037329D">
        <w:rPr>
          <w:rFonts w:ascii="Times New Roman" w:hAnsi="Times New Roman" w:cs="Times New Roman"/>
          <w:sz w:val="22"/>
          <w:szCs w:val="22"/>
        </w:rPr>
        <w:t xml:space="preserve">) </w:t>
      </w:r>
      <w:r w:rsidRPr="00E46BB0">
        <w:rPr>
          <w:rFonts w:ascii="Times New Roman" w:hAnsi="Times New Roman" w:cs="Times New Roman"/>
          <w:sz w:val="22"/>
          <w:szCs w:val="22"/>
          <w:highlight w:val="yellow"/>
        </w:rPr>
        <w:t>{{</w:t>
      </w:r>
      <w:proofErr w:type="spellStart"/>
      <w:r w:rsidRPr="00E46BB0">
        <w:rPr>
          <w:rFonts w:ascii="Times New Roman" w:hAnsi="Times New Roman" w:cs="Times New Roman"/>
          <w:sz w:val="22"/>
          <w:szCs w:val="22"/>
          <w:highlight w:val="yellow"/>
        </w:rPr>
        <w:t>Brand.LegalName</w:t>
      </w:r>
      <w:proofErr w:type="spellEnd"/>
      <w:r w:rsidRPr="00E46BB0">
        <w:rPr>
          <w:rFonts w:ascii="Times New Roman" w:hAnsi="Times New Roman" w:cs="Times New Roman"/>
          <w:sz w:val="22"/>
          <w:szCs w:val="22"/>
          <w:highlight w:val="yellow"/>
        </w:rPr>
        <w:t>}},</w:t>
      </w:r>
      <w:r w:rsidRPr="0037329D">
        <w:rPr>
          <w:rFonts w:ascii="Times New Roman" w:hAnsi="Times New Roman" w:cs="Times New Roman"/>
          <w:sz w:val="22"/>
          <w:szCs w:val="22"/>
        </w:rPr>
        <w:t xml:space="preserve"> with its principal place of business at </w:t>
      </w:r>
      <w:r w:rsidRPr="00E46BB0">
        <w:rPr>
          <w:rFonts w:ascii="Times New Roman" w:hAnsi="Times New Roman" w:cs="Times New Roman"/>
          <w:sz w:val="22"/>
          <w:szCs w:val="22"/>
          <w:highlight w:val="yellow"/>
        </w:rPr>
        <w:t>{{</w:t>
      </w:r>
      <w:proofErr w:type="spellStart"/>
      <w:r w:rsidRPr="00E46BB0">
        <w:rPr>
          <w:rFonts w:ascii="Times New Roman" w:hAnsi="Times New Roman" w:cs="Times New Roman"/>
          <w:sz w:val="22"/>
          <w:szCs w:val="22"/>
          <w:highlight w:val="yellow"/>
        </w:rPr>
        <w:t>Brand.Address</w:t>
      </w:r>
      <w:proofErr w:type="spellEnd"/>
      <w:r w:rsidRPr="00E46BB0">
        <w:rPr>
          <w:rFonts w:ascii="Times New Roman" w:hAnsi="Times New Roman" w:cs="Times New Roman"/>
          <w:sz w:val="22"/>
          <w:szCs w:val="22"/>
          <w:highlight w:val="yellow"/>
        </w:rPr>
        <w:t>}}</w:t>
      </w:r>
      <w:r w:rsidRPr="0037329D">
        <w:rPr>
          <w:rFonts w:ascii="Times New Roman" w:hAnsi="Times New Roman" w:cs="Times New Roman"/>
          <w:sz w:val="22"/>
          <w:szCs w:val="22"/>
        </w:rPr>
        <w:t xml:space="preserve"> (“Brand”); (ii) </w:t>
      </w:r>
      <w:r w:rsidRPr="00E46BB0">
        <w:rPr>
          <w:rFonts w:ascii="Times New Roman" w:hAnsi="Times New Roman" w:cs="Times New Roman"/>
          <w:sz w:val="22"/>
          <w:szCs w:val="22"/>
          <w:highlight w:val="magenta"/>
        </w:rPr>
        <w:t>{{</w:t>
      </w:r>
      <w:proofErr w:type="spellStart"/>
      <w:r w:rsidRPr="00E46BB0">
        <w:rPr>
          <w:rFonts w:ascii="Times New Roman" w:hAnsi="Times New Roman" w:cs="Times New Roman"/>
          <w:sz w:val="22"/>
          <w:szCs w:val="22"/>
          <w:highlight w:val="magenta"/>
        </w:rPr>
        <w:t>Influencer.LegalName</w:t>
      </w:r>
      <w:proofErr w:type="spellEnd"/>
      <w:r w:rsidRPr="00E46BB0">
        <w:rPr>
          <w:rFonts w:ascii="Times New Roman" w:hAnsi="Times New Roman" w:cs="Times New Roman"/>
          <w:sz w:val="22"/>
          <w:szCs w:val="22"/>
          <w:highlight w:val="magenta"/>
        </w:rPr>
        <w:t>}},</w:t>
      </w:r>
      <w:r w:rsidRPr="0037329D">
        <w:rPr>
          <w:rFonts w:ascii="Times New Roman" w:hAnsi="Times New Roman" w:cs="Times New Roman"/>
          <w:sz w:val="22"/>
          <w:szCs w:val="22"/>
        </w:rPr>
        <w:t xml:space="preserve"> with its principal place of business at </w:t>
      </w:r>
      <w:r w:rsidRPr="00E46BB0">
        <w:rPr>
          <w:rFonts w:ascii="Times New Roman" w:hAnsi="Times New Roman" w:cs="Times New Roman"/>
          <w:sz w:val="22"/>
          <w:szCs w:val="22"/>
          <w:highlight w:val="magenta"/>
        </w:rPr>
        <w:t>{{</w:t>
      </w:r>
      <w:proofErr w:type="spellStart"/>
      <w:r w:rsidRPr="00E46BB0">
        <w:rPr>
          <w:rFonts w:ascii="Times New Roman" w:hAnsi="Times New Roman" w:cs="Times New Roman"/>
          <w:sz w:val="22"/>
          <w:szCs w:val="22"/>
          <w:highlight w:val="magenta"/>
        </w:rPr>
        <w:t>Influencer.Address</w:t>
      </w:r>
      <w:proofErr w:type="spellEnd"/>
      <w:r w:rsidRPr="00E46BB0">
        <w:rPr>
          <w:rFonts w:ascii="Times New Roman" w:hAnsi="Times New Roman" w:cs="Times New Roman"/>
          <w:sz w:val="22"/>
          <w:szCs w:val="22"/>
          <w:highlight w:val="magenta"/>
        </w:rPr>
        <w:t>}}</w:t>
      </w:r>
      <w:r w:rsidRPr="0037329D">
        <w:rPr>
          <w:rFonts w:ascii="Times New Roman" w:hAnsi="Times New Roman" w:cs="Times New Roman"/>
          <w:sz w:val="22"/>
          <w:szCs w:val="22"/>
        </w:rPr>
        <w:t xml:space="preserve"> (“Influencer”); and (iii) </w:t>
      </w:r>
      <w:proofErr w:type="spellStart"/>
      <w:r w:rsidRPr="0037329D">
        <w:rPr>
          <w:rFonts w:ascii="Times New Roman" w:hAnsi="Times New Roman" w:cs="Times New Roman"/>
          <w:sz w:val="22"/>
          <w:szCs w:val="22"/>
        </w:rPr>
        <w:t>CollabGlam</w:t>
      </w:r>
      <w:proofErr w:type="spellEnd"/>
      <w:r w:rsidR="00B21A42">
        <w:rPr>
          <w:rFonts w:ascii="Times New Roman" w:hAnsi="Times New Roman" w:cs="Times New Roman"/>
          <w:sz w:val="22"/>
          <w:szCs w:val="22"/>
        </w:rPr>
        <w:t xml:space="preserve"> </w:t>
      </w:r>
      <w:r w:rsidR="004A574D">
        <w:rPr>
          <w:rFonts w:ascii="Times New Roman" w:hAnsi="Times New Roman" w:cs="Times New Roman"/>
          <w:sz w:val="22"/>
          <w:szCs w:val="22"/>
        </w:rPr>
        <w:t>or CollabGlam.com</w:t>
      </w:r>
      <w:r w:rsidRPr="0037329D">
        <w:rPr>
          <w:rFonts w:ascii="Times New Roman" w:hAnsi="Times New Roman" w:cs="Times New Roman"/>
          <w:sz w:val="22"/>
          <w:szCs w:val="22"/>
        </w:rPr>
        <w:t xml:space="preserve">, with its principal place of </w:t>
      </w:r>
      <w:r w:rsidR="00E46BB0">
        <w:rPr>
          <w:rFonts w:ascii="Times New Roman" w:hAnsi="Times New Roman" w:cs="Times New Roman"/>
          <w:sz w:val="22"/>
          <w:szCs w:val="22"/>
        </w:rPr>
        <w:t>b</w:t>
      </w:r>
      <w:r w:rsidRPr="0037329D">
        <w:rPr>
          <w:rFonts w:ascii="Times New Roman" w:hAnsi="Times New Roman" w:cs="Times New Roman"/>
          <w:sz w:val="22"/>
          <w:szCs w:val="22"/>
        </w:rPr>
        <w:t xml:space="preserve">usiness at </w:t>
      </w:r>
      <w:r w:rsidRPr="00E46BB0">
        <w:rPr>
          <w:rFonts w:ascii="Times New Roman" w:hAnsi="Times New Roman" w:cs="Times New Roman"/>
          <w:sz w:val="22"/>
          <w:szCs w:val="22"/>
          <w:highlight w:val="green"/>
        </w:rPr>
        <w:t>{{</w:t>
      </w:r>
      <w:proofErr w:type="spellStart"/>
      <w:r w:rsidRPr="00E46BB0">
        <w:rPr>
          <w:rFonts w:ascii="Times New Roman" w:hAnsi="Times New Roman" w:cs="Times New Roman"/>
          <w:sz w:val="22"/>
          <w:szCs w:val="22"/>
          <w:highlight w:val="green"/>
        </w:rPr>
        <w:t>CollabGlam.Address</w:t>
      </w:r>
      <w:proofErr w:type="spellEnd"/>
      <w:r w:rsidR="00B21A42" w:rsidRPr="00E46BB0">
        <w:rPr>
          <w:rFonts w:ascii="Times New Roman" w:hAnsi="Times New Roman" w:cs="Times New Roman"/>
          <w:sz w:val="22"/>
          <w:szCs w:val="22"/>
          <w:highlight w:val="green"/>
        </w:rPr>
        <w:t xml:space="preserve"> (Field</w:t>
      </w:r>
      <w:r w:rsidR="00AA115E" w:rsidRPr="00E46BB0">
        <w:rPr>
          <w:rFonts w:ascii="Times New Roman" w:hAnsi="Times New Roman" w:cs="Times New Roman"/>
          <w:sz w:val="22"/>
          <w:szCs w:val="22"/>
          <w:highlight w:val="green"/>
        </w:rPr>
        <w:t xml:space="preserve"> editable</w:t>
      </w:r>
      <w:r w:rsidR="00B21A42" w:rsidRPr="00E46BB0">
        <w:rPr>
          <w:rFonts w:ascii="Times New Roman" w:hAnsi="Times New Roman" w:cs="Times New Roman"/>
          <w:sz w:val="22"/>
          <w:szCs w:val="22"/>
          <w:highlight w:val="green"/>
        </w:rPr>
        <w:t xml:space="preserve"> at admin side</w:t>
      </w:r>
      <w:r w:rsidR="00AA115E" w:rsidRPr="00E46BB0">
        <w:rPr>
          <w:rFonts w:ascii="Times New Roman" w:hAnsi="Times New Roman" w:cs="Times New Roman"/>
          <w:sz w:val="22"/>
          <w:szCs w:val="22"/>
          <w:highlight w:val="green"/>
        </w:rPr>
        <w:t>)</w:t>
      </w:r>
      <w:r w:rsidRPr="00E46BB0">
        <w:rPr>
          <w:rFonts w:ascii="Times New Roman" w:hAnsi="Times New Roman" w:cs="Times New Roman"/>
          <w:sz w:val="22"/>
          <w:szCs w:val="22"/>
          <w:highlight w:val="green"/>
        </w:rPr>
        <w:t>}}</w:t>
      </w:r>
      <w:r w:rsidRPr="0037329D">
        <w:rPr>
          <w:rFonts w:ascii="Times New Roman" w:hAnsi="Times New Roman" w:cs="Times New Roman"/>
          <w:sz w:val="22"/>
          <w:szCs w:val="22"/>
        </w:rPr>
        <w:t xml:space="preserve">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Each of Brand, Influencer, and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is a “Party” and together the “Parties.”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Purpose; Scope; Territory; Relationship</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Purpose.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provides a platform connecting brands and influencers for promotional content on </w:t>
      </w:r>
      <w:r w:rsidR="00961750">
        <w:rPr>
          <w:rFonts w:ascii="Times New Roman" w:hAnsi="Times New Roman" w:cs="Times New Roman"/>
          <w:sz w:val="22"/>
          <w:szCs w:val="22"/>
        </w:rPr>
        <w:t xml:space="preserve">social media including </w:t>
      </w:r>
      <w:r w:rsidRPr="0037329D">
        <w:rPr>
          <w:rFonts w:ascii="Times New Roman" w:hAnsi="Times New Roman" w:cs="Times New Roman"/>
          <w:sz w:val="22"/>
          <w:szCs w:val="22"/>
        </w:rPr>
        <w:t>YouTube, Instagram, and TikTok (the “Channels”). This Agreement governs rights and obligations for each engagement documented in Schedule A (each, an “SOW”).</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Scope. This Agreement applies solely to the Channels. No other platforms are included unless added by written amendment executed by all Parties.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Territory. Unless the SOW states otherwise, the territory is worldwide.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Independent Contractor Status. Influencer is an independent contractor. No employment, partnership, joint venture, or agency is created.</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Definitions; Language; Precedence; Time Standard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Definitions. Capitalized terms have the meanings set out in Schedule E (Definitions).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Language and Precedence. English governs. If any conflict exists, this Agreement prevails over any SOW, except where the SOW expressly overrides a non-locked topic. All Schedules are incorporated.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Time Standard. Deadlines use </w:t>
      </w:r>
      <w:r w:rsidRPr="00F5371E">
        <w:rPr>
          <w:rFonts w:ascii="Times New Roman" w:hAnsi="Times New Roman" w:cs="Times New Roman"/>
          <w:sz w:val="22"/>
          <w:szCs w:val="22"/>
          <w:highlight w:val="yellow"/>
        </w:rPr>
        <w:t>{{</w:t>
      </w:r>
      <w:proofErr w:type="spellStart"/>
      <w:r w:rsidRPr="00F5371E">
        <w:rPr>
          <w:rFonts w:ascii="Times New Roman" w:hAnsi="Times New Roman" w:cs="Times New Roman"/>
          <w:sz w:val="22"/>
          <w:szCs w:val="22"/>
          <w:highlight w:val="yellow"/>
        </w:rPr>
        <w:t>Time.StandardTimezone</w:t>
      </w:r>
      <w:proofErr w:type="spellEnd"/>
      <w:r w:rsidRPr="00F5371E">
        <w:rPr>
          <w:rFonts w:ascii="Times New Roman" w:hAnsi="Times New Roman" w:cs="Times New Roman"/>
          <w:sz w:val="22"/>
          <w:szCs w:val="22"/>
          <w:highlight w:val="yellow"/>
        </w:rPr>
        <w:t>}}.</w:t>
      </w:r>
      <w:r w:rsidRPr="0037329D">
        <w:rPr>
          <w:rFonts w:ascii="Times New Roman" w:hAnsi="Times New Roman" w:cs="Times New Roman"/>
          <w:sz w:val="22"/>
          <w:szCs w:val="22"/>
        </w:rPr>
        <w:t xml:space="preserve"> “Business Day” means a day other than a Saturday, Sunday, or public holiday in </w:t>
      </w:r>
      <w:r w:rsidRPr="00F5371E">
        <w:rPr>
          <w:rFonts w:ascii="Times New Roman" w:hAnsi="Times New Roman" w:cs="Times New Roman"/>
          <w:sz w:val="22"/>
          <w:szCs w:val="22"/>
          <w:highlight w:val="yellow"/>
        </w:rPr>
        <w:t>{{</w:t>
      </w:r>
      <w:proofErr w:type="spellStart"/>
      <w:r w:rsidRPr="00F5371E">
        <w:rPr>
          <w:rFonts w:ascii="Times New Roman" w:hAnsi="Times New Roman" w:cs="Times New Roman"/>
          <w:sz w:val="22"/>
          <w:szCs w:val="22"/>
          <w:highlight w:val="yellow"/>
        </w:rPr>
        <w:t>Time.StandardJurisdiction</w:t>
      </w:r>
      <w:proofErr w:type="spellEnd"/>
      <w:r w:rsidRPr="00F5371E">
        <w:rPr>
          <w:rFonts w:ascii="Times New Roman" w:hAnsi="Times New Roman" w:cs="Times New Roman"/>
          <w:sz w:val="22"/>
          <w:szCs w:val="22"/>
          <w:highlight w:val="yellow"/>
        </w:rPr>
        <w: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Formation of SOW; Versioning; Change Orders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Formation. An SOW is formed when Brand completes required fields in the platform, Influencer accepts, Brand confirms acceptance, and the Parties execute via platform e-signature. If expressly enabled in the SOW, concurrent shipment of product and initial milestone payment constitutes acceptance.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Versioning. The platform maintains immutable version history of offers, counteroffers, and acceptance.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Change Orders. Any post-execution modification to Deliverables, schedules, or fees requires a written change order in the form set out in Schedule O.</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Services; Deliverables; Acceptance; Makegoods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Services and Deliverables. Influencer shall provide the services and deliver the content specified in Schedule A (the “Deliverables”).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Approvals. If pre-publication review is required, Influencer shall submit drafts via the platform. Brand shall respond within the review window in Schedule A. If Brand does not respond within such window, Influencer may issue a notice of deemed acceptance and proceed after two Business Days unless Brand objects in writing within that period.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c. Revisions. Included revision rounds are as stated in Schedule A. Additional rounds are billable at the fee in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Acceptance Criteria. A Deliverable is acceptable if it materially conforms to the SOW and Schedule B compliance standards. Minor non-material deviations shall not justify rejection.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Makegoods. If a Deliverable misses the posting window due to Influencer fault, or is removed for non-compliance with Schedule B, Influencer shall, at no additional charge, provide a makegood consisting of re-posting within a mutually agreed window or an equivalent Deliverable.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Performance Standards; Escalation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Service Levels. Submission and feedback timelines in Schedule A are binding.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Escalation. Each Party shall designate an escalation contact in Schedule A. Unresolved issues escalate per the timelines in Schedule A.</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6. Intellectual Property; Licenses; Derivatives; Third-Party Materials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Ownership. Influencer owns the original copyright in the Deliverables, excluding Brand Assets. Brand owns its trademarks and materials furnished to Influencer (“Brand Assets”).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License to Brand. Upon receipt of applicable milestone payments, Influencer grants Brand the license selected in Schedule K (Usage Rights Matrix) for the duration and geographies selected therein.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Derivative Edits. To the extent selected in Schedule K, Brand may create cut-downs, translations, captions, watermarks, thumbnails, and metadata edits.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Raw Materials. If the SOW requires raw footage, project files, or working files, delivery shall occur per Schedule P. Ownership of raw materials remains with Influencer unless Schedule P expressly transfers ownership.</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Third-Party Materials. Influencer shall not include third-party materials requiring separate licenses without Brand’s prior written approval. Where approval is granted, proof of licenses shall be delivered per Schedule Q. Unless Schedule A shifts responsibility, Brand is responsible for commercial music licensing.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f. Moral Rights. To the extent permitted by law, Influencer waives, or agrees not to assert, moral rights as necessary for the licensed uses.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7. Advertising and Platform Compliance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Legal Compliance. Deliverables must comply with applicable advertising and consumer protection laws in targeted jurisdictions, including the United States Federal Trade Commission Endorsement Guides and materially equivalent regimes.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Disclosures. Influencer shall make clear and conspicuous disclosures of any material connection as required by law.</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Truthful Claims. Influencer shall not make false, misleading, or unsubstantiated claims. Brand shall provide substantiation for objective claims it requires.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Platform Policies. Influencer shall comply with YouTube, Instagram, and TikTok policies.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Corrections. Upon notice of a compliance deficiency, Influencer shall promptly implement non-substantive corrections without counting against revision limits.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f. Prohibited Conduct. Deliverables shall not include illegal content, hate speech, harassment, or similar brand-safety risks.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8. Global Standards; Sensitive Sectors; Accessibility; AI and Synthetic Media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Jurisdictional Standards. The Parties shall adhere to materially applicable local regimes, including where relevant CMA/ASA (UK), EU UCPD, ACMA (AU), and comparable authorities.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Age-Gated and Sensitive Sectors. Where age-gating or sector-specific rules apply, the Parties shall implement controls before publication. The minors-specific requirements in Schedule I apply when any minor participates or is targeted.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Accessibility. Where reasonably practicable, video Deliverables shall include platform-native captions and reasonable accessibility accommodations.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AI and Synthetic Media. Without express written consent, no Party shall train, fine-tune, or otherwise use any Deliverables or Brand Assets to develop or improve machine learning or artificial intelligence models. No synthetic impersonation of any person is permitted without that person’s written consent. If synthetic media is used, required legal </w:t>
      </w:r>
      <w:proofErr w:type="spellStart"/>
      <w:r w:rsidRPr="0037329D">
        <w:rPr>
          <w:rFonts w:ascii="Times New Roman" w:hAnsi="Times New Roman" w:cs="Times New Roman"/>
          <w:sz w:val="22"/>
          <w:szCs w:val="22"/>
        </w:rPr>
        <w:t>labeling</w:t>
      </w:r>
      <w:proofErr w:type="spellEnd"/>
      <w:r w:rsidRPr="0037329D">
        <w:rPr>
          <w:rFonts w:ascii="Times New Roman" w:hAnsi="Times New Roman" w:cs="Times New Roman"/>
          <w:sz w:val="22"/>
          <w:szCs w:val="22"/>
        </w:rPr>
        <w:t xml:space="preserve"> shall be applied.</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9. Confidentiality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Definition. “Confidential Information” means non-public information disclosed by a Party that is identified as confidential or that should reasonably be understood to be confidential.</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Obligations. The Receiving Party shall use Confidential Information solely to perform under this Agreement and protect it with at least reasonable care.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Duration. Confidentiality obligations survive for three years after termination; trade secrets survive while they remain trade secrets.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Exceptions. Exclusions apply for independently developed, rightfully received, public, or legally compelled disclosures.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10. Payments; Escrow; Invoicing; Taxes; Currency; AML/KYC; Clawback</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Fees and Milestones. Fees, currency, milestones, and net terms are set out in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Escrow. Unless disabled in Schedule A, payments shall be deposited into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escrow and released upon milestone completion as recorded in the platform.</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Invoicing. Where invoicing is used, Influencer shall issue invoices containing required tax identifiers and line items consistent with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Currency Conversion. If payment occurs in a different currency, conversion shall be based on </w:t>
      </w:r>
      <w:r w:rsidRPr="00F5371E">
        <w:rPr>
          <w:rFonts w:ascii="Times New Roman" w:hAnsi="Times New Roman" w:cs="Times New Roman"/>
          <w:sz w:val="22"/>
          <w:szCs w:val="22"/>
          <w:highlight w:val="green"/>
        </w:rPr>
        <w:t>{{</w:t>
      </w:r>
      <w:proofErr w:type="spellStart"/>
      <w:r w:rsidRPr="00F5371E">
        <w:rPr>
          <w:rFonts w:ascii="Times New Roman" w:hAnsi="Times New Roman" w:cs="Times New Roman"/>
          <w:sz w:val="22"/>
          <w:szCs w:val="22"/>
          <w:highlight w:val="green"/>
        </w:rPr>
        <w:t>Payments.FXSource</w:t>
      </w:r>
      <w:proofErr w:type="spellEnd"/>
      <w:r w:rsidRPr="00F5371E">
        <w:rPr>
          <w:rFonts w:ascii="Times New Roman" w:hAnsi="Times New Roman" w:cs="Times New Roman"/>
          <w:sz w:val="22"/>
          <w:szCs w:val="22"/>
          <w:highlight w:val="green"/>
        </w:rPr>
        <w:t>}}</w:t>
      </w:r>
      <w:r w:rsidRPr="0037329D">
        <w:rPr>
          <w:rFonts w:ascii="Times New Roman" w:hAnsi="Times New Roman" w:cs="Times New Roman"/>
          <w:sz w:val="22"/>
          <w:szCs w:val="22"/>
        </w:rPr>
        <w:t xml:space="preserve"> on the payment date unless Schedule A states another source. FX fees shall be allocated as stated in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Taxes. Amounts are exclusive of VAT, GST, and similar taxes unless stated otherwise. Each Party is responsible for its own taxes. Required tax forms, including W-9, W-8BEN, or W-8BEN-E, shall be provided.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f. AML/KYC and Sanctions Screening.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perform and the Parties shall cooperate with AML/KYC and sanctions screenings prior to each payout. Failure or refusal to pass screening permits payment suspension or termination for cause.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g. Late Payment. Overdue sums accrue interest at 1.5 percent per month or the maximum permitted by law, whichever is lower.</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h. Chargebacks. Bad-faith chargebacks constitute a material breach.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suspend accounts, recover fees, and offset against funds held.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w:t>
      </w:r>
      <w:proofErr w:type="spellStart"/>
      <w:r w:rsidRPr="0037329D">
        <w:rPr>
          <w:rFonts w:ascii="Times New Roman" w:hAnsi="Times New Roman" w:cs="Times New Roman"/>
          <w:sz w:val="22"/>
          <w:szCs w:val="22"/>
        </w:rPr>
        <w:t>i</w:t>
      </w:r>
      <w:proofErr w:type="spellEnd"/>
      <w:r w:rsidRPr="0037329D">
        <w:rPr>
          <w:rFonts w:ascii="Times New Roman" w:hAnsi="Times New Roman" w:cs="Times New Roman"/>
          <w:sz w:val="22"/>
          <w:szCs w:val="22"/>
        </w:rPr>
        <w:t>. Clawback and Offsets. In cases of proven fraud or material breach causing refund or chargeback, amounts may be offset against future payments for the same SOW, subject to law.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11. Metrics; Invalid Traffic; Verification; Remedies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Metrics Evidence. Influencer shall provide live links and insights or screenshots within 48 hours of publication and a day-30 snapshot upon request.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Invalid Traffic. “Invalid Traffic” has the meaning in Schedule L. If Invalid Traffic materially distorts results, remedies in Schedule L shall apply.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Verification. Brand may request third-party verification once per SOW per Schedule L. Costs are borne by Brand unless variance thresholds are exceeded.</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12. Data Protection; Security; Account Access; E-Sign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Data Minimization. Personal data shall be limited to what is necessary for SOW performance.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Compliance. Each Party shall comply with applicable data protection laws, including GDPR, UK GDPR, and CCPA/CPRA, as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Security. Each Party shall implement reasonable technical and organizational measures and notify affected Parties without undue delay of a personal data breach.</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DPA. Where one Party processes personal data on behalf of another beyond independent controller roles, the Data Processing Addendum at Schedule D applies.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Ad Accounts and Pixels. Access shall be least-privileged and shall be revoked upon SOW completion.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f. E-Signature Enforceability. Electronic signatures are enforceable under ESIGN, UETA, and, where applicable, </w:t>
      </w:r>
      <w:proofErr w:type="spellStart"/>
      <w:r w:rsidRPr="0037329D">
        <w:rPr>
          <w:rFonts w:ascii="Times New Roman" w:hAnsi="Times New Roman" w:cs="Times New Roman"/>
          <w:sz w:val="22"/>
          <w:szCs w:val="22"/>
        </w:rPr>
        <w:t>eIDAS</w:t>
      </w:r>
      <w:proofErr w:type="spellEnd"/>
      <w:r w:rsidRPr="0037329D">
        <w:rPr>
          <w:rFonts w:ascii="Times New Roman" w:hAnsi="Times New Roman" w:cs="Times New Roman"/>
          <w:sz w:val="22"/>
          <w:szCs w:val="22"/>
        </w:rPr>
        <w:t>, without prejudice to any mandatory local requirements.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13. Product Handling; Shipment; Returns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Shipment Timing. Where product is required, Brand shall deliver by the date in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Ownership. Unless Schedule A requires return, Influencer may retain product after final approval. If return is required, Brand shall provide prepaid labels and instructions.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Care. Influencer shall exercise reasonable care while product is in Influencer’s possession, excluding manufacturer defects or carrier damage.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14. Takedown; Corrective Action; Morals and Reputation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a. Takedown. If a Deliverable appears unlawful, infringes rights, or violates Channel policies,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require temporary </w:t>
      </w:r>
      <w:proofErr w:type="spellStart"/>
      <w:r w:rsidRPr="0037329D">
        <w:rPr>
          <w:rFonts w:ascii="Times New Roman" w:hAnsi="Times New Roman" w:cs="Times New Roman"/>
          <w:sz w:val="22"/>
          <w:szCs w:val="22"/>
        </w:rPr>
        <w:t>unlisting</w:t>
      </w:r>
      <w:proofErr w:type="spellEnd"/>
      <w:r w:rsidRPr="0037329D">
        <w:rPr>
          <w:rFonts w:ascii="Times New Roman" w:hAnsi="Times New Roman" w:cs="Times New Roman"/>
          <w:sz w:val="22"/>
          <w:szCs w:val="22"/>
        </w:rPr>
        <w:t xml:space="preserve"> or removal pending cure.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Corrections. Influencer shall promptly implement required compliance corrections.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Morals. A Party may suspend performance where association with another Party would reasonably cause material reputational harm due to criminal conduct, hate speech, or similar scandal substantiated by credible evidence.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Crisis Protocol. Public-facing coordination shall follow Schedule M.</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15. Exclusivity; Non-Circumvention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Category Exclusivity. If selected in Schedule A, Influencer shall refrain from promoting listed competitors within the exclusivity window after go-live.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Non-Circumvention. For twelve months after the last milestone under an SOW, Brand and Influencer shall not intentionally circumvent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to contract for substantially similar services first initiated on the platform, unless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consents in writing or Brand pays a buy-out fee of fifteen percent of the contracted value.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16. Insurance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Insurance Requirements. If required by Schedule J, Influencer shall maintain insurance with limits and coverages stated therein and provide a certificate of insurance upon request. Where required, Brand shall be named as additional insured on a primary and non-contributory basis.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17. Representations and Warranties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Mutual. Each Party represents and warrants authority to enter into this Agreement and compliance with law, including sanctions and export controls.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Influencer. Influencer represents and warrants originality of Deliverables (excluding Brand Assets), compliance with Schedule B and Channel policies, and that statements reflect honest opinions and experiences.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Brand. Brand represents and warrants that Brand Assets and required claims are lawful and non-infringing and that Brand will provide substantiation for objective claims.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18. Indemnification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By Influencer. Influencer shall defend, indemnify, and hold harmless Brand and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against claims arising from infringement by Deliverables (excluding Brand Assets), violations of Schedule B, or Influencer’s breach.</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By Brand. Brand shall defend, indemnify, and hold harmless Influencer and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against claims arising from Brand Assets, unsubstantiated or unlawful product claims, product liability, or Brand’s breach.</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Procedure. The indemnified Party shall provide prompt notice, reasonable cooperation, and grant control of the </w:t>
      </w:r>
      <w:proofErr w:type="spellStart"/>
      <w:r w:rsidRPr="0037329D">
        <w:rPr>
          <w:rFonts w:ascii="Times New Roman" w:hAnsi="Times New Roman" w:cs="Times New Roman"/>
          <w:sz w:val="22"/>
          <w:szCs w:val="22"/>
        </w:rPr>
        <w:t>defense</w:t>
      </w:r>
      <w:proofErr w:type="spellEnd"/>
      <w:r w:rsidRPr="0037329D">
        <w:rPr>
          <w:rFonts w:ascii="Times New Roman" w:hAnsi="Times New Roman" w:cs="Times New Roman"/>
          <w:sz w:val="22"/>
          <w:szCs w:val="22"/>
        </w:rPr>
        <w:t xml:space="preserve"> to the indemnifying Party, subject to participation at the indemnified Party’s expense.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19. Limitations of Liability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Exclusions. Except for </w:t>
      </w:r>
      <w:proofErr w:type="spellStart"/>
      <w:r w:rsidRPr="0037329D">
        <w:rPr>
          <w:rFonts w:ascii="Times New Roman" w:hAnsi="Times New Roman" w:cs="Times New Roman"/>
          <w:sz w:val="22"/>
          <w:szCs w:val="22"/>
        </w:rPr>
        <w:t>willful</w:t>
      </w:r>
      <w:proofErr w:type="spellEnd"/>
      <w:r w:rsidRPr="0037329D">
        <w:rPr>
          <w:rFonts w:ascii="Times New Roman" w:hAnsi="Times New Roman" w:cs="Times New Roman"/>
          <w:sz w:val="22"/>
          <w:szCs w:val="22"/>
        </w:rPr>
        <w:t xml:space="preserve"> misconduct or fraud, indemnification obligations, or breaches of Section 9, no Party is liable for indirect, incidental, special, consequential, exemplary, or punitive damages.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b. Cap. </w:t>
      </w:r>
      <w:proofErr w:type="spellStart"/>
      <w:r w:rsidRPr="0037329D">
        <w:rPr>
          <w:rFonts w:ascii="Times New Roman" w:hAnsi="Times New Roman" w:cs="Times New Roman"/>
          <w:sz w:val="22"/>
          <w:szCs w:val="22"/>
        </w:rPr>
        <w:t>CollabGlam’s</w:t>
      </w:r>
      <w:proofErr w:type="spellEnd"/>
      <w:r w:rsidRPr="0037329D">
        <w:rPr>
          <w:rFonts w:ascii="Times New Roman" w:hAnsi="Times New Roman" w:cs="Times New Roman"/>
          <w:sz w:val="22"/>
          <w:szCs w:val="22"/>
        </w:rPr>
        <w:t xml:space="preserve"> total liability for any SOW shall not exceed the greater of platform fees received by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for that SOW or USD </w:t>
      </w:r>
      <w:r w:rsidR="005111A2">
        <w:rPr>
          <w:rFonts w:ascii="Times New Roman" w:hAnsi="Times New Roman" w:cs="Times New Roman"/>
          <w:sz w:val="22"/>
          <w:szCs w:val="22"/>
        </w:rPr>
        <w:t>1</w:t>
      </w:r>
      <w:r w:rsidRPr="0037329D">
        <w:rPr>
          <w:rFonts w:ascii="Times New Roman" w:hAnsi="Times New Roman" w:cs="Times New Roman"/>
          <w:sz w:val="22"/>
          <w:szCs w:val="22"/>
        </w:rPr>
        <w:t>,000.</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20. Material Platform Change; Shadow-Ban or Suppression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Material Platform Change. If a Channel materially changes policies or ad tools in a manner that makes performance commercially impracticable, the Parties shall in good faith renegotiate timelines and fees. If no agreement is reached within seven Business Days, either Party may terminate the affected SOW without fault, with escrowed amounts reconciled pro rata.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Shadow-Ban or Suppression. If a Deliverable is materially suppressed beyond normal variance due to documented platform enforcement unrelated to breach by Influencer, the Parties shall implement remedies consistent with Schedule L.</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21. Dispute Resolution; Mediation; Arbitration; Governing Law; Injunctive Relief</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Governing Law. This Agreement is governed by the laws of </w:t>
      </w:r>
      <w:r w:rsidR="00D0656F">
        <w:rPr>
          <w:rFonts w:ascii="Times New Roman" w:hAnsi="Times New Roman" w:cs="Times New Roman"/>
          <w:sz w:val="22"/>
          <w:szCs w:val="22"/>
        </w:rPr>
        <w:t xml:space="preserve"> USA</w:t>
      </w:r>
      <w:r w:rsidRPr="0037329D">
        <w:rPr>
          <w:rFonts w:ascii="Times New Roman" w:hAnsi="Times New Roman" w:cs="Times New Roman"/>
          <w:sz w:val="22"/>
          <w:szCs w:val="22"/>
        </w:rPr>
        <w:t xml:space="preserve"> without regard to conflict-of-law rules. The default is California, United States.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Mediation. As a condition precedent to arbitration, the Parties shall mediate any dispute in good faith for at least ten Business Days after a written mediation request.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Arbitration. Unresolved disputes shall be finally resolved by binding arbitration administered by the American Arbitration Association under its Commercial Arbitration Rules. The seat shall be </w:t>
      </w:r>
      <w:r w:rsidRPr="00D0656F">
        <w:rPr>
          <w:rFonts w:ascii="Times New Roman" w:hAnsi="Times New Roman" w:cs="Times New Roman"/>
          <w:sz w:val="22"/>
          <w:szCs w:val="22"/>
          <w:highlight w:val="green"/>
        </w:rPr>
        <w:t>{{</w:t>
      </w:r>
      <w:proofErr w:type="spellStart"/>
      <w:r w:rsidRPr="00D0656F">
        <w:rPr>
          <w:rFonts w:ascii="Times New Roman" w:hAnsi="Times New Roman" w:cs="Times New Roman"/>
          <w:sz w:val="22"/>
          <w:szCs w:val="22"/>
          <w:highlight w:val="green"/>
        </w:rPr>
        <w:t>Arbitration.Seat</w:t>
      </w:r>
      <w:proofErr w:type="spellEnd"/>
      <w:r w:rsidRPr="00D0656F">
        <w:rPr>
          <w:rFonts w:ascii="Times New Roman" w:hAnsi="Times New Roman" w:cs="Times New Roman"/>
          <w:sz w:val="22"/>
          <w:szCs w:val="22"/>
          <w:highlight w:val="green"/>
        </w:rPr>
        <w:t>}}</w:t>
      </w:r>
      <w:r w:rsidRPr="0037329D">
        <w:rPr>
          <w:rFonts w:ascii="Times New Roman" w:hAnsi="Times New Roman" w:cs="Times New Roman"/>
          <w:sz w:val="22"/>
          <w:szCs w:val="22"/>
        </w:rPr>
        <w:t xml:space="preserve"> and the language English. Judgment may be entered in any court of competent jurisdiction.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Fees. The arbitrator may award reasonable costs and attorneys’ fees to the prevailing Party.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Injunctive Relief. A Party may seek temporary injunctive relief in court to preserve the status quo or protect intellectual property or Confidential Information.</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22. Force Majeure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No Party is liable for delay or failure to perform due to events beyond reasonable control. The impacted Party shall notify the others and mitigate. Posting windows shall be extended for the duration of the force majeure event.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23. Sanctions; Export; Anti-Corruption; Anti-Spam</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Each Party represents it is not subject to sanctions and will comply with sanctions, export controls, anti-corruption, and anti-spam laws. Deliverables shall not be targeted to embargoed territories contrary to law.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24. Notices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Routine communications may occur via the platform. Formal notices shall be sent to the addresses and emails listed above, with a copy to legal@collabglam.com, and are deemed received upon confirmed courier delivery or email transmission with confirmation.</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25. Assignment; Change of Control; Insolvency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a. Assignment. Brand and Influencer may not assign this Agreement or any SOW without prior written consent of the other Parties.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assign to an affiliate or in connection with a merger, acquisition, or sale of substantially all assets.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Change of Control. A Party undergoing a change of control shall notify the other Parties within a reasonable period and ensure continuity of licenses granted for fully paid Deliverables.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Insolvency. Upon insolvency proceedings, non-insolvent Parties may terminate outstanding SOWs for cause. Licenses already paid for shall continue per their terms.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26. Records; Audit Trail; Evidence Preservation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The platform maintains records of SOWs, approvals, submissions, and milestone events. The Parties consent to </w:t>
      </w:r>
      <w:proofErr w:type="spellStart"/>
      <w:r w:rsidRPr="0037329D">
        <w:rPr>
          <w:rFonts w:ascii="Times New Roman" w:hAnsi="Times New Roman" w:cs="Times New Roman"/>
          <w:sz w:val="22"/>
          <w:szCs w:val="22"/>
        </w:rPr>
        <w:t>CollabGlam’s</w:t>
      </w:r>
      <w:proofErr w:type="spellEnd"/>
      <w:r w:rsidRPr="0037329D">
        <w:rPr>
          <w:rFonts w:ascii="Times New Roman" w:hAnsi="Times New Roman" w:cs="Times New Roman"/>
          <w:sz w:val="22"/>
          <w:szCs w:val="22"/>
        </w:rPr>
        <w:t xml:space="preserve"> retention of such records for compliance and dispute resolution.</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27. Platform Terms; Fees; Suspension; Audit Rights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Platform Fees. Brand authorizes deduction of platform and processing fees as published in the dashboard at SOW acceptance.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Suspension.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suspend accounts or SOWs for repeated violations, fraud, or non-payment after notice.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Limited Audit.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conduct a limited audit of SOW performance records where reasonably necessary to verify milestone completion or suspected fraud.</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28. Independent-Contractor Safeguards; Non-Solicit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Contractor Safeguards. Influencer shall provide tools, select methods, and control scheduling subject to SOW outcomes. No benefits, withholdings, or supervision constituting employment shall be imposed.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Non-Solicit. During the Term and for six months thereafter, the Parties shall not knowingly solicit for employment the other Party’s employees or exclusive roster talent directly involved in an SOW, excluding general solicitations not targeted at such personnel.</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29. Entire Agreement; Amendments; Waiver; Severability; Counterparts; Survival Map</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Entire Agreement. This Agreement, Schedules, and executed SOWs constitute the entire agreement and supersede prior or contemporaneous agreements on the subject matter.</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Amendments. Amendments must be in writing and executed via platform e-signature by all Parties. Locked clauses may not be modified without </w:t>
      </w:r>
      <w:proofErr w:type="spellStart"/>
      <w:r w:rsidRPr="0037329D">
        <w:rPr>
          <w:rFonts w:ascii="Times New Roman" w:hAnsi="Times New Roman" w:cs="Times New Roman"/>
          <w:sz w:val="22"/>
          <w:szCs w:val="22"/>
        </w:rPr>
        <w:t>CollabGlam’s</w:t>
      </w:r>
      <w:proofErr w:type="spellEnd"/>
      <w:r w:rsidRPr="0037329D">
        <w:rPr>
          <w:rFonts w:ascii="Times New Roman" w:hAnsi="Times New Roman" w:cs="Times New Roman"/>
          <w:sz w:val="22"/>
          <w:szCs w:val="22"/>
        </w:rPr>
        <w:t xml:space="preserve"> written consent.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Waiver. Failure to enforce any provision is not a waiver of future enforcement.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Severability. If any provision is held invalid or unenforceable, the remainder remains effective.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Counterparts; E-Signatures. Counterparts and electronic signatures are valid and binding.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f. Survival. The survival durations in Schedule N apply.</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Signatures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Brand: </w:t>
      </w:r>
      <w:r w:rsidRPr="00D0656F">
        <w:rPr>
          <w:rFonts w:ascii="Times New Roman" w:hAnsi="Times New Roman" w:cs="Times New Roman"/>
          <w:sz w:val="22"/>
          <w:szCs w:val="22"/>
          <w:highlight w:val="yellow"/>
        </w:rPr>
        <w:t>{{</w:t>
      </w:r>
      <w:proofErr w:type="spellStart"/>
      <w:r w:rsidRPr="00D0656F">
        <w:rPr>
          <w:rFonts w:ascii="Times New Roman" w:hAnsi="Times New Roman" w:cs="Times New Roman"/>
          <w:sz w:val="22"/>
          <w:szCs w:val="22"/>
          <w:highlight w:val="yellow"/>
        </w:rPr>
        <w:t>Brand.LegalName</w:t>
      </w:r>
      <w:proofErr w:type="spellEnd"/>
      <w:r w:rsidRPr="00D0656F">
        <w:rPr>
          <w:rFonts w:ascii="Times New Roman" w:hAnsi="Times New Roman" w:cs="Times New Roman"/>
          <w:sz w:val="22"/>
          <w:szCs w:val="22"/>
          <w:highlight w:val="yellow"/>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By: __________________________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Name: </w:t>
      </w:r>
      <w:r w:rsidRPr="00D0656F">
        <w:rPr>
          <w:rFonts w:ascii="Times New Roman" w:hAnsi="Times New Roman" w:cs="Times New Roman"/>
          <w:sz w:val="22"/>
          <w:szCs w:val="22"/>
          <w:highlight w:val="yellow"/>
        </w:rPr>
        <w:t>{{</w:t>
      </w:r>
      <w:proofErr w:type="spellStart"/>
      <w:r w:rsidRPr="00D0656F">
        <w:rPr>
          <w:rFonts w:ascii="Times New Roman" w:hAnsi="Times New Roman" w:cs="Times New Roman"/>
          <w:sz w:val="22"/>
          <w:szCs w:val="22"/>
          <w:highlight w:val="yellow"/>
        </w:rPr>
        <w:t>Brand.ContactName</w:t>
      </w:r>
      <w:proofErr w:type="spellEnd"/>
      <w:r w:rsidRPr="00D0656F">
        <w:rPr>
          <w:rFonts w:ascii="Times New Roman" w:hAnsi="Times New Roman" w:cs="Times New Roman"/>
          <w:sz w:val="22"/>
          <w:szCs w:val="22"/>
          <w:highlight w:val="yellow"/>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Title: 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Date: </w:t>
      </w:r>
      <w:r w:rsidRPr="00D0656F">
        <w:rPr>
          <w:rFonts w:ascii="Times New Roman" w:hAnsi="Times New Roman" w:cs="Times New Roman"/>
          <w:sz w:val="22"/>
          <w:szCs w:val="22"/>
          <w:highlight w:val="yellow"/>
        </w:rPr>
        <w:t>{{</w:t>
      </w:r>
      <w:proofErr w:type="spellStart"/>
      <w:r w:rsidRPr="00D0656F">
        <w:rPr>
          <w:rFonts w:ascii="Times New Roman" w:hAnsi="Times New Roman" w:cs="Times New Roman"/>
          <w:sz w:val="22"/>
          <w:szCs w:val="22"/>
          <w:highlight w:val="yellow"/>
        </w:rPr>
        <w:t>Agreement.EffectiveDate</w:t>
      </w:r>
      <w:proofErr w:type="spellEnd"/>
      <w:r w:rsidRPr="00D0656F">
        <w:rPr>
          <w:rFonts w:ascii="Times New Roman" w:hAnsi="Times New Roman" w:cs="Times New Roman"/>
          <w:sz w:val="22"/>
          <w:szCs w:val="22"/>
          <w:highlight w:val="yellow"/>
        </w:rPr>
        <w: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Influencer: </w:t>
      </w:r>
      <w:r w:rsidRPr="00E662CF">
        <w:rPr>
          <w:rFonts w:ascii="Times New Roman" w:hAnsi="Times New Roman" w:cs="Times New Roman"/>
          <w:sz w:val="22"/>
          <w:szCs w:val="22"/>
          <w:highlight w:val="magenta"/>
        </w:rPr>
        <w:t>{{</w:t>
      </w:r>
      <w:proofErr w:type="spellStart"/>
      <w:r w:rsidRPr="00E662CF">
        <w:rPr>
          <w:rFonts w:ascii="Times New Roman" w:hAnsi="Times New Roman" w:cs="Times New Roman"/>
          <w:sz w:val="22"/>
          <w:szCs w:val="22"/>
          <w:highlight w:val="magenta"/>
        </w:rPr>
        <w:t>Influencer.LegalName</w:t>
      </w:r>
      <w:proofErr w:type="spellEnd"/>
      <w:r w:rsidRPr="00E662CF">
        <w:rPr>
          <w:rFonts w:ascii="Times New Roman" w:hAnsi="Times New Roman" w:cs="Times New Roman"/>
          <w:sz w:val="22"/>
          <w:szCs w:val="22"/>
          <w:highlight w:val="magenta"/>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By: __________________________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Name: </w:t>
      </w:r>
      <w:r w:rsidRPr="00E662CF">
        <w:rPr>
          <w:rFonts w:ascii="Times New Roman" w:hAnsi="Times New Roman" w:cs="Times New Roman"/>
          <w:sz w:val="22"/>
          <w:szCs w:val="22"/>
          <w:highlight w:val="magenta"/>
        </w:rPr>
        <w:t>{{</w:t>
      </w:r>
      <w:proofErr w:type="spellStart"/>
      <w:r w:rsidRPr="00E662CF">
        <w:rPr>
          <w:rFonts w:ascii="Times New Roman" w:hAnsi="Times New Roman" w:cs="Times New Roman"/>
          <w:sz w:val="22"/>
          <w:szCs w:val="22"/>
          <w:highlight w:val="magenta"/>
        </w:rPr>
        <w:t>Influencer.ContactName</w:t>
      </w:r>
      <w:proofErr w:type="spellEnd"/>
      <w:r w:rsidRPr="00E662CF">
        <w:rPr>
          <w:rFonts w:ascii="Times New Roman" w:hAnsi="Times New Roman" w:cs="Times New Roman"/>
          <w:sz w:val="22"/>
          <w:szCs w:val="22"/>
          <w:highlight w:val="magenta"/>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Title: 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Date: </w:t>
      </w:r>
      <w:r w:rsidRPr="00E662CF">
        <w:rPr>
          <w:rFonts w:ascii="Times New Roman" w:hAnsi="Times New Roman" w:cs="Times New Roman"/>
          <w:sz w:val="22"/>
          <w:szCs w:val="22"/>
          <w:highlight w:val="magenta"/>
        </w:rPr>
        <w:t>{{</w:t>
      </w:r>
      <w:proofErr w:type="spellStart"/>
      <w:r w:rsidRPr="00E662CF">
        <w:rPr>
          <w:rFonts w:ascii="Times New Roman" w:hAnsi="Times New Roman" w:cs="Times New Roman"/>
          <w:sz w:val="22"/>
          <w:szCs w:val="22"/>
          <w:highlight w:val="magenta"/>
        </w:rPr>
        <w:t>Agreement.EffectiveDate</w:t>
      </w:r>
      <w:proofErr w:type="spellEnd"/>
      <w:r w:rsidRPr="00E662CF">
        <w:rPr>
          <w:rFonts w:ascii="Times New Roman" w:hAnsi="Times New Roman" w:cs="Times New Roman"/>
          <w:sz w:val="22"/>
          <w:szCs w:val="22"/>
          <w:highlight w:val="magenta"/>
        </w:rPr>
        <w: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Inc.</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By: __________________________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Name: </w:t>
      </w:r>
      <w:r w:rsidRPr="00E662CF">
        <w:rPr>
          <w:rFonts w:ascii="Times New Roman" w:hAnsi="Times New Roman" w:cs="Times New Roman"/>
          <w:sz w:val="22"/>
          <w:szCs w:val="22"/>
          <w:highlight w:val="green"/>
        </w:rPr>
        <w:t>{{</w:t>
      </w:r>
      <w:proofErr w:type="spellStart"/>
      <w:r w:rsidRPr="00E662CF">
        <w:rPr>
          <w:rFonts w:ascii="Times New Roman" w:hAnsi="Times New Roman" w:cs="Times New Roman"/>
          <w:sz w:val="22"/>
          <w:szCs w:val="22"/>
          <w:highlight w:val="green"/>
        </w:rPr>
        <w:t>CollabGlam.SignatoryName</w:t>
      </w:r>
      <w:proofErr w:type="spellEnd"/>
      <w:r w:rsidRPr="00E662CF">
        <w:rPr>
          <w:rFonts w:ascii="Times New Roman" w:hAnsi="Times New Roman" w:cs="Times New Roman"/>
          <w:sz w:val="22"/>
          <w:szCs w:val="22"/>
          <w:highlight w:val="green"/>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Title: ________________________</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Date: </w:t>
      </w:r>
      <w:r w:rsidRPr="00E662CF">
        <w:rPr>
          <w:rFonts w:ascii="Times New Roman" w:hAnsi="Times New Roman" w:cs="Times New Roman"/>
          <w:sz w:val="22"/>
          <w:szCs w:val="22"/>
          <w:highlight w:val="green"/>
        </w:rPr>
        <w:t>{{</w:t>
      </w:r>
      <w:proofErr w:type="spellStart"/>
      <w:r w:rsidRPr="00E662CF">
        <w:rPr>
          <w:rFonts w:ascii="Times New Roman" w:hAnsi="Times New Roman" w:cs="Times New Roman"/>
          <w:sz w:val="22"/>
          <w:szCs w:val="22"/>
          <w:highlight w:val="green"/>
        </w:rPr>
        <w:t>Agreement.EffectiveDate</w:t>
      </w:r>
      <w:proofErr w:type="spellEnd"/>
      <w:r w:rsidRPr="00E662CF">
        <w:rPr>
          <w:rFonts w:ascii="Times New Roman" w:hAnsi="Times New Roman" w:cs="Times New Roman"/>
          <w:sz w:val="22"/>
          <w:szCs w:val="22"/>
          <w:highlight w:val="green"/>
        </w:rPr>
        <w: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A – Statement of Work (SOW)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1. Campaign Title: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Campaign.Title</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2. Territory: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Campaign.Territory</w:t>
      </w:r>
      <w:proofErr w:type="spellEnd"/>
      <w:r w:rsidRPr="00E662CF">
        <w:rPr>
          <w:rFonts w:ascii="Times New Roman" w:hAnsi="Times New Roman" w:cs="Times New Roman"/>
          <w:sz w:val="22"/>
          <w:szCs w:val="22"/>
          <w:highlight w:val="lightGray"/>
        </w:rPr>
        <w:t>}}</w:t>
      </w:r>
      <w:r w:rsidRPr="0037329D">
        <w:rPr>
          <w:rFonts w:ascii="Times New Roman" w:hAnsi="Times New Roman" w:cs="Times New Roman"/>
          <w:sz w:val="22"/>
          <w:szCs w:val="22"/>
        </w:rPr>
        <w:t xml:space="preserve"> (default Worldwide)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Channels: YouTube, Instagram, and/or TikTok as selected.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Deliverables: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Type, quantity, format, duration.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Posting window start and end dates.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Draft requirement and draft due date, if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Included revision rounds and fee per additional round.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e. Minimum live retention period.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f. Required tags, handles, captions, links, and disclosures.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g. Whitelisting, spark ads, or equivalent access, if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Approvals and Service Levels: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Brand review window: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Approval.BrandResponseWindow</w:t>
      </w:r>
      <w:proofErr w:type="spellEnd"/>
      <w:r w:rsidRPr="00E662CF">
        <w:rPr>
          <w:rFonts w:ascii="Times New Roman" w:hAnsi="Times New Roman" w:cs="Times New Roman"/>
          <w:sz w:val="22"/>
          <w:szCs w:val="22"/>
          <w:highlight w:val="lightGray"/>
        </w:rPr>
        <w:t>}}</w:t>
      </w:r>
      <w:r w:rsidRPr="0037329D">
        <w:rPr>
          <w:rFonts w:ascii="Times New Roman" w:hAnsi="Times New Roman" w:cs="Times New Roman"/>
          <w:sz w:val="22"/>
          <w:szCs w:val="22"/>
        </w:rPr>
        <w:t xml:space="preserve"> Business Days.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Included revision rounds: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Approval.RoundsIncluded</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Additional revision fee: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Approval.AdditionalRevisionFee</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6. Usage Rights Matrix Reference: Schedule K selections.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7. Compensation and Payments: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 xml:space="preserve">   a. Total Fee and currency: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Comp.TotalFee</w:t>
      </w:r>
      <w:proofErr w:type="spellEnd"/>
      <w:r w:rsidRPr="00E662CF">
        <w:rPr>
          <w:rFonts w:ascii="Times New Roman" w:hAnsi="Times New Roman" w:cs="Times New Roman"/>
          <w:sz w:val="22"/>
          <w:szCs w:val="22"/>
          <w:highlight w:val="lightGray"/>
        </w:rPr>
        <w:t>}} {{</w:t>
      </w:r>
      <w:proofErr w:type="spellStart"/>
      <w:r w:rsidRPr="00E662CF">
        <w:rPr>
          <w:rFonts w:ascii="Times New Roman" w:hAnsi="Times New Roman" w:cs="Times New Roman"/>
          <w:sz w:val="22"/>
          <w:szCs w:val="22"/>
          <w:highlight w:val="lightGray"/>
        </w:rPr>
        <w:t>Comp.Currency</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Milestones and triggers: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Comp.MilestoneSplit</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c. Net terms if escrow is not used: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Comp.NetTerms</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d. Payment method: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Comp.PaymentMethod</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8. Tracking and Reporting: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Affiliate link or UTM parameters, if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Insights or screenshots within 48 hours and a day-30 snapshot upon request.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9. Exclusivity: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Category definition and competitor list, if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Exclusivity window after go-live: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Exclusivity.WindowHoursAfterPost</w:t>
      </w:r>
      <w:proofErr w:type="spellEnd"/>
      <w:r w:rsidRPr="00E662CF">
        <w:rPr>
          <w:rFonts w:ascii="Times New Roman" w:hAnsi="Times New Roman" w:cs="Times New Roman"/>
          <w:sz w:val="22"/>
          <w:szCs w:val="22"/>
          <w:highlight w:val="lightGray"/>
        </w:rPr>
        <w:t>}}</w:t>
      </w:r>
      <w:r w:rsidRPr="0037329D">
        <w:rPr>
          <w:rFonts w:ascii="Times New Roman" w:hAnsi="Times New Roman" w:cs="Times New Roman"/>
          <w:sz w:val="22"/>
          <w:szCs w:val="22"/>
        </w:rPr>
        <w:t xml:space="preserve"> hours.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10. Product Handling: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Shipment date required: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ProductShipment.RequiredDate</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Return required or not: </w:t>
      </w:r>
      <w:r w:rsidRPr="00E662CF">
        <w:rPr>
          <w:rFonts w:ascii="Times New Roman" w:hAnsi="Times New Roman" w:cs="Times New Roman"/>
          <w:sz w:val="22"/>
          <w:szCs w:val="22"/>
          <w:highlight w:val="lightGray"/>
        </w:rPr>
        <w:t>{{</w:t>
      </w:r>
      <w:proofErr w:type="spellStart"/>
      <w:r w:rsidRPr="00E662CF">
        <w:rPr>
          <w:rFonts w:ascii="Times New Roman" w:hAnsi="Times New Roman" w:cs="Times New Roman"/>
          <w:sz w:val="22"/>
          <w:szCs w:val="22"/>
          <w:highlight w:val="lightGray"/>
        </w:rPr>
        <w:t>ProductShipment.ReturnRequired</w:t>
      </w:r>
      <w:proofErr w:type="spellEnd"/>
      <w:r w:rsidRPr="00E662CF">
        <w:rPr>
          <w:rFonts w:ascii="Times New Roman" w:hAnsi="Times New Roman" w:cs="Times New Roman"/>
          <w:sz w:val="22"/>
          <w:szCs w:val="22"/>
          <w:highlight w:val="lightGray"/>
        </w:rPr>
        <w: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11. Contacts and Escalation: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Primary contacts for each Party.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b. Escalation contact and timelines.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12. Special Terms: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    a. Any specific provisions expressly agreed to override SOW defaults consistent with Section 2.</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B – Advertising and Platform Compliance Addendum</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Legal Standards. Deliverables shall comply with applicable advertising and consumer protection law in targeted jurisdictions.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Disclosures. Influencer shall provide clear and conspicuous disclosures of material connections proximate to endorsements.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Claims. Influencer shall not make objective claims without Brand’s written direction or substantiation. Brand shall supply substantiation on request.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Platform Policies. Influencer shall comply with YouTube, Instagram, and TikTok policies.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Corrections. Influencer shall promptly implement compliance corrections.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6. Prohibitions. No undisclosed incentives, review-gating, impersonation, or unlawful dark patterns.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7. Sensitive Sectors. Age-gated and special-category requirements shall be implemented before publication.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8. Accessibility. Use captions and reasonable accessibility measures where practicable.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9. AI and Synthetic Media. Label synthetic media where required; no impersonation without consent.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C – Platform Terms and Dispute Process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1. Fees. Platform and processing fees shall be as published in the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dashboard at SOW acceptance.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Escrow. Milestones require submission of specified artifacts before escrow release.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3. Dispute Process. Parties shall first use the platform’s evidence-based dispute flow before arbitration.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4. Suspension. </w:t>
      </w:r>
      <w:proofErr w:type="spellStart"/>
      <w:r w:rsidRPr="0037329D">
        <w:rPr>
          <w:rFonts w:ascii="Times New Roman" w:hAnsi="Times New Roman" w:cs="Times New Roman"/>
          <w:sz w:val="22"/>
          <w:szCs w:val="22"/>
        </w:rPr>
        <w:t>CollabGlam</w:t>
      </w:r>
      <w:proofErr w:type="spellEnd"/>
      <w:r w:rsidRPr="0037329D">
        <w:rPr>
          <w:rFonts w:ascii="Times New Roman" w:hAnsi="Times New Roman" w:cs="Times New Roman"/>
          <w:sz w:val="22"/>
          <w:szCs w:val="22"/>
        </w:rPr>
        <w:t xml:space="preserve"> may suspend accounts or SOWs for repeated violations, fraud, or non-payment after notice.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Records. Transaction logs, approvals, and milestones may be retained as evidence.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D – Data Processing Addendum</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Subject Matter and Duration. Processing personal data solely to perform the SOW for the term of this Agreement.</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Roles. Each Party is an independent controller of its own data. Where one Party processes personal data on behalf of another, processor obligations apply to that processing.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Security. Reasonable technical and organizational measures shall be implemented.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Breach Notice. Notice without undue delay including incident description, likely consequences, and mitigation.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Sub-processors. Permitted subject to materially equivalent obligations.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6. Cross-Border Transfers. Appropriate transfer mechanisms shall be used where required by law.</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7. Data Minimization and Retention. Collect only what is necessary and retain only as required by law or this Agreement.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E – Definitions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Business Day has the meaning in Section 2.</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Channels means YouTube, Instagram, and TikTok.</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Deliverables means the content and outputs specified in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Organic Use means unpaid reposting or sharing on Brand-controlled social channels and websites as selected in Schedule K.</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Paid Digital Use means paid promotion or use in Brand digital advertising and retailer sites as selected in Schedule K.</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6. Posting Window means the period in which Deliverables must be published per Schedule A.</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7. Invalid Traffic has the meaning in Schedule L.</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8. Brand Assets means Brand-provided trademarks, logos, product images, specifications, claims, and other materials.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F – Jurisdiction Addendum: United States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Consumer and Unfair Terms. To the extent mandatory law applies, any conflicting term shall be modified to the minimum extent necessary to comply with such law.</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Arbitration/Class-Action Waiver. To the maximum extent permitted, disputes shall be arbitrated on an individual basis and class procedures are waived.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Auto-Renew. No auto-renewal applies unless expressly stated in the SOW and disclosed before signature.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G – Jurisdiction Addendum: United Kingdom and European Union</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1. Unfair Terms and Transparency. Terms shall be interpreted to comply with mandatory consumer law where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UCPD/CMA Compliance. Marketing practices and endorsements shall comply with applicable regimes.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Language. Local language versions may be provided for convenience; English controls unless otherwise required by mandatory law.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H – Promotions and Sweepstakes Annex</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Scope. If a promotion, sweepstake, or contest is contemplated, the Parties shall implement this Schedule before posting.</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 xml:space="preserve">2. Controls. Eligibility, official rules, disclosures, registration/bonding where applicable, winner verification, and prize </w:t>
      </w:r>
      <w:proofErr w:type="spellStart"/>
      <w:r w:rsidRPr="0037329D">
        <w:rPr>
          <w:rFonts w:ascii="Times New Roman" w:hAnsi="Times New Roman" w:cs="Times New Roman"/>
          <w:sz w:val="22"/>
          <w:szCs w:val="22"/>
        </w:rPr>
        <w:t>fulfillment</w:t>
      </w:r>
      <w:proofErr w:type="spellEnd"/>
      <w:r w:rsidRPr="0037329D">
        <w:rPr>
          <w:rFonts w:ascii="Times New Roman" w:hAnsi="Times New Roman" w:cs="Times New Roman"/>
          <w:sz w:val="22"/>
          <w:szCs w:val="22"/>
        </w:rPr>
        <w:t xml:space="preserve"> shall be Brand’s responsibility unless the SOW states otherwise.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I – Minors and Child-Directed Content Annex</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Parental Consent. Written consent is required for any minor’s participation.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Laws. Compliance with COPPA, UK AADC, and materially equivalent regimes shall be implemented when applicable.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Restrictions. Filming in school zones or private venues requires appropriate permissions.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J – Insurance Requirements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Coverages. Where required by the SOW, Influencer shall maintain commercial general liability, media/technology errors and omissions, and, where applicable, workers’ compensation and cyber liability with industry standard limits.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Certificates. Certificates of insurance shall be provided upon request, naming Brand as additional insured where required.</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K – Usage Rights Matrix</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Selections. The SOW shall check selected rights from the following categories: Organic Use; Paid Digital Use; Retailer and Brand websites; Email marketing. Broadcast, print, out-of-home, or non-digital uses are excluded unless expressly selected and paid.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Parameters. For each selected category, the SOW shall specify duration in months, geographies, derivative edit permissions, spend caps, flighting limits, audience restrictions, and whitelisting or spark ad permissions where applicable.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L – Metrics Verification and Invalid Traffic</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1. Invalid Traffic. Invalid Traffic includes non-human interactions, automated clicks or views, and materially abnormal spikes inconsistent with organic performance.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Verification. Brand may commission third-party verification once per SOW. If reported variance exceeds a commercially reasonable threshold, Influencer shall cooperate and reasonable remedies shall apply.</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Remedies. Remedies may include reposting, extension, or proportional fee adjustment tied to the degree of Invalid Traffic and its impact.</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M – PR Crisis Protocol</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Coordination. Parties shall coordinate public statements and timing of takedown or reposts.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Contact Tree. The SOW shall identify contacts authorized to approve crisis communications.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Timeframes. Reasonable timeframes for takedown or repost actions shall be agreed in writing.</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N – Survival Schedule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Sections 5 through 7 survive for twelve months after termination.</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Sections 8, 9, 10, 11, 12, 14, 15, 16, 17, 18, 19 survive for the longer of the applicable statute of limitations or three years, except indemnification which survives to the extent of the claim period.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Licenses granted and paid under Schedules K and P survive for their stated durations.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4. Non-Circumvention under Section 15 survives for twelve months after the last milestone.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5. Records under Section 26 survive for five years or as required by law.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O – Change Order Form</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Contents. Each change order shall specify scope changes, fee changes, milestone adjustments, and revised approval windows.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Effect. A fully executed change order amends the applicable SOW.</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P – Raw Footage and Asset Delivery</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1. Scope. If required in the SOW, Influencer shall deliver raw footage, project files, and working files in stated formats within the delivery timeline.</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Security. Files shall be transmitted via a secure method and retained by Influencer for ninety days unless otherwise stated.</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3. Ownership. Ownership remains with Influencer unless the SOW expressly transfers ownership and fee.</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Schedule Q – Proof of License Deliverables</w:t>
      </w:r>
    </w:p>
    <w:p w:rsidR="0037329D" w:rsidRPr="0037329D" w:rsidRDefault="0037329D" w:rsidP="002D755A">
      <w:pPr>
        <w:spacing w:line="360" w:lineRule="auto"/>
        <w:jc w:val="both"/>
        <w:rPr>
          <w:rFonts w:ascii="Times New Roman" w:hAnsi="Times New Roman" w:cs="Times New Roman"/>
          <w:sz w:val="22"/>
          <w:szCs w:val="22"/>
        </w:rPr>
      </w:pP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lastRenderedPageBreak/>
        <w:t>1. Proofs. Where third-party materials are used, Influencer shall deliver proof of license, including license terms, permitted uses, and durations.</w:t>
      </w:r>
    </w:p>
    <w:p w:rsidR="0037329D" w:rsidRPr="0037329D" w:rsidRDefault="0037329D" w:rsidP="002D755A">
      <w:pPr>
        <w:spacing w:line="360" w:lineRule="auto"/>
        <w:jc w:val="both"/>
        <w:rPr>
          <w:rFonts w:ascii="Times New Roman" w:hAnsi="Times New Roman" w:cs="Times New Roman"/>
          <w:sz w:val="22"/>
          <w:szCs w:val="22"/>
        </w:rPr>
      </w:pPr>
      <w:r w:rsidRPr="0037329D">
        <w:rPr>
          <w:rFonts w:ascii="Times New Roman" w:hAnsi="Times New Roman" w:cs="Times New Roman"/>
          <w:sz w:val="22"/>
          <w:szCs w:val="22"/>
        </w:rPr>
        <w:t>2. Music. Unless the SOW assigns responsibility to Influencer, Brand remains responsible for commercial music licensing.</w:t>
      </w:r>
    </w:p>
    <w:p w:rsidR="0037329D" w:rsidRDefault="0037329D" w:rsidP="002D755A">
      <w:pPr>
        <w:spacing w:line="360" w:lineRule="auto"/>
        <w:jc w:val="both"/>
        <w:rPr>
          <w:rFonts w:ascii="Times New Roman" w:hAnsi="Times New Roman" w:cs="Times New Roman"/>
          <w:sz w:val="22"/>
          <w:szCs w:val="22"/>
        </w:rPr>
      </w:pPr>
    </w:p>
    <w:p w:rsidR="007C2420" w:rsidRDefault="007C2420" w:rsidP="002D755A">
      <w:pPr>
        <w:spacing w:line="360" w:lineRule="auto"/>
        <w:jc w:val="both"/>
        <w:rPr>
          <w:rFonts w:ascii="Times New Roman" w:hAnsi="Times New Roman" w:cs="Times New Roman"/>
          <w:sz w:val="22"/>
          <w:szCs w:val="22"/>
        </w:rPr>
      </w:pPr>
    </w:p>
    <w:p w:rsidR="007C2420" w:rsidRPr="0037329D" w:rsidRDefault="007C2420" w:rsidP="002D755A">
      <w:pPr>
        <w:spacing w:line="360" w:lineRule="auto"/>
        <w:jc w:val="both"/>
        <w:rPr>
          <w:rFonts w:ascii="Times New Roman" w:hAnsi="Times New Roman" w:cs="Times New Roman"/>
          <w:sz w:val="22"/>
          <w:szCs w:val="22"/>
        </w:rPr>
      </w:pPr>
    </w:p>
    <w:p w:rsidR="00EF4490" w:rsidRPr="007C2420" w:rsidRDefault="0037329D" w:rsidP="007C2420">
      <w:pPr>
        <w:spacing w:line="360" w:lineRule="auto"/>
        <w:jc w:val="center"/>
        <w:rPr>
          <w:rFonts w:ascii="Times New Roman" w:hAnsi="Times New Roman" w:cs="Times New Roman"/>
          <w:i/>
          <w:iCs/>
          <w:sz w:val="22"/>
          <w:szCs w:val="22"/>
        </w:rPr>
      </w:pPr>
      <w:r w:rsidRPr="007C2420">
        <w:rPr>
          <w:rFonts w:ascii="Times New Roman" w:hAnsi="Times New Roman" w:cs="Times New Roman"/>
          <w:i/>
          <w:iCs/>
          <w:sz w:val="22"/>
          <w:szCs w:val="22"/>
        </w:rPr>
        <w:t>End of Agreement</w:t>
      </w:r>
    </w:p>
    <w:p w:rsidR="00EF4490" w:rsidRDefault="00EF4490" w:rsidP="002D755A">
      <w:pPr>
        <w:spacing w:line="360" w:lineRule="auto"/>
        <w:jc w:val="both"/>
        <w:rPr>
          <w:rFonts w:ascii="Times New Roman" w:hAnsi="Times New Roman" w:cs="Times New Roman"/>
          <w:sz w:val="22"/>
          <w:szCs w:val="22"/>
        </w:rPr>
      </w:pPr>
    </w:p>
    <w:p w:rsidR="00EF4490" w:rsidRPr="0037329D" w:rsidRDefault="00EF4490" w:rsidP="002D755A">
      <w:pPr>
        <w:spacing w:line="360" w:lineRule="auto"/>
        <w:jc w:val="both"/>
        <w:rPr>
          <w:rFonts w:ascii="Times New Roman" w:hAnsi="Times New Roman" w:cs="Times New Roman"/>
          <w:sz w:val="22"/>
          <w:szCs w:val="22"/>
        </w:rPr>
      </w:pPr>
    </w:p>
    <w:sectPr w:rsidR="00EF4490" w:rsidRPr="0037329D" w:rsidSect="0037329D">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7886" w:rsidRDefault="00AA7886" w:rsidP="0037329D">
      <w:r>
        <w:separator/>
      </w:r>
    </w:p>
  </w:endnote>
  <w:endnote w:type="continuationSeparator" w:id="0">
    <w:p w:rsidR="00AA7886" w:rsidRDefault="00AA7886" w:rsidP="0037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7886" w:rsidRDefault="00AA7886" w:rsidP="0037329D">
      <w:r>
        <w:separator/>
      </w:r>
    </w:p>
  </w:footnote>
  <w:footnote w:type="continuationSeparator" w:id="0">
    <w:p w:rsidR="00AA7886" w:rsidRDefault="00AA7886" w:rsidP="00373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329D" w:rsidRPr="0037329D" w:rsidRDefault="0037329D" w:rsidP="0037329D">
    <w:pPr>
      <w:jc w:val="center"/>
      <w:rPr>
        <w:rFonts w:ascii="Times New Roman" w:hAnsi="Times New Roman" w:cs="Times New Roman"/>
        <w:b/>
        <w:bCs/>
        <w:sz w:val="22"/>
        <w:szCs w:val="22"/>
      </w:rPr>
    </w:pPr>
    <w:r w:rsidRPr="0037329D">
      <w:rPr>
        <w:rFonts w:ascii="Times New Roman" w:hAnsi="Times New Roman" w:cs="Times New Roman"/>
        <w:b/>
        <w:bCs/>
        <w:sz w:val="22"/>
        <w:szCs w:val="22"/>
      </w:rPr>
      <w:t>COLLABGLAM MASTER BRAND–INFLUENCER AGREEMENT (TRI-PARTY)</w:t>
    </w:r>
  </w:p>
  <w:p w:rsidR="00EF4490" w:rsidRDefault="00EF4490" w:rsidP="0037329D">
    <w:pPr>
      <w:jc w:val="center"/>
      <w:rPr>
        <w:rFonts w:ascii="Times New Roman" w:hAnsi="Times New Roman" w:cs="Times New Roman"/>
        <w:b/>
        <w:bCs/>
        <w:sz w:val="22"/>
        <w:szCs w:val="22"/>
      </w:rPr>
    </w:pPr>
  </w:p>
  <w:p w:rsidR="0037329D" w:rsidRDefault="0037329D" w:rsidP="0037329D">
    <w:pPr>
      <w:jc w:val="center"/>
      <w:rPr>
        <w:rFonts w:ascii="Times New Roman" w:hAnsi="Times New Roman" w:cs="Times New Roman"/>
        <w:b/>
        <w:bCs/>
        <w:sz w:val="22"/>
        <w:szCs w:val="22"/>
      </w:rPr>
    </w:pPr>
    <w:r w:rsidRPr="0037329D">
      <w:rPr>
        <w:rFonts w:ascii="Times New Roman" w:hAnsi="Times New Roman" w:cs="Times New Roman"/>
        <w:b/>
        <w:bCs/>
        <w:sz w:val="22"/>
        <w:szCs w:val="22"/>
      </w:rPr>
      <w:t>Effective Date: 28</w:t>
    </w:r>
    <w:r w:rsidRPr="0037329D">
      <w:rPr>
        <w:rFonts w:ascii="Times New Roman" w:hAnsi="Times New Roman" w:cs="Times New Roman"/>
        <w:b/>
        <w:bCs/>
        <w:sz w:val="22"/>
        <w:szCs w:val="22"/>
        <w:vertAlign w:val="superscript"/>
      </w:rPr>
      <w:t>th</w:t>
    </w:r>
    <w:r w:rsidRPr="0037329D">
      <w:rPr>
        <w:rFonts w:ascii="Times New Roman" w:hAnsi="Times New Roman" w:cs="Times New Roman"/>
        <w:b/>
        <w:bCs/>
        <w:sz w:val="22"/>
        <w:szCs w:val="22"/>
      </w:rPr>
      <w:t xml:space="preserve"> October 2025</w:t>
    </w:r>
  </w:p>
  <w:p w:rsidR="00EF4490" w:rsidRPr="0037329D" w:rsidRDefault="00EF4490" w:rsidP="0037329D">
    <w:pPr>
      <w:jc w:val="center"/>
      <w:rPr>
        <w:rFonts w:ascii="Times New Roman" w:hAnsi="Times New Roman" w:cs="Times New Roman"/>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834"/>
    <w:multiLevelType w:val="multilevel"/>
    <w:tmpl w:val="AEAC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120FD"/>
    <w:multiLevelType w:val="multilevel"/>
    <w:tmpl w:val="63C8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D0567"/>
    <w:multiLevelType w:val="multilevel"/>
    <w:tmpl w:val="00F0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D2B65"/>
    <w:multiLevelType w:val="multilevel"/>
    <w:tmpl w:val="1152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294834">
    <w:abstractNumId w:val="2"/>
  </w:num>
  <w:num w:numId="2" w16cid:durableId="1299797818">
    <w:abstractNumId w:val="0"/>
  </w:num>
  <w:num w:numId="3" w16cid:durableId="2015498352">
    <w:abstractNumId w:val="1"/>
  </w:num>
  <w:num w:numId="4" w16cid:durableId="916986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9D"/>
    <w:rsid w:val="002D755A"/>
    <w:rsid w:val="0037329D"/>
    <w:rsid w:val="00422AA5"/>
    <w:rsid w:val="004A574D"/>
    <w:rsid w:val="005111A2"/>
    <w:rsid w:val="0057254B"/>
    <w:rsid w:val="007C2420"/>
    <w:rsid w:val="00961750"/>
    <w:rsid w:val="009B3B79"/>
    <w:rsid w:val="00A61AC7"/>
    <w:rsid w:val="00AA115E"/>
    <w:rsid w:val="00AA7886"/>
    <w:rsid w:val="00B21A42"/>
    <w:rsid w:val="00BB2A3F"/>
    <w:rsid w:val="00C8666B"/>
    <w:rsid w:val="00D0656F"/>
    <w:rsid w:val="00E46BB0"/>
    <w:rsid w:val="00E662CF"/>
    <w:rsid w:val="00EF4490"/>
    <w:rsid w:val="00F5371E"/>
    <w:rsid w:val="00FB7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7347B2"/>
  <w15:chartTrackingRefBased/>
  <w15:docId w15:val="{0A48DCFD-2E31-1147-BC00-540AE197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2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9D"/>
    <w:rPr>
      <w:rFonts w:eastAsiaTheme="majorEastAsia" w:cstheme="majorBidi"/>
      <w:color w:val="272727" w:themeColor="text1" w:themeTint="D8"/>
    </w:rPr>
  </w:style>
  <w:style w:type="paragraph" w:styleId="Title">
    <w:name w:val="Title"/>
    <w:basedOn w:val="Normal"/>
    <w:next w:val="Normal"/>
    <w:link w:val="TitleChar"/>
    <w:uiPriority w:val="10"/>
    <w:qFormat/>
    <w:rsid w:val="003732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329D"/>
    <w:rPr>
      <w:i/>
      <w:iCs/>
      <w:color w:val="404040" w:themeColor="text1" w:themeTint="BF"/>
    </w:rPr>
  </w:style>
  <w:style w:type="paragraph" w:styleId="ListParagraph">
    <w:name w:val="List Paragraph"/>
    <w:basedOn w:val="Normal"/>
    <w:uiPriority w:val="34"/>
    <w:qFormat/>
    <w:rsid w:val="0037329D"/>
    <w:pPr>
      <w:ind w:left="720"/>
      <w:contextualSpacing/>
    </w:pPr>
  </w:style>
  <w:style w:type="character" w:styleId="IntenseEmphasis">
    <w:name w:val="Intense Emphasis"/>
    <w:basedOn w:val="DefaultParagraphFont"/>
    <w:uiPriority w:val="21"/>
    <w:qFormat/>
    <w:rsid w:val="0037329D"/>
    <w:rPr>
      <w:i/>
      <w:iCs/>
      <w:color w:val="2F5496" w:themeColor="accent1" w:themeShade="BF"/>
    </w:rPr>
  </w:style>
  <w:style w:type="paragraph" w:styleId="IntenseQuote">
    <w:name w:val="Intense Quote"/>
    <w:basedOn w:val="Normal"/>
    <w:next w:val="Normal"/>
    <w:link w:val="IntenseQuoteChar"/>
    <w:uiPriority w:val="30"/>
    <w:qFormat/>
    <w:rsid w:val="0037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29D"/>
    <w:rPr>
      <w:i/>
      <w:iCs/>
      <w:color w:val="2F5496" w:themeColor="accent1" w:themeShade="BF"/>
    </w:rPr>
  </w:style>
  <w:style w:type="character" w:styleId="IntenseReference">
    <w:name w:val="Intense Reference"/>
    <w:basedOn w:val="DefaultParagraphFont"/>
    <w:uiPriority w:val="32"/>
    <w:qFormat/>
    <w:rsid w:val="0037329D"/>
    <w:rPr>
      <w:b/>
      <w:bCs/>
      <w:smallCaps/>
      <w:color w:val="2F5496" w:themeColor="accent1" w:themeShade="BF"/>
      <w:spacing w:val="5"/>
    </w:rPr>
  </w:style>
  <w:style w:type="paragraph" w:styleId="Header">
    <w:name w:val="header"/>
    <w:basedOn w:val="Normal"/>
    <w:link w:val="HeaderChar"/>
    <w:uiPriority w:val="99"/>
    <w:unhideWhenUsed/>
    <w:rsid w:val="0037329D"/>
    <w:pPr>
      <w:tabs>
        <w:tab w:val="center" w:pos="4513"/>
        <w:tab w:val="right" w:pos="9026"/>
      </w:tabs>
    </w:pPr>
  </w:style>
  <w:style w:type="character" w:customStyle="1" w:styleId="HeaderChar">
    <w:name w:val="Header Char"/>
    <w:basedOn w:val="DefaultParagraphFont"/>
    <w:link w:val="Header"/>
    <w:uiPriority w:val="99"/>
    <w:rsid w:val="0037329D"/>
  </w:style>
  <w:style w:type="paragraph" w:styleId="Footer">
    <w:name w:val="footer"/>
    <w:basedOn w:val="Normal"/>
    <w:link w:val="FooterChar"/>
    <w:uiPriority w:val="99"/>
    <w:unhideWhenUsed/>
    <w:rsid w:val="0037329D"/>
    <w:pPr>
      <w:tabs>
        <w:tab w:val="center" w:pos="4513"/>
        <w:tab w:val="right" w:pos="9026"/>
      </w:tabs>
    </w:pPr>
  </w:style>
  <w:style w:type="character" w:customStyle="1" w:styleId="FooterChar">
    <w:name w:val="Footer Char"/>
    <w:basedOn w:val="DefaultParagraphFont"/>
    <w:link w:val="Footer"/>
    <w:uiPriority w:val="99"/>
    <w:rsid w:val="0037329D"/>
  </w:style>
  <w:style w:type="paragraph" w:styleId="NormalWeb">
    <w:name w:val="Normal (Web)"/>
    <w:basedOn w:val="Normal"/>
    <w:uiPriority w:val="99"/>
    <w:semiHidden/>
    <w:unhideWhenUsed/>
    <w:rsid w:val="00EF449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4466</Words>
  <Characters>25461</Characters>
  <Application>Microsoft Office Word</Application>
  <DocSecurity>0</DocSecurity>
  <Lines>212</Lines>
  <Paragraphs>59</Paragraphs>
  <ScaleCrop>false</ScaleCrop>
  <Company/>
  <LinksUpToDate>false</LinksUpToDate>
  <CharactersWithSpaces>29868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Chandwe</dc:creator>
  <cp:keywords/>
  <dc:description/>
  <cp:lastModifiedBy>Milind Chandwe</cp:lastModifiedBy>
  <cp:revision>18</cp:revision>
  <dcterms:created xsi:type="dcterms:W3CDTF">2025-10-28T09:58:00Z</dcterms:created>
  <dcterms:modified xsi:type="dcterms:W3CDTF">2025-10-28T11:09:00Z</dcterms:modified>
</cp:coreProperties>
</file>