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PAYMENT AGREEMENT</w:t>
      </w:r>
    </w:p>
    <w:p>
      <w:r>
        <w:t>This Payment Agreement ("Agreement") is entered into as of January 15, 2026, between:</w:t>
      </w:r>
    </w:p>
    <w:p>
      <w:pPr>
        <w:pStyle w:val="Heading1"/>
      </w:pPr>
      <w:r>
        <w:t>PARTIES:</w:t>
      </w:r>
    </w:p>
    <w:p>
      <w:r>
        <w:t>- Acme Corporation, a Delaware corporation ("Buyer")</w:t>
      </w:r>
    </w:p>
    <w:p>
      <w:r>
        <w:t>- Widget Industries Inc., a California corporation ("Seller")</w:t>
      </w:r>
    </w:p>
    <w:p>
      <w:pPr>
        <w:pStyle w:val="Heading1"/>
      </w:pPr>
      <w:r>
        <w:t>TERMS AND CONDITIONS:</w:t>
      </w:r>
    </w:p>
    <w:p>
      <w:pPr>
        <w:pStyle w:val="Heading2"/>
      </w:pPr>
      <w:r>
        <w:t>1. PAYMENT TERMS</w:t>
      </w:r>
    </w:p>
    <w:p>
      <w:r>
        <w:t>The Payment Term shall be thirty (30) days from the date of invoice. All payments shall be made in U.S. Dollars.</w:t>
      </w:r>
    </w:p>
    <w:p>
      <w:pPr>
        <w:pStyle w:val="Heading2"/>
      </w:pPr>
      <w:r>
        <w:t>2. LATE PAYMENT FEES</w:t>
      </w:r>
    </w:p>
    <w:p>
      <w:r>
        <w:t>Late fees of one and one-half percent (1.5%) per month shall apply to any overdue payments. Such fees shall accrue from the due date until payment is received in full.</w:t>
      </w:r>
    </w:p>
    <w:p>
      <w:pPr>
        <w:pStyle w:val="Heading2"/>
      </w:pPr>
      <w:r>
        <w:t>3. DELIVERY SCHEDULE</w:t>
      </w:r>
    </w:p>
    <w:p>
      <w:r>
        <w:t>Seller shall deliver goods within fifteen (15) business days of receiving a purchase order from Buyer.</w:t>
      </w:r>
    </w:p>
    <w:p>
      <w:pPr>
        <w:pStyle w:val="Heading2"/>
      </w:pPr>
      <w:r>
        <w:t>4. WARRANTY</w:t>
      </w:r>
    </w:p>
    <w:p>
      <w:r>
        <w:t>Seller warrants that all goods delivered shall be free from defects in materials and workmanship for a period of one (1) year from the date of delivery.</w:t>
      </w:r>
    </w:p>
    <w:p>
      <w:pPr>
        <w:pStyle w:val="Heading2"/>
      </w:pPr>
      <w:r>
        <w:t>5. TERMINATION</w:t>
      </w:r>
    </w:p>
    <w:p>
      <w:r>
        <w:t>Either party may terminate this Agreement with thirty (30) days written notice to the other party. Termination shall not affect any obligations incurred prior to the effective date of termination.</w:t>
      </w:r>
    </w:p>
    <w:p>
      <w:pPr>
        <w:pStyle w:val="Heading2"/>
      </w:pPr>
      <w:r>
        <w:t>6. GOVERNING LAW</w:t>
      </w:r>
    </w:p>
    <w:p>
      <w:r>
        <w:t>This Agreement shall be governed by and construed in accordance with the laws of the State of California, without regard to its conflict of law provisions.</w:t>
      </w:r>
    </w:p>
    <w:p>
      <w:pPr>
        <w:pStyle w:val="Heading2"/>
      </w:pPr>
      <w:r>
        <w:t>7. DISPUTE RESOLUTION</w:t>
      </w:r>
    </w:p>
    <w:p>
      <w:r>
        <w:t>Any disputes arising under this Agreement shall be resolved through binding arbitration in San Francisco, California.</w:t>
      </w:r>
    </w:p>
    <w:p>
      <w:pPr>
        <w:pStyle w:val="Heading2"/>
      </w:pPr>
      <w:r>
        <w:t>8. CONFIDENTIALITY</w:t>
      </w:r>
    </w:p>
    <w:p>
      <w:r>
        <w:t>Both parties agree to maintain the confidentiality of any proprietary information shared during the term of this Agreement.</w:t>
      </w:r>
    </w:p>
    <w:p>
      <w:pPr>
        <w:pStyle w:val="Heading1"/>
      </w:pPr>
      <w:r>
        <w:t>SIGNATURES:</w:t>
      </w:r>
    </w:p>
    <w:p>
      <w:r>
        <w:t>[Signature blocks omitted for test purposes]</w:t>
      </w:r>
    </w:p>
    <w:p>
      <w:pPr>
        <w:pStyle w:val="Heading1"/>
      </w:pPr>
      <w:r>
        <w:t>END OF AGREEMENT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