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B8972E"/>
          <w:sz w:val="56"/>
        </w:rPr>
        <w:t>Pearson Specter Litt</w:t>
      </w:r>
    </w:p>
    <w:p>
      <w:pPr>
        <w:jc w:val="center"/>
      </w:pPr>
      <w:r>
        <w:rPr>
          <w:color w:val="111318"/>
          <w:sz w:val="32"/>
        </w:rPr>
        <w:t>Legal Document Processing Pipeline</w:t>
      </w:r>
    </w:p>
    <w:p>
      <w:pPr>
        <w:jc w:val="center"/>
      </w:pPr>
      <w:r>
        <w:rPr>
          <w:color w:val="555566"/>
          <w:sz w:val="24"/>
        </w:rPr>
        <w:t>Complete Technical Documentation</w:t>
      </w:r>
    </w:p>
    <w:p/>
    <w:p>
      <w:pPr>
        <w:spacing w:before="40" w:after="40"/>
      </w:pPr>
      <w:r>
        <w:rPr>
          <w:color w:val="CCCCCC"/>
          <w:sz w:val="16"/>
        </w:rPr>
        <w:t>────────────────────────────────────────────────────────────────────────────────</w:t>
      </w:r>
    </w:p>
    <w:p>
      <w:pPr>
        <w:pStyle w:val="Heading1"/>
        <w:spacing w:before="360" w:after="120"/>
      </w:pPr>
      <w:r>
        <w:rPr>
          <w:color w:val="B8972E"/>
          <w:sz w:val="36"/>
        </w:rPr>
        <w:t>1. System Overview</w:t>
      </w:r>
    </w:p>
    <w:p>
      <w:pPr>
        <w:spacing w:after="80"/>
      </w:pPr>
      <w:r>
        <w:rPr>
          <w:sz w:val="21"/>
        </w:rPr>
        <w:t>Pearson Specter Litt is a four-stage AI pipeline that processes messy legal documents, retrieves grounded evidence, generates structured draft summaries, and continuously learns from operator edits to improve all future output.</w:t>
      </w:r>
    </w:p>
    <w:p>
      <w:pPr>
        <w:spacing w:after="80"/>
      </w:pPr>
      <w:r>
        <w:rPr>
          <w:b/>
          <w:sz w:val="21"/>
        </w:rPr>
        <w:t>The four stages are:</w:t>
      </w:r>
    </w:p>
    <w:p>
      <w:pPr>
        <w:pStyle w:val="ListBullet"/>
        <w:spacing w:after="40"/>
      </w:pPr>
      <w:r>
        <w:rPr>
          <w:b/>
          <w:sz w:val="21"/>
        </w:rPr>
        <w:t xml:space="preserve">Stage 1 — </w:t>
      </w:r>
      <w:r>
        <w:rPr>
          <w:sz w:val="21"/>
        </w:rPr>
        <w:t>Document Processing</w:t>
      </w:r>
    </w:p>
    <w:p>
      <w:pPr>
        <w:pStyle w:val="ListBullet"/>
        <w:spacing w:after="40"/>
      </w:pPr>
      <w:r>
        <w:rPr>
          <w:b/>
          <w:sz w:val="21"/>
        </w:rPr>
        <w:t xml:space="preserve">Stage 2 — </w:t>
      </w:r>
      <w:r>
        <w:rPr>
          <w:sz w:val="21"/>
        </w:rPr>
        <w:t>Grounded Retrieval</w:t>
      </w:r>
    </w:p>
    <w:p>
      <w:pPr>
        <w:pStyle w:val="ListBullet"/>
        <w:spacing w:after="40"/>
      </w:pPr>
      <w:r>
        <w:rPr>
          <w:b/>
          <w:sz w:val="21"/>
        </w:rPr>
        <w:t xml:space="preserve">Stage 3 — </w:t>
      </w:r>
      <w:r>
        <w:rPr>
          <w:sz w:val="21"/>
        </w:rPr>
        <w:t>Draft Generation</w:t>
      </w:r>
    </w:p>
    <w:p>
      <w:pPr>
        <w:pStyle w:val="ListBullet"/>
        <w:spacing w:after="40"/>
      </w:pPr>
      <w:r>
        <w:rPr>
          <w:b/>
          <w:sz w:val="21"/>
        </w:rPr>
        <w:t xml:space="preserve">Stage 4 — </w:t>
      </w:r>
      <w:r>
        <w:rPr>
          <w:sz w:val="21"/>
        </w:rPr>
        <w:t>Edit Capture and Pattern Learning</w:t>
      </w:r>
    </w:p>
    <w:p>
      <w:pPr>
        <w:spacing w:after="80"/>
      </w:pPr>
      <w:r>
        <w:rPr>
          <w:sz w:val="21"/>
        </w:rPr>
        <w:t>Every fact in the generated draft is pinned to a specific evidence chunk ID from the source document. The system explicitly lists what it could NOT find rather than hallucinating. Operator edits are analysed by Claude to extract transferable style rules that improve all future drafts automatically.</w:t>
      </w:r>
    </w:p>
    <w:p>
      <w:pPr>
        <w:pStyle w:val="Heading1"/>
        <w:spacing w:before="360" w:after="120"/>
      </w:pPr>
      <w:r>
        <w:rPr>
          <w:color w:val="B8972E"/>
          <w:sz w:val="36"/>
        </w:rPr>
        <w:t>2. System Requirements</w:t>
      </w:r>
    </w:p>
    <w:p>
      <w:pPr>
        <w:pStyle w:val="Heading2"/>
        <w:spacing w:before="240" w:after="80"/>
      </w:pPr>
      <w:r>
        <w:rPr>
          <w:color w:val="111318"/>
          <w:sz w:val="26"/>
        </w:rPr>
        <w:t>Minimum Requirements</w:t>
      </w:r>
    </w:p>
    <w:tbl>
      <w:tblPr>
        <w:tblStyle w:val="TableGrid"/>
        <w:tblW w:type="auto" w:w="0"/>
        <w:tblLook w:firstColumn="1" w:firstRow="1" w:lastColumn="0" w:lastRow="0" w:noHBand="0" w:noVBand="1" w:val="04A0"/>
      </w:tblPr>
      <w:tblGrid>
        <w:gridCol w:w="4392"/>
        <w:gridCol w:w="4392"/>
      </w:tblGrid>
      <w:tr>
        <w:tc>
          <w:tcPr>
            <w:tcW w:type="dxa" w:w="2880"/>
            <w:shd w:val="clear" w:color="auto" w:fill="1A1D24"/>
          </w:tcPr>
          <w:p>
            <w:r>
              <w:rPr>
                <w:b/>
                <w:color w:val="FFFFFF"/>
                <w:sz w:val="20"/>
              </w:rPr>
              <w:t>Component</w:t>
            </w:r>
          </w:p>
        </w:tc>
        <w:tc>
          <w:tcPr>
            <w:tcW w:type="dxa" w:w="5760"/>
            <w:shd w:val="clear" w:color="auto" w:fill="1A1D24"/>
          </w:tcPr>
          <w:p>
            <w:r>
              <w:rPr>
                <w:b/>
                <w:color w:val="FFFFFF"/>
                <w:sz w:val="20"/>
              </w:rPr>
              <w:t>Requirement</w:t>
            </w:r>
          </w:p>
        </w:tc>
      </w:tr>
      <w:tr>
        <w:tc>
          <w:tcPr>
            <w:tcW w:type="dxa" w:w="2880"/>
            <w:shd w:val="clear" w:color="auto" w:fill="F9F9F9"/>
          </w:tcPr>
          <w:p>
            <w:r>
              <w:rPr>
                <w:sz w:val="20"/>
              </w:rPr>
              <w:t>Python</w:t>
            </w:r>
          </w:p>
        </w:tc>
        <w:tc>
          <w:tcPr>
            <w:tcW w:type="dxa" w:w="5760"/>
            <w:shd w:val="clear" w:color="auto" w:fill="F9F9F9"/>
          </w:tcPr>
          <w:p>
            <w:r>
              <w:rPr>
                <w:sz w:val="20"/>
              </w:rPr>
              <w:t>3.11 or higher</w:t>
            </w:r>
          </w:p>
        </w:tc>
      </w:tr>
      <w:tr>
        <w:tc>
          <w:tcPr>
            <w:tcW w:type="dxa" w:w="2880"/>
          </w:tcPr>
          <w:p>
            <w:r>
              <w:rPr>
                <w:sz w:val="20"/>
              </w:rPr>
              <w:t>RAM</w:t>
            </w:r>
          </w:p>
        </w:tc>
        <w:tc>
          <w:tcPr>
            <w:tcW w:type="dxa" w:w="5760"/>
          </w:tcPr>
          <w:p>
            <w:r>
              <w:rPr>
                <w:sz w:val="20"/>
              </w:rPr>
              <w:t>4 GB minimum (8 GB recommended)</w:t>
            </w:r>
          </w:p>
        </w:tc>
      </w:tr>
      <w:tr>
        <w:tc>
          <w:tcPr>
            <w:tcW w:type="dxa" w:w="2880"/>
            <w:shd w:val="clear" w:color="auto" w:fill="F9F9F9"/>
          </w:tcPr>
          <w:p>
            <w:r>
              <w:rPr>
                <w:sz w:val="20"/>
              </w:rPr>
              <w:t>Disk</w:t>
            </w:r>
          </w:p>
        </w:tc>
        <w:tc>
          <w:tcPr>
            <w:tcW w:type="dxa" w:w="5760"/>
            <w:shd w:val="clear" w:color="auto" w:fill="F9F9F9"/>
          </w:tcPr>
          <w:p>
            <w:r>
              <w:rPr>
                <w:sz w:val="20"/>
              </w:rPr>
              <w:t>2 GB free (models + ChromaDB)</w:t>
            </w:r>
          </w:p>
        </w:tc>
      </w:tr>
      <w:tr>
        <w:tc>
          <w:tcPr>
            <w:tcW w:type="dxa" w:w="2880"/>
          </w:tcPr>
          <w:p>
            <w:r>
              <w:rPr>
                <w:sz w:val="20"/>
              </w:rPr>
              <w:t>Network</w:t>
            </w:r>
          </w:p>
        </w:tc>
        <w:tc>
          <w:tcPr>
            <w:tcW w:type="dxa" w:w="5760"/>
          </w:tcPr>
          <w:p>
            <w:r>
              <w:rPr>
                <w:sz w:val="20"/>
              </w:rPr>
              <w:t>Internet access for Anthropic API calls</w:t>
            </w:r>
          </w:p>
        </w:tc>
      </w:tr>
      <w:tr>
        <w:tc>
          <w:tcPr>
            <w:tcW w:type="dxa" w:w="2880"/>
            <w:shd w:val="clear" w:color="auto" w:fill="F9F9F9"/>
          </w:tcPr>
          <w:p>
            <w:r>
              <w:rPr>
                <w:sz w:val="20"/>
              </w:rPr>
              <w:t>Anthropic API key</w:t>
            </w:r>
          </w:p>
        </w:tc>
        <w:tc>
          <w:tcPr>
            <w:tcW w:type="dxa" w:w="5760"/>
            <w:shd w:val="clear" w:color="auto" w:fill="F9F9F9"/>
          </w:tcPr>
          <w:p>
            <w:r>
              <w:rPr>
                <w:sz w:val="20"/>
              </w:rPr>
              <w:t>Required — get one at console.anthropic.com</w:t>
            </w:r>
          </w:p>
        </w:tc>
      </w:tr>
    </w:tbl>
    <w:p/>
    <w:p>
      <w:pPr>
        <w:pStyle w:val="Heading2"/>
        <w:spacing w:before="240" w:after="80"/>
      </w:pPr>
      <w:r>
        <w:rPr>
          <w:color w:val="111318"/>
          <w:sz w:val="26"/>
        </w:rPr>
        <w:t>Python Dependencies</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1A1D24"/>
          </w:tcPr>
          <w:p>
            <w:r>
              <w:rPr>
                <w:b/>
                <w:color w:val="FFFFFF"/>
                <w:sz w:val="20"/>
              </w:rPr>
              <w:t>Package</w:t>
            </w:r>
          </w:p>
        </w:tc>
        <w:tc>
          <w:tcPr>
            <w:tcW w:type="dxa" w:w="2016"/>
            <w:shd w:val="clear" w:color="auto" w:fill="1A1D24"/>
          </w:tcPr>
          <w:p>
            <w:r>
              <w:rPr>
                <w:b/>
                <w:color w:val="FFFFFF"/>
                <w:sz w:val="20"/>
              </w:rPr>
              <w:t>Version</w:t>
            </w:r>
          </w:p>
        </w:tc>
        <w:tc>
          <w:tcPr>
            <w:tcW w:type="dxa" w:w="4032"/>
            <w:shd w:val="clear" w:color="auto" w:fill="1A1D24"/>
          </w:tcPr>
          <w:p>
            <w:r>
              <w:rPr>
                <w:b/>
                <w:color w:val="FFFFFF"/>
                <w:sz w:val="20"/>
              </w:rPr>
              <w:t>Purpose</w:t>
            </w:r>
          </w:p>
        </w:tc>
      </w:tr>
      <w:tr>
        <w:tc>
          <w:tcPr>
            <w:tcW w:type="dxa" w:w="2880"/>
            <w:shd w:val="clear" w:color="auto" w:fill="F9F9F9"/>
          </w:tcPr>
          <w:p>
            <w:r>
              <w:rPr>
                <w:sz w:val="20"/>
              </w:rPr>
              <w:t>anthropic</w:t>
            </w:r>
          </w:p>
        </w:tc>
        <w:tc>
          <w:tcPr>
            <w:tcW w:type="dxa" w:w="2016"/>
            <w:shd w:val="clear" w:color="auto" w:fill="F9F9F9"/>
          </w:tcPr>
          <w:p>
            <w:r>
              <w:rPr>
                <w:sz w:val="20"/>
              </w:rPr>
              <w:t>&gt;=0.30.0</w:t>
            </w:r>
          </w:p>
        </w:tc>
        <w:tc>
          <w:tcPr>
            <w:tcW w:type="dxa" w:w="4032"/>
            <w:shd w:val="clear" w:color="auto" w:fill="F9F9F9"/>
          </w:tcPr>
          <w:p>
            <w:r>
              <w:rPr>
                <w:sz w:val="20"/>
              </w:rPr>
              <w:t>Claude API for extraction, drafting, pattern learning</w:t>
            </w:r>
          </w:p>
        </w:tc>
      </w:tr>
      <w:tr>
        <w:tc>
          <w:tcPr>
            <w:tcW w:type="dxa" w:w="2880"/>
          </w:tcPr>
          <w:p>
            <w:r>
              <w:rPr>
                <w:sz w:val="20"/>
              </w:rPr>
              <w:t>pdfplumber</w:t>
            </w:r>
          </w:p>
        </w:tc>
        <w:tc>
          <w:tcPr>
            <w:tcW w:type="dxa" w:w="2016"/>
          </w:tcPr>
          <w:p>
            <w:r>
              <w:rPr>
                <w:sz w:val="20"/>
              </w:rPr>
              <w:t>&gt;=0.10.0</w:t>
            </w:r>
          </w:p>
        </w:tc>
        <w:tc>
          <w:tcPr>
            <w:tcW w:type="dxa" w:w="4032"/>
          </w:tcPr>
          <w:p>
            <w:r>
              <w:rPr>
                <w:sz w:val="20"/>
              </w:rPr>
              <w:t>Native PDF text extraction</w:t>
            </w:r>
          </w:p>
        </w:tc>
      </w:tr>
      <w:tr>
        <w:tc>
          <w:tcPr>
            <w:tcW w:type="dxa" w:w="2880"/>
            <w:shd w:val="clear" w:color="auto" w:fill="F9F9F9"/>
          </w:tcPr>
          <w:p>
            <w:r>
              <w:rPr>
                <w:sz w:val="20"/>
              </w:rPr>
              <w:t>python-docx</w:t>
            </w:r>
          </w:p>
        </w:tc>
        <w:tc>
          <w:tcPr>
            <w:tcW w:type="dxa" w:w="2016"/>
            <w:shd w:val="clear" w:color="auto" w:fill="F9F9F9"/>
          </w:tcPr>
          <w:p>
            <w:r>
              <w:rPr>
                <w:sz w:val="20"/>
              </w:rPr>
              <w:t>&gt;=1.1.0</w:t>
            </w:r>
          </w:p>
        </w:tc>
        <w:tc>
          <w:tcPr>
            <w:tcW w:type="dxa" w:w="4032"/>
            <w:shd w:val="clear" w:color="auto" w:fill="F9F9F9"/>
          </w:tcPr>
          <w:p>
            <w:r>
              <w:rPr>
                <w:sz w:val="20"/>
              </w:rPr>
              <w:t>DOCX file extraction</w:t>
            </w:r>
          </w:p>
        </w:tc>
      </w:tr>
      <w:tr>
        <w:tc>
          <w:tcPr>
            <w:tcW w:type="dxa" w:w="2880"/>
          </w:tcPr>
          <w:p>
            <w:r>
              <w:rPr>
                <w:sz w:val="20"/>
              </w:rPr>
              <w:t>python-pptx</w:t>
            </w:r>
          </w:p>
        </w:tc>
        <w:tc>
          <w:tcPr>
            <w:tcW w:type="dxa" w:w="2016"/>
          </w:tcPr>
          <w:p>
            <w:r>
              <w:rPr>
                <w:sz w:val="20"/>
              </w:rPr>
              <w:t>&gt;=0.6.23</w:t>
            </w:r>
          </w:p>
        </w:tc>
        <w:tc>
          <w:tcPr>
            <w:tcW w:type="dxa" w:w="4032"/>
          </w:tcPr>
          <w:p>
            <w:r>
              <w:rPr>
                <w:sz w:val="20"/>
              </w:rPr>
              <w:t>PPTX / PPT file extraction</w:t>
            </w:r>
          </w:p>
        </w:tc>
      </w:tr>
      <w:tr>
        <w:tc>
          <w:tcPr>
            <w:tcW w:type="dxa" w:w="2880"/>
            <w:shd w:val="clear" w:color="auto" w:fill="F9F9F9"/>
          </w:tcPr>
          <w:p>
            <w:r>
              <w:rPr>
                <w:sz w:val="20"/>
              </w:rPr>
              <w:t>Pillow</w:t>
            </w:r>
          </w:p>
        </w:tc>
        <w:tc>
          <w:tcPr>
            <w:tcW w:type="dxa" w:w="2016"/>
            <w:shd w:val="clear" w:color="auto" w:fill="F9F9F9"/>
          </w:tcPr>
          <w:p>
            <w:r>
              <w:rPr>
                <w:sz w:val="20"/>
              </w:rPr>
              <w:t>&gt;=10.0.0</w:t>
            </w:r>
          </w:p>
        </w:tc>
        <w:tc>
          <w:tcPr>
            <w:tcW w:type="dxa" w:w="4032"/>
            <w:shd w:val="clear" w:color="auto" w:fill="F9F9F9"/>
          </w:tcPr>
          <w:p>
            <w:r>
              <w:rPr>
                <w:sz w:val="20"/>
              </w:rPr>
              <w:t>Image file handling</w:t>
            </w:r>
          </w:p>
        </w:tc>
      </w:tr>
      <w:tr>
        <w:tc>
          <w:tcPr>
            <w:tcW w:type="dxa" w:w="2880"/>
          </w:tcPr>
          <w:p>
            <w:r>
              <w:rPr>
                <w:sz w:val="20"/>
              </w:rPr>
              <w:t>chromadb</w:t>
            </w:r>
          </w:p>
        </w:tc>
        <w:tc>
          <w:tcPr>
            <w:tcW w:type="dxa" w:w="2016"/>
          </w:tcPr>
          <w:p>
            <w:r>
              <w:rPr>
                <w:sz w:val="20"/>
              </w:rPr>
              <w:t>&gt;=0.5.0</w:t>
            </w:r>
          </w:p>
        </w:tc>
        <w:tc>
          <w:tcPr>
            <w:tcW w:type="dxa" w:w="4032"/>
          </w:tcPr>
          <w:p>
            <w:r>
              <w:rPr>
                <w:sz w:val="20"/>
              </w:rPr>
              <w:t>Persistent vector store</w:t>
            </w:r>
          </w:p>
        </w:tc>
      </w:tr>
      <w:tr>
        <w:tc>
          <w:tcPr>
            <w:tcW w:type="dxa" w:w="2880"/>
            <w:shd w:val="clear" w:color="auto" w:fill="F9F9F9"/>
          </w:tcPr>
          <w:p>
            <w:r>
              <w:rPr>
                <w:sz w:val="20"/>
              </w:rPr>
              <w:t>sentence-transformers</w:t>
            </w:r>
          </w:p>
        </w:tc>
        <w:tc>
          <w:tcPr>
            <w:tcW w:type="dxa" w:w="2016"/>
            <w:shd w:val="clear" w:color="auto" w:fill="F9F9F9"/>
          </w:tcPr>
          <w:p>
            <w:r>
              <w:rPr>
                <w:sz w:val="20"/>
              </w:rPr>
              <w:t>&gt;=2.7.0</w:t>
            </w:r>
          </w:p>
        </w:tc>
        <w:tc>
          <w:tcPr>
            <w:tcW w:type="dxa" w:w="4032"/>
            <w:shd w:val="clear" w:color="auto" w:fill="F9F9F9"/>
          </w:tcPr>
          <w:p>
            <w:r>
              <w:rPr>
                <w:sz w:val="20"/>
              </w:rPr>
              <w:t>Text embeddings (all-MiniLM-L6-v2)</w:t>
            </w:r>
          </w:p>
        </w:tc>
      </w:tr>
      <w:tr>
        <w:tc>
          <w:tcPr>
            <w:tcW w:type="dxa" w:w="2880"/>
          </w:tcPr>
          <w:p>
            <w:r>
              <w:rPr>
                <w:sz w:val="20"/>
              </w:rPr>
              <w:t>fastapi</w:t>
            </w:r>
          </w:p>
        </w:tc>
        <w:tc>
          <w:tcPr>
            <w:tcW w:type="dxa" w:w="2016"/>
          </w:tcPr>
          <w:p>
            <w:r>
              <w:rPr>
                <w:sz w:val="20"/>
              </w:rPr>
              <w:t>&gt;=0.111.0</w:t>
            </w:r>
          </w:p>
        </w:tc>
        <w:tc>
          <w:tcPr>
            <w:tcW w:type="dxa" w:w="4032"/>
          </w:tcPr>
          <w:p>
            <w:r>
              <w:rPr>
                <w:sz w:val="20"/>
              </w:rPr>
              <w:t>REST API framework</w:t>
            </w:r>
          </w:p>
        </w:tc>
      </w:tr>
      <w:tr>
        <w:tc>
          <w:tcPr>
            <w:tcW w:type="dxa" w:w="2880"/>
            <w:shd w:val="clear" w:color="auto" w:fill="F9F9F9"/>
          </w:tcPr>
          <w:p>
            <w:r>
              <w:rPr>
                <w:sz w:val="20"/>
              </w:rPr>
              <w:t>uvicorn</w:t>
            </w:r>
          </w:p>
        </w:tc>
        <w:tc>
          <w:tcPr>
            <w:tcW w:type="dxa" w:w="2016"/>
            <w:shd w:val="clear" w:color="auto" w:fill="F9F9F9"/>
          </w:tcPr>
          <w:p>
            <w:r>
              <w:rPr>
                <w:sz w:val="20"/>
              </w:rPr>
              <w:t>&gt;=0.30.0</w:t>
            </w:r>
          </w:p>
        </w:tc>
        <w:tc>
          <w:tcPr>
            <w:tcW w:type="dxa" w:w="4032"/>
            <w:shd w:val="clear" w:color="auto" w:fill="F9F9F9"/>
          </w:tcPr>
          <w:p>
            <w:r>
              <w:rPr>
                <w:sz w:val="20"/>
              </w:rPr>
              <w:t>ASGI server</w:t>
            </w:r>
          </w:p>
        </w:tc>
      </w:tr>
      <w:tr>
        <w:tc>
          <w:tcPr>
            <w:tcW w:type="dxa" w:w="2880"/>
          </w:tcPr>
          <w:p>
            <w:r>
              <w:rPr>
                <w:sz w:val="20"/>
              </w:rPr>
              <w:t>python-dotenv</w:t>
            </w:r>
          </w:p>
        </w:tc>
        <w:tc>
          <w:tcPr>
            <w:tcW w:type="dxa" w:w="2016"/>
          </w:tcPr>
          <w:p>
            <w:r>
              <w:rPr>
                <w:sz w:val="20"/>
              </w:rPr>
              <w:t>&gt;=1.0.0</w:t>
            </w:r>
          </w:p>
        </w:tc>
        <w:tc>
          <w:tcPr>
            <w:tcW w:type="dxa" w:w="4032"/>
          </w:tcPr>
          <w:p>
            <w:r>
              <w:rPr>
                <w:sz w:val="20"/>
              </w:rPr>
              <w:t>Environment variable loading</w:t>
            </w:r>
          </w:p>
        </w:tc>
      </w:tr>
      <w:tr>
        <w:tc>
          <w:tcPr>
            <w:tcW w:type="dxa" w:w="2880"/>
            <w:shd w:val="clear" w:color="auto" w:fill="F9F9F9"/>
          </w:tcPr>
          <w:p>
            <w:r>
              <w:rPr>
                <w:sz w:val="20"/>
              </w:rPr>
              <w:t>pydantic</w:t>
            </w:r>
          </w:p>
        </w:tc>
        <w:tc>
          <w:tcPr>
            <w:tcW w:type="dxa" w:w="2016"/>
            <w:shd w:val="clear" w:color="auto" w:fill="F9F9F9"/>
          </w:tcPr>
          <w:p>
            <w:r>
              <w:rPr>
                <w:sz w:val="20"/>
              </w:rPr>
              <w:t>&gt;=2.0.0</w:t>
            </w:r>
          </w:p>
        </w:tc>
        <w:tc>
          <w:tcPr>
            <w:tcW w:type="dxa" w:w="4032"/>
            <w:shd w:val="clear" w:color="auto" w:fill="F9F9F9"/>
          </w:tcPr>
          <w:p>
            <w:r>
              <w:rPr>
                <w:sz w:val="20"/>
              </w:rPr>
              <w:t>Request/response validation</w:t>
            </w:r>
          </w:p>
        </w:tc>
      </w:tr>
      <w:tr>
        <w:tc>
          <w:tcPr>
            <w:tcW w:type="dxa" w:w="2880"/>
          </w:tcPr>
          <w:p>
            <w:r>
              <w:rPr>
                <w:sz w:val="20"/>
              </w:rPr>
              <w:t>aiofiles</w:t>
            </w:r>
          </w:p>
        </w:tc>
        <w:tc>
          <w:tcPr>
            <w:tcW w:type="dxa" w:w="2016"/>
          </w:tcPr>
          <w:p>
            <w:r>
              <w:rPr>
                <w:sz w:val="20"/>
              </w:rPr>
              <w:t>&gt;=23.0.0</w:t>
            </w:r>
          </w:p>
        </w:tc>
        <w:tc>
          <w:tcPr>
            <w:tcW w:type="dxa" w:w="4032"/>
          </w:tcPr>
          <w:p>
            <w:r>
              <w:rPr>
                <w:sz w:val="20"/>
              </w:rPr>
              <w:t>Static file serving</w:t>
            </w:r>
          </w:p>
        </w:tc>
      </w:tr>
    </w:tbl>
    <w:p/>
    <w:p>
      <w:pPr>
        <w:pStyle w:val="Heading2"/>
        <w:spacing w:before="240" w:after="80"/>
      </w:pPr>
      <w:r>
        <w:rPr>
          <w:color w:val="111318"/>
          <w:sz w:val="26"/>
        </w:rPr>
        <w:t>Optional — OCR Support (for scanned PDFs and images)</w:t>
      </w:r>
    </w:p>
    <w:tbl>
      <w:tblPr>
        <w:tblStyle w:val="TableGrid"/>
        <w:tblW w:type="auto" w:w="0"/>
        <w:tblLook w:firstColumn="1" w:firstRow="1" w:lastColumn="0" w:lastRow="0" w:noHBand="0" w:noVBand="1" w:val="04A0"/>
      </w:tblPr>
      <w:tblGrid>
        <w:gridCol w:w="4392"/>
        <w:gridCol w:w="4392"/>
      </w:tblGrid>
      <w:tr>
        <w:tc>
          <w:tcPr>
            <w:tcW w:type="dxa" w:w="3600"/>
            <w:shd w:val="clear" w:color="auto" w:fill="1A1D24"/>
          </w:tcPr>
          <w:p>
            <w:r>
              <w:rPr>
                <w:b/>
                <w:color w:val="FFFFFF"/>
                <w:sz w:val="20"/>
              </w:rPr>
              <w:t>Package / Tool</w:t>
            </w:r>
          </w:p>
        </w:tc>
        <w:tc>
          <w:tcPr>
            <w:tcW w:type="dxa" w:w="5040"/>
            <w:shd w:val="clear" w:color="auto" w:fill="1A1D24"/>
          </w:tcPr>
          <w:p>
            <w:r>
              <w:rPr>
                <w:b/>
                <w:color w:val="FFFFFF"/>
                <w:sz w:val="20"/>
              </w:rPr>
              <w:t>Purpose</w:t>
            </w:r>
          </w:p>
        </w:tc>
      </w:tr>
      <w:tr>
        <w:tc>
          <w:tcPr>
            <w:tcW w:type="dxa" w:w="3600"/>
            <w:shd w:val="clear" w:color="auto" w:fill="F9F9F9"/>
          </w:tcPr>
          <w:p>
            <w:r>
              <w:rPr>
                <w:sz w:val="20"/>
              </w:rPr>
              <w:t>pytesseract</w:t>
            </w:r>
          </w:p>
        </w:tc>
        <w:tc>
          <w:tcPr>
            <w:tcW w:type="dxa" w:w="5040"/>
            <w:shd w:val="clear" w:color="auto" w:fill="F9F9F9"/>
          </w:tcPr>
          <w:p>
            <w:r>
              <w:rPr>
                <w:sz w:val="20"/>
              </w:rPr>
              <w:t>Python wrapper for Tesseract OCR</w:t>
            </w:r>
          </w:p>
        </w:tc>
      </w:tr>
      <w:tr>
        <w:tc>
          <w:tcPr>
            <w:tcW w:type="dxa" w:w="3600"/>
          </w:tcPr>
          <w:p>
            <w:r>
              <w:rPr>
                <w:sz w:val="20"/>
              </w:rPr>
              <w:t>pdf2image</w:t>
            </w:r>
          </w:p>
        </w:tc>
        <w:tc>
          <w:tcPr>
            <w:tcW w:type="dxa" w:w="5040"/>
          </w:tcPr>
          <w:p>
            <w:r>
              <w:rPr>
                <w:sz w:val="20"/>
              </w:rPr>
              <w:t>Convert PDF pages to images for OCR</w:t>
            </w:r>
          </w:p>
        </w:tc>
      </w:tr>
      <w:tr>
        <w:tc>
          <w:tcPr>
            <w:tcW w:type="dxa" w:w="3600"/>
            <w:shd w:val="clear" w:color="auto" w:fill="F9F9F9"/>
          </w:tcPr>
          <w:p>
            <w:r>
              <w:rPr>
                <w:sz w:val="20"/>
              </w:rPr>
              <w:t>Tesseract binary</w:t>
            </w:r>
          </w:p>
        </w:tc>
        <w:tc>
          <w:tcPr>
            <w:tcW w:type="dxa" w:w="5040"/>
            <w:shd w:val="clear" w:color="auto" w:fill="F9F9F9"/>
          </w:tcPr>
          <w:p>
            <w:r>
              <w:rPr>
                <w:sz w:val="20"/>
              </w:rPr>
              <w:t>OCR engine (system install required)</w:t>
            </w:r>
          </w:p>
        </w:tc>
      </w:tr>
      <w:tr>
        <w:tc>
          <w:tcPr>
            <w:tcW w:type="dxa" w:w="3600"/>
          </w:tcPr>
          <w:p>
            <w:r>
              <w:rPr>
                <w:sz w:val="20"/>
              </w:rPr>
              <w:t>poppler</w:t>
            </w:r>
          </w:p>
        </w:tc>
        <w:tc>
          <w:tcPr>
            <w:tcW w:type="dxa" w:w="5040"/>
          </w:tcPr>
          <w:p>
            <w:r>
              <w:rPr>
                <w:sz w:val="20"/>
              </w:rPr>
              <w:t>PDF rendering library required by pdf2image</w:t>
            </w:r>
          </w:p>
        </w:tc>
      </w:tr>
    </w:tbl>
    <w:p/>
    <w:p>
      <w:pPr>
        <w:pStyle w:val="Heading1"/>
        <w:spacing w:before="360" w:after="120"/>
      </w:pPr>
      <w:r>
        <w:rPr>
          <w:color w:val="B8972E"/>
          <w:sz w:val="36"/>
        </w:rPr>
        <w:t>3. Setup and Installation</w:t>
      </w:r>
    </w:p>
    <w:p>
      <w:pPr>
        <w:pStyle w:val="Heading2"/>
        <w:spacing w:before="240" w:after="80"/>
      </w:pPr>
      <w:r>
        <w:rPr>
          <w:color w:val="111318"/>
          <w:sz w:val="26"/>
        </w:rPr>
        <w:t>Step 1 — Create a virtual environment</w:t>
      </w:r>
    </w:p>
    <w:p>
      <w:pPr>
        <w:spacing w:before="80" w:after="80"/>
        <w:ind w:left="576"/>
        <w:shd w:val="clear" w:color="auto" w:fill="F4F4F4"/>
      </w:pPr>
      <w:r>
        <w:rPr>
          <w:rFonts w:ascii="Courier New" w:hAnsi="Courier New"/>
          <w:color w:val="2E2E2E"/>
          <w:sz w:val="18"/>
        </w:rPr>
        <w:t>cd pearson-specter-litt</w:t>
        <w:br/>
        <w:t>python -m venv venv</w:t>
      </w:r>
    </w:p>
    <w:p>
      <w:pPr>
        <w:pStyle w:val="Heading2"/>
        <w:spacing w:before="240" w:after="80"/>
      </w:pPr>
      <w:r>
        <w:rPr>
          <w:color w:val="111318"/>
          <w:sz w:val="26"/>
        </w:rPr>
        <w:t>Step 2 — Activate the virtual environment</w:t>
      </w:r>
    </w:p>
    <w:p>
      <w:pPr>
        <w:spacing w:after="80"/>
      </w:pPr>
      <w:r>
        <w:rPr>
          <w:b/>
          <w:sz w:val="21"/>
        </w:rPr>
        <w:t>Windows:</w:t>
      </w:r>
    </w:p>
    <w:p>
      <w:pPr>
        <w:spacing w:before="80" w:after="80"/>
        <w:ind w:left="576"/>
        <w:shd w:val="clear" w:color="auto" w:fill="F4F4F4"/>
      </w:pPr>
      <w:r>
        <w:rPr>
          <w:rFonts w:ascii="Courier New" w:hAnsi="Courier New"/>
          <w:color w:val="2E2E2E"/>
          <w:sz w:val="18"/>
        </w:rPr>
        <w:t>venv\Scripts\activate</w:t>
      </w:r>
    </w:p>
    <w:p>
      <w:pPr>
        <w:spacing w:after="80"/>
      </w:pPr>
      <w:r>
        <w:rPr>
          <w:b/>
          <w:sz w:val="21"/>
        </w:rPr>
        <w:t>macOS / Linux:</w:t>
      </w:r>
    </w:p>
    <w:p>
      <w:pPr>
        <w:spacing w:before="80" w:after="80"/>
        <w:ind w:left="576"/>
        <w:shd w:val="clear" w:color="auto" w:fill="F4F4F4"/>
      </w:pPr>
      <w:r>
        <w:rPr>
          <w:rFonts w:ascii="Courier New" w:hAnsi="Courier New"/>
          <w:color w:val="2E2E2E"/>
          <w:sz w:val="18"/>
        </w:rPr>
        <w:t>source venv/bin/activate</w:t>
      </w:r>
    </w:p>
    <w:p>
      <w:pPr>
        <w:pStyle w:val="Heading2"/>
        <w:spacing w:before="240" w:after="80"/>
      </w:pPr>
      <w:r>
        <w:rPr>
          <w:color w:val="111318"/>
          <w:sz w:val="26"/>
        </w:rPr>
        <w:t>Step 3 — Install dependencies</w:t>
      </w:r>
    </w:p>
    <w:p>
      <w:pPr>
        <w:spacing w:before="80" w:after="80"/>
        <w:ind w:left="576"/>
        <w:shd w:val="clear" w:color="auto" w:fill="F4F4F4"/>
      </w:pPr>
      <w:r>
        <w:rPr>
          <w:rFonts w:ascii="Courier New" w:hAnsi="Courier New"/>
          <w:color w:val="2E2E2E"/>
          <w:sz w:val="18"/>
        </w:rPr>
        <w:t>pip install -r requirements.txt</w:t>
      </w:r>
    </w:p>
    <w:p>
      <w:pPr>
        <w:spacing w:after="80"/>
      </w:pPr>
      <w:r>
        <w:rPr>
          <w:sz w:val="21"/>
        </w:rPr>
        <w:t>Note: On first run, sentence-transformers downloads the all-MiniLM-L6-v2 model (~90 MB). This happens once and is cached in your home directory.</w:t>
      </w:r>
    </w:p>
    <w:p>
      <w:pPr>
        <w:pStyle w:val="Heading2"/>
        <w:spacing w:before="240" w:after="80"/>
      </w:pPr>
      <w:r>
        <w:rPr>
          <w:color w:val="111318"/>
          <w:sz w:val="26"/>
        </w:rPr>
        <w:t>Step 4 — Configure your API key</w:t>
      </w:r>
    </w:p>
    <w:p>
      <w:pPr>
        <w:spacing w:before="80" w:after="80"/>
        <w:ind w:left="576"/>
        <w:shd w:val="clear" w:color="auto" w:fill="F4F4F4"/>
      </w:pPr>
      <w:r>
        <w:rPr>
          <w:rFonts w:ascii="Courier New" w:hAnsi="Courier New"/>
          <w:color w:val="2E2E2E"/>
          <w:sz w:val="18"/>
        </w:rPr>
        <w:t># Windows</w:t>
        <w:br/>
        <w:t>copy .env.example .env</w:t>
        <w:br/>
        <w:br/>
        <w:t># macOS / Linux</w:t>
        <w:br/>
        <w:t>cp .env.example .env</w:t>
      </w:r>
    </w:p>
    <w:p>
      <w:pPr>
        <w:spacing w:after="80"/>
      </w:pPr>
      <w:r>
        <w:rPr>
          <w:sz w:val="21"/>
        </w:rPr>
        <w:t>Open .env and set your Anthropic API key:</w:t>
      </w:r>
    </w:p>
    <w:p>
      <w:pPr>
        <w:spacing w:before="80" w:after="80"/>
        <w:ind w:left="576"/>
        <w:shd w:val="clear" w:color="auto" w:fill="F4F4F4"/>
      </w:pPr>
      <w:r>
        <w:rPr>
          <w:rFonts w:ascii="Courier New" w:hAnsi="Courier New"/>
          <w:color w:val="2E2E2E"/>
          <w:sz w:val="18"/>
        </w:rPr>
        <w:t>ANTHROPIC_API_KEY=sk-ant-api03-...</w:t>
      </w:r>
    </w:p>
    <w:p>
      <w:pPr>
        <w:pStyle w:val="Heading2"/>
        <w:spacing w:before="240" w:after="80"/>
      </w:pPr>
      <w:r>
        <w:rPr>
          <w:color w:val="111318"/>
          <w:sz w:val="26"/>
        </w:rPr>
        <w:t>Step 5 — Install OCR dependencies (optional)</w:t>
      </w:r>
    </w:p>
    <w:p>
      <w:pPr>
        <w:spacing w:after="80"/>
      </w:pPr>
      <w:r>
        <w:rPr>
          <w:b/>
          <w:sz w:val="21"/>
        </w:rPr>
        <w:t>macOS:</w:t>
      </w:r>
    </w:p>
    <w:p>
      <w:pPr>
        <w:spacing w:before="80" w:after="80"/>
        <w:ind w:left="576"/>
        <w:shd w:val="clear" w:color="auto" w:fill="F4F4F4"/>
      </w:pPr>
      <w:r>
        <w:rPr>
          <w:rFonts w:ascii="Courier New" w:hAnsi="Courier New"/>
          <w:color w:val="2E2E2E"/>
          <w:sz w:val="18"/>
        </w:rPr>
        <w:t>brew install tesseract poppler</w:t>
        <w:br/>
        <w:t>pip install pytesseract pdf2image</w:t>
      </w:r>
    </w:p>
    <w:p>
      <w:pPr>
        <w:spacing w:after="80"/>
      </w:pPr>
      <w:r>
        <w:rPr>
          <w:b/>
          <w:sz w:val="21"/>
        </w:rPr>
        <w:t>Windows:</w:t>
      </w:r>
    </w:p>
    <w:p>
      <w:pPr>
        <w:spacing w:before="80" w:after="80"/>
        <w:ind w:left="576"/>
        <w:shd w:val="clear" w:color="auto" w:fill="F4F4F4"/>
      </w:pPr>
      <w:r>
        <w:rPr>
          <w:rFonts w:ascii="Courier New" w:hAnsi="Courier New"/>
          <w:color w:val="2E2E2E"/>
          <w:sz w:val="18"/>
        </w:rPr>
        <w:t>1. Install Tesseract: https://github.com/UB-Mannheim/tesseract/wiki</w:t>
        <w:br/>
        <w:t>2. Add Tesseract to your PATH</w:t>
        <w:br/>
        <w:t>3. Download poppler: https://github.com/oschwartz10612/poppler-windows</w:t>
        <w:br/>
        <w:t>4. Add poppler bin/ to your PATH</w:t>
        <w:br/>
        <w:t>5. pip install pytesseract pdf2image</w:t>
      </w:r>
    </w:p>
    <w:p>
      <w:pPr>
        <w:spacing w:after="80"/>
      </w:pPr>
      <w:r>
        <w:rPr>
          <w:b/>
          <w:sz w:val="21"/>
        </w:rPr>
        <w:t>Ubuntu / Debian:</w:t>
      </w:r>
    </w:p>
    <w:p>
      <w:pPr>
        <w:spacing w:before="80" w:after="80"/>
        <w:ind w:left="576"/>
        <w:shd w:val="clear" w:color="auto" w:fill="F4F4F4"/>
      </w:pPr>
      <w:r>
        <w:rPr>
          <w:rFonts w:ascii="Courier New" w:hAnsi="Courier New"/>
          <w:color w:val="2E2E2E"/>
          <w:sz w:val="18"/>
        </w:rPr>
        <w:t>sudo apt install tesseract-ocr poppler-utils</w:t>
        <w:br/>
        <w:t>pip install pytesseract pdf2image</w:t>
      </w:r>
    </w:p>
    <w:p>
      <w:pPr>
        <w:pStyle w:val="Heading1"/>
        <w:spacing w:before="360" w:after="120"/>
      </w:pPr>
      <w:r>
        <w:rPr>
          <w:color w:val="B8972E"/>
          <w:sz w:val="36"/>
        </w:rPr>
        <w:t>4. How to Run</w:t>
      </w:r>
    </w:p>
    <w:p>
      <w:pPr>
        <w:pStyle w:val="Heading2"/>
        <w:spacing w:before="240" w:after="80"/>
      </w:pPr>
      <w:r>
        <w:rPr>
          <w:color w:val="111318"/>
          <w:sz w:val="26"/>
        </w:rPr>
        <w:t>Option A — CLI Demo (recommended for reviewers)</w:t>
      </w:r>
    </w:p>
    <w:p>
      <w:pPr>
        <w:spacing w:after="80"/>
      </w:pPr>
      <w:r>
        <w:rPr>
          <w:sz w:val="21"/>
        </w:rPr>
        <w:t>The demo runs all four pipeline stages end-to-end on the three included sample documents and saves output files to sample_outputs/.</w:t>
      </w:r>
    </w:p>
    <w:p>
      <w:pPr>
        <w:spacing w:before="80" w:after="80"/>
        <w:ind w:left="576"/>
        <w:shd w:val="clear" w:color="auto" w:fill="F4F4F4"/>
      </w:pPr>
      <w:r>
        <w:rPr>
          <w:rFonts w:ascii="Courier New" w:hAnsi="Courier New"/>
          <w:color w:val="2E2E2E"/>
          <w:sz w:val="18"/>
        </w:rPr>
        <w:t>python run_demo.py</w:t>
      </w:r>
    </w:p>
    <w:p>
      <w:pPr>
        <w:spacing w:after="80"/>
      </w:pPr>
      <w:r>
        <w:rPr>
          <w:sz w:val="21"/>
        </w:rPr>
        <w:t>What happens when you run it:</w:t>
      </w:r>
    </w:p>
    <w:p>
      <w:pPr>
        <w:pStyle w:val="ListBullet"/>
        <w:spacing w:after="40"/>
      </w:pPr>
      <w:r>
        <w:rPr>
          <w:sz w:val="21"/>
        </w:rPr>
        <w:t>Stage 1: Ingests case_001_complaint.txt, case_002_contract.txt, case_003_notice.txt</w:t>
      </w:r>
    </w:p>
    <w:p>
      <w:pPr>
        <w:pStyle w:val="ListBullet"/>
        <w:spacing w:after="40"/>
      </w:pPr>
      <w:r>
        <w:rPr>
          <w:sz w:val="21"/>
        </w:rPr>
        <w:t>Stage 2: Indexes all chunks into ChromaDB with cosine similarity embeddings</w:t>
      </w:r>
    </w:p>
    <w:p>
      <w:pPr>
        <w:pStyle w:val="ListBullet"/>
        <w:spacing w:after="40"/>
      </w:pPr>
      <w:r>
        <w:rPr>
          <w:sz w:val="21"/>
        </w:rPr>
        <w:t>Stage 3: Retrieves top-5 evidence chunks and generates Case Fact Summary for case001</w:t>
      </w:r>
    </w:p>
    <w:p>
      <w:pPr>
        <w:pStyle w:val="ListBullet"/>
        <w:spacing w:after="40"/>
      </w:pPr>
      <w:r>
        <w:rPr>
          <w:sz w:val="21"/>
        </w:rPr>
        <w:t>Stage 4: Simulates 5 operator edits, extracts patterns, regenerates improved draft</w:t>
      </w:r>
    </w:p>
    <w:p>
      <w:pPr>
        <w:pStyle w:val="ListBullet"/>
        <w:spacing w:after="40"/>
      </w:pPr>
      <w:r>
        <w:rPr>
          <w:sz w:val="21"/>
        </w:rPr>
        <w:t>Saves 3 output files to sample_outputs/</w:t>
      </w:r>
    </w:p>
    <w:p>
      <w:pPr>
        <w:pStyle w:val="Heading2"/>
        <w:spacing w:before="240" w:after="80"/>
      </w:pPr>
      <w:r>
        <w:rPr>
          <w:color w:val="111318"/>
          <w:sz w:val="26"/>
        </w:rPr>
        <w:t>Option B — API Server</w:t>
      </w:r>
    </w:p>
    <w:p>
      <w:pPr>
        <w:spacing w:before="80" w:after="80"/>
        <w:ind w:left="576"/>
        <w:shd w:val="clear" w:color="auto" w:fill="F4F4F4"/>
      </w:pPr>
      <w:r>
        <w:rPr>
          <w:rFonts w:ascii="Courier New" w:hAnsi="Courier New"/>
          <w:color w:val="2E2E2E"/>
          <w:sz w:val="18"/>
        </w:rPr>
        <w:t>uvicorn api.app:app --reload</w:t>
      </w:r>
    </w:p>
    <w:p>
      <w:pPr>
        <w:spacing w:after="80"/>
      </w:pPr>
      <w:r>
        <w:rPr>
          <w:sz w:val="21"/>
        </w:rPr>
        <w:t>Then open http://localhost:8000/docs for the interactive Swagger UI.</w:t>
      </w:r>
    </w:p>
    <w:p>
      <w:pPr>
        <w:pStyle w:val="Heading2"/>
        <w:spacing w:before="240" w:after="80"/>
      </w:pPr>
      <w:r>
        <w:rPr>
          <w:color w:val="111318"/>
          <w:sz w:val="26"/>
        </w:rPr>
        <w:t>Option C — Web UI</w:t>
      </w:r>
    </w:p>
    <w:p>
      <w:pPr>
        <w:spacing w:before="80" w:after="80"/>
        <w:ind w:left="576"/>
        <w:shd w:val="clear" w:color="auto" w:fill="F4F4F4"/>
      </w:pPr>
      <w:r>
        <w:rPr>
          <w:rFonts w:ascii="Courier New" w:hAnsi="Courier New"/>
          <w:color w:val="2E2E2E"/>
          <w:sz w:val="18"/>
        </w:rPr>
        <w:t>uvicorn api.app:app --reload</w:t>
      </w:r>
    </w:p>
    <w:p>
      <w:pPr>
        <w:spacing w:after="80"/>
      </w:pPr>
      <w:r>
        <w:rPr>
          <w:sz w:val="21"/>
        </w:rPr>
        <w:t>Then open http://localhost:8000 for the full visual interface.</w:t>
      </w:r>
    </w:p>
    <w:p>
      <w:pPr>
        <w:pStyle w:val="Heading2"/>
        <w:spacing w:before="240" w:after="80"/>
      </w:pPr>
      <w:r>
        <w:rPr>
          <w:color w:val="111318"/>
          <w:sz w:val="26"/>
        </w:rPr>
        <w:t>Option D — Docker</w:t>
      </w:r>
    </w:p>
    <w:p>
      <w:pPr>
        <w:spacing w:before="80" w:after="80"/>
        <w:ind w:left="576"/>
        <w:shd w:val="clear" w:color="auto" w:fill="F4F4F4"/>
      </w:pPr>
      <w:r>
        <w:rPr>
          <w:rFonts w:ascii="Courier New" w:hAnsi="Courier New"/>
          <w:color w:val="2E2E2E"/>
          <w:sz w:val="18"/>
        </w:rPr>
        <w:t>docker compose up --build</w:t>
      </w:r>
    </w:p>
    <w:p>
      <w:pPr>
        <w:spacing w:after="80"/>
      </w:pPr>
      <w:r>
        <w:rPr>
          <w:sz w:val="21"/>
        </w:rPr>
        <w:t>API and UI available at http://localhost:8000. ChromaDB data persists across restarts.</w:t>
      </w:r>
    </w:p>
    <w:p>
      <w:pPr>
        <w:pStyle w:val="Heading2"/>
        <w:spacing w:before="240" w:after="80"/>
      </w:pPr>
      <w:r>
        <w:rPr>
          <w:color w:val="111318"/>
          <w:sz w:val="26"/>
        </w:rPr>
        <w:t>Running Tests</w:t>
      </w:r>
    </w:p>
    <w:p>
      <w:pPr>
        <w:spacing w:before="80" w:after="80"/>
        <w:ind w:left="576"/>
        <w:shd w:val="clear" w:color="auto" w:fill="F4F4F4"/>
      </w:pPr>
      <w:r>
        <w:rPr>
          <w:rFonts w:ascii="Courier New" w:hAnsi="Courier New"/>
          <w:color w:val="2E2E2E"/>
          <w:sz w:val="18"/>
        </w:rPr>
        <w:t># Unit tests only — no API key needed (~10 seconds)</w:t>
        <w:br/>
        <w:t>pytest tests/ -v -m "not api"</w:t>
        <w:br/>
        <w:br/>
        <w:t># All tests including Claude API integration</w:t>
        <w:br/>
        <w:t>pytest tests/ -v</w:t>
      </w:r>
    </w:p>
    <w:p>
      <w:pPr>
        <w:pStyle w:val="Heading1"/>
        <w:spacing w:before="360" w:after="120"/>
      </w:pPr>
      <w:r>
        <w:rPr>
          <w:color w:val="B8972E"/>
          <w:sz w:val="36"/>
        </w:rPr>
        <w:t>5. Supported Input File Types</w:t>
      </w:r>
    </w:p>
    <w:tbl>
      <w:tblPr>
        <w:tblStyle w:val="TableGrid"/>
        <w:tblW w:type="auto" w:w="0"/>
        <w:tblLook w:firstColumn="1" w:firstRow="1" w:lastColumn="0" w:lastRow="0" w:noHBand="0" w:noVBand="1" w:val="04A0"/>
      </w:tblPr>
      <w:tblGrid>
        <w:gridCol w:w="2196"/>
        <w:gridCol w:w="2196"/>
        <w:gridCol w:w="2196"/>
        <w:gridCol w:w="2196"/>
      </w:tblGrid>
      <w:tr>
        <w:tc>
          <w:tcPr>
            <w:tcW w:type="dxa" w:w="2016"/>
            <w:shd w:val="clear" w:color="auto" w:fill="1A1D24"/>
          </w:tcPr>
          <w:p>
            <w:r>
              <w:rPr>
                <w:b/>
                <w:color w:val="FFFFFF"/>
                <w:sz w:val="20"/>
              </w:rPr>
              <w:t>Extension</w:t>
            </w:r>
          </w:p>
        </w:tc>
        <w:tc>
          <w:tcPr>
            <w:tcW w:type="dxa" w:w="2592"/>
            <w:shd w:val="clear" w:color="auto" w:fill="1A1D24"/>
          </w:tcPr>
          <w:p>
            <w:r>
              <w:rPr>
                <w:b/>
                <w:color w:val="FFFFFF"/>
                <w:sz w:val="20"/>
              </w:rPr>
              <w:t>Method</w:t>
            </w:r>
          </w:p>
        </w:tc>
        <w:tc>
          <w:tcPr>
            <w:tcW w:type="dxa" w:w="2016"/>
            <w:shd w:val="clear" w:color="auto" w:fill="1A1D24"/>
          </w:tcPr>
          <w:p>
            <w:r>
              <w:rPr>
                <w:b/>
                <w:color w:val="FFFFFF"/>
                <w:sz w:val="20"/>
              </w:rPr>
              <w:t>OCR Required?</w:t>
            </w:r>
          </w:p>
        </w:tc>
        <w:tc>
          <w:tcPr>
            <w:tcW w:type="dxa" w:w="3168"/>
            <w:shd w:val="clear" w:color="auto" w:fill="1A1D24"/>
          </w:tcPr>
          <w:p>
            <w:r>
              <w:rPr>
                <w:b/>
                <w:color w:val="FFFFFF"/>
                <w:sz w:val="20"/>
              </w:rPr>
              <w:t>Notes</w:t>
            </w:r>
          </w:p>
        </w:tc>
      </w:tr>
      <w:tr>
        <w:tc>
          <w:tcPr>
            <w:tcW w:type="dxa" w:w="2016"/>
            <w:shd w:val="clear" w:color="auto" w:fill="F9F9F9"/>
          </w:tcPr>
          <w:p>
            <w:r>
              <w:rPr>
                <w:sz w:val="20"/>
              </w:rPr>
              <w:t>.txt</w:t>
            </w:r>
          </w:p>
        </w:tc>
        <w:tc>
          <w:tcPr>
            <w:tcW w:type="dxa" w:w="2592"/>
            <w:shd w:val="clear" w:color="auto" w:fill="F9F9F9"/>
          </w:tcPr>
          <w:p>
            <w:r>
              <w:rPr>
                <w:sz w:val="20"/>
              </w:rPr>
              <w:t>Direct UTF-8 read</w:t>
            </w:r>
          </w:p>
        </w:tc>
        <w:tc>
          <w:tcPr>
            <w:tcW w:type="dxa" w:w="2016"/>
            <w:shd w:val="clear" w:color="auto" w:fill="F9F9F9"/>
          </w:tcPr>
          <w:p>
            <w:r>
              <w:rPr>
                <w:sz w:val="20"/>
              </w:rPr>
              <w:t>No</w:t>
            </w:r>
          </w:p>
        </w:tc>
        <w:tc>
          <w:tcPr>
            <w:tcW w:type="dxa" w:w="3168"/>
            <w:shd w:val="clear" w:color="auto" w:fill="F9F9F9"/>
          </w:tcPr>
          <w:p>
            <w:r>
              <w:rPr>
                <w:sz w:val="20"/>
              </w:rPr>
              <w:t>Most reliable — no conversion needed</w:t>
            </w:r>
          </w:p>
        </w:tc>
      </w:tr>
      <w:tr>
        <w:tc>
          <w:tcPr>
            <w:tcW w:type="dxa" w:w="2016"/>
          </w:tcPr>
          <w:p>
            <w:r>
              <w:rPr>
                <w:sz w:val="20"/>
              </w:rPr>
              <w:t>.pdf (text)</w:t>
            </w:r>
          </w:p>
        </w:tc>
        <w:tc>
          <w:tcPr>
            <w:tcW w:type="dxa" w:w="2592"/>
          </w:tcPr>
          <w:p>
            <w:r>
              <w:rPr>
                <w:sz w:val="20"/>
              </w:rPr>
              <w:t>pdfplumber native</w:t>
            </w:r>
          </w:p>
        </w:tc>
        <w:tc>
          <w:tcPr>
            <w:tcW w:type="dxa" w:w="2016"/>
          </w:tcPr>
          <w:p>
            <w:r>
              <w:rPr>
                <w:sz w:val="20"/>
              </w:rPr>
              <w:t>No</w:t>
            </w:r>
          </w:p>
        </w:tc>
        <w:tc>
          <w:tcPr>
            <w:tcW w:type="dxa" w:w="3168"/>
          </w:tcPr>
          <w:p>
            <w:r>
              <w:rPr>
                <w:sz w:val="20"/>
              </w:rPr>
              <w:t>Auto-fallback to OCR if sparse</w:t>
            </w:r>
          </w:p>
        </w:tc>
      </w:tr>
      <w:tr>
        <w:tc>
          <w:tcPr>
            <w:tcW w:type="dxa" w:w="2016"/>
            <w:shd w:val="clear" w:color="auto" w:fill="F9F9F9"/>
          </w:tcPr>
          <w:p>
            <w:r>
              <w:rPr>
                <w:sz w:val="20"/>
              </w:rPr>
              <w:t>.pdf (scanned)</w:t>
            </w:r>
          </w:p>
        </w:tc>
        <w:tc>
          <w:tcPr>
            <w:tcW w:type="dxa" w:w="2592"/>
            <w:shd w:val="clear" w:color="auto" w:fill="F9F9F9"/>
          </w:tcPr>
          <w:p>
            <w:r>
              <w:rPr>
                <w:sz w:val="20"/>
              </w:rPr>
              <w:t>pytesseract via pdf2image</w:t>
            </w:r>
          </w:p>
        </w:tc>
        <w:tc>
          <w:tcPr>
            <w:tcW w:type="dxa" w:w="2016"/>
            <w:shd w:val="clear" w:color="auto" w:fill="F9F9F9"/>
          </w:tcPr>
          <w:p>
            <w:r>
              <w:rPr>
                <w:sz w:val="20"/>
              </w:rPr>
              <w:t>Yes</w:t>
            </w:r>
          </w:p>
        </w:tc>
        <w:tc>
          <w:tcPr>
            <w:tcW w:type="dxa" w:w="3168"/>
            <w:shd w:val="clear" w:color="auto" w:fill="F9F9F9"/>
          </w:tcPr>
          <w:p>
            <w:r>
              <w:rPr>
                <w:sz w:val="20"/>
              </w:rPr>
              <w:t>Falls back gracefully if OCR unavailable</w:t>
            </w:r>
          </w:p>
        </w:tc>
      </w:tr>
      <w:tr>
        <w:tc>
          <w:tcPr>
            <w:tcW w:type="dxa" w:w="2016"/>
          </w:tcPr>
          <w:p>
            <w:r>
              <w:rPr>
                <w:sz w:val="20"/>
              </w:rPr>
              <w:t>.docx</w:t>
            </w:r>
          </w:p>
        </w:tc>
        <w:tc>
          <w:tcPr>
            <w:tcW w:type="dxa" w:w="2592"/>
          </w:tcPr>
          <w:p>
            <w:r>
              <w:rPr>
                <w:sz w:val="20"/>
              </w:rPr>
              <w:t>python-docx</w:t>
            </w:r>
          </w:p>
        </w:tc>
        <w:tc>
          <w:tcPr>
            <w:tcW w:type="dxa" w:w="2016"/>
          </w:tcPr>
          <w:p>
            <w:r>
              <w:rPr>
                <w:sz w:val="20"/>
              </w:rPr>
              <w:t>No</w:t>
            </w:r>
          </w:p>
        </w:tc>
        <w:tc>
          <w:tcPr>
            <w:tcW w:type="dxa" w:w="3168"/>
          </w:tcPr>
          <w:p>
            <w:r>
              <w:rPr>
                <w:sz w:val="20"/>
              </w:rPr>
              <w:t>Extracts paragraphs + table cells</w:t>
            </w:r>
          </w:p>
        </w:tc>
      </w:tr>
      <w:tr>
        <w:tc>
          <w:tcPr>
            <w:tcW w:type="dxa" w:w="2016"/>
            <w:shd w:val="clear" w:color="auto" w:fill="F9F9F9"/>
          </w:tcPr>
          <w:p>
            <w:r>
              <w:rPr>
                <w:sz w:val="20"/>
              </w:rPr>
              <w:t>.pptx / .ppt</w:t>
            </w:r>
          </w:p>
        </w:tc>
        <w:tc>
          <w:tcPr>
            <w:tcW w:type="dxa" w:w="2592"/>
            <w:shd w:val="clear" w:color="auto" w:fill="F9F9F9"/>
          </w:tcPr>
          <w:p>
            <w:r>
              <w:rPr>
                <w:sz w:val="20"/>
              </w:rPr>
              <w:t>python-pptx</w:t>
            </w:r>
          </w:p>
        </w:tc>
        <w:tc>
          <w:tcPr>
            <w:tcW w:type="dxa" w:w="2016"/>
            <w:shd w:val="clear" w:color="auto" w:fill="F9F9F9"/>
          </w:tcPr>
          <w:p>
            <w:r>
              <w:rPr>
                <w:sz w:val="20"/>
              </w:rPr>
              <w:t>No</w:t>
            </w:r>
          </w:p>
        </w:tc>
        <w:tc>
          <w:tcPr>
            <w:tcW w:type="dxa" w:w="3168"/>
            <w:shd w:val="clear" w:color="auto" w:fill="F9F9F9"/>
          </w:tcPr>
          <w:p>
            <w:r>
              <w:rPr>
                <w:sz w:val="20"/>
              </w:rPr>
              <w:t>Per-slide text labelled [Slide N]</w:t>
            </w:r>
          </w:p>
        </w:tc>
      </w:tr>
      <w:tr>
        <w:tc>
          <w:tcPr>
            <w:tcW w:type="dxa" w:w="2016"/>
          </w:tcPr>
          <w:p>
            <w:r>
              <w:rPr>
                <w:sz w:val="20"/>
              </w:rPr>
              <w:t>.png / .jpg / .jpeg</w:t>
            </w:r>
          </w:p>
        </w:tc>
        <w:tc>
          <w:tcPr>
            <w:tcW w:type="dxa" w:w="2592"/>
          </w:tcPr>
          <w:p>
            <w:r>
              <w:rPr>
                <w:sz w:val="20"/>
              </w:rPr>
              <w:t>pytesseract</w:t>
            </w:r>
          </w:p>
        </w:tc>
        <w:tc>
          <w:tcPr>
            <w:tcW w:type="dxa" w:w="2016"/>
          </w:tcPr>
          <w:p>
            <w:r>
              <w:rPr>
                <w:sz w:val="20"/>
              </w:rPr>
              <w:t>Yes</w:t>
            </w:r>
          </w:p>
        </w:tc>
        <w:tc>
          <w:tcPr>
            <w:tcW w:type="dxa" w:w="3168"/>
          </w:tcPr>
          <w:p>
            <w:r>
              <w:rPr>
                <w:sz w:val="20"/>
              </w:rPr>
              <w:t>Direct image OCR at 300 DPI</w:t>
            </w:r>
          </w:p>
        </w:tc>
      </w:tr>
      <w:tr>
        <w:tc>
          <w:tcPr>
            <w:tcW w:type="dxa" w:w="2016"/>
            <w:shd w:val="clear" w:color="auto" w:fill="F9F9F9"/>
          </w:tcPr>
          <w:p>
            <w:r>
              <w:rPr>
                <w:sz w:val="20"/>
              </w:rPr>
              <w:t>.tiff / .bmp</w:t>
            </w:r>
          </w:p>
        </w:tc>
        <w:tc>
          <w:tcPr>
            <w:tcW w:type="dxa" w:w="2592"/>
            <w:shd w:val="clear" w:color="auto" w:fill="F9F9F9"/>
          </w:tcPr>
          <w:p>
            <w:r>
              <w:rPr>
                <w:sz w:val="20"/>
              </w:rPr>
              <w:t>pytesseract</w:t>
            </w:r>
          </w:p>
        </w:tc>
        <w:tc>
          <w:tcPr>
            <w:tcW w:type="dxa" w:w="2016"/>
            <w:shd w:val="clear" w:color="auto" w:fill="F9F9F9"/>
          </w:tcPr>
          <w:p>
            <w:r>
              <w:rPr>
                <w:sz w:val="20"/>
              </w:rPr>
              <w:t>Yes</w:t>
            </w:r>
          </w:p>
        </w:tc>
        <w:tc>
          <w:tcPr>
            <w:tcW w:type="dxa" w:w="3168"/>
            <w:shd w:val="clear" w:color="auto" w:fill="F9F9F9"/>
          </w:tcPr>
          <w:p>
            <w:r>
              <w:rPr>
                <w:sz w:val="20"/>
              </w:rPr>
              <w:t>Same as PNG/JPG</w:t>
            </w:r>
          </w:p>
        </w:tc>
      </w:tr>
    </w:tbl>
    <w:p/>
    <w:p>
      <w:pPr>
        <w:pStyle w:val="Heading1"/>
        <w:spacing w:before="360" w:after="120"/>
      </w:pPr>
      <w:r>
        <w:rPr>
          <w:color w:val="B8972E"/>
          <w:sz w:val="36"/>
        </w:rPr>
        <w:t>6. Sample Inputs</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1A1D24"/>
          </w:tcPr>
          <w:p>
            <w:r>
              <w:rPr>
                <w:b/>
                <w:color w:val="FFFFFF"/>
                <w:sz w:val="20"/>
              </w:rPr>
              <w:t>File</w:t>
            </w:r>
          </w:p>
        </w:tc>
        <w:tc>
          <w:tcPr>
            <w:tcW w:type="dxa" w:w="2592"/>
            <w:shd w:val="clear" w:color="auto" w:fill="1A1D24"/>
          </w:tcPr>
          <w:p>
            <w:r>
              <w:rPr>
                <w:b/>
                <w:color w:val="FFFFFF"/>
                <w:sz w:val="20"/>
              </w:rPr>
              <w:t>Document Type</w:t>
            </w:r>
          </w:p>
        </w:tc>
        <w:tc>
          <w:tcPr>
            <w:tcW w:type="dxa" w:w="4176"/>
            <w:shd w:val="clear" w:color="auto" w:fill="1A1D24"/>
          </w:tcPr>
          <w:p>
            <w:r>
              <w:rPr>
                <w:b/>
                <w:color w:val="FFFFFF"/>
                <w:sz w:val="20"/>
              </w:rPr>
              <w:t>Notable Features</w:t>
            </w:r>
          </w:p>
        </w:tc>
      </w:tr>
      <w:tr>
        <w:tc>
          <w:tcPr>
            <w:tcW w:type="dxa" w:w="2880"/>
            <w:shd w:val="clear" w:color="auto" w:fill="F9F9F9"/>
          </w:tcPr>
          <w:p>
            <w:r>
              <w:rPr>
                <w:sz w:val="20"/>
              </w:rPr>
              <w:t>case_001_complaint.txt</w:t>
            </w:r>
          </w:p>
        </w:tc>
        <w:tc>
          <w:tcPr>
            <w:tcW w:type="dxa" w:w="2592"/>
            <w:shd w:val="clear" w:color="auto" w:fill="F9F9F9"/>
          </w:tcPr>
          <w:p>
            <w:r>
              <w:rPr>
                <w:sz w:val="20"/>
              </w:rPr>
              <w:t>Employment dispute complaint</w:t>
            </w:r>
          </w:p>
        </w:tc>
        <w:tc>
          <w:tcPr>
            <w:tcW w:type="dxa" w:w="4176"/>
            <w:shd w:val="clear" w:color="auto" w:fill="F9F9F9"/>
          </w:tcPr>
          <w:p>
            <w:r>
              <w:rPr>
                <w:sz w:val="20"/>
              </w:rPr>
              <w:t>OCR artifact (Apri1), water damage notation, redacted address, missing exhibits A/B/C</w:t>
            </w:r>
          </w:p>
        </w:tc>
      </w:tr>
      <w:tr>
        <w:tc>
          <w:tcPr>
            <w:tcW w:type="dxa" w:w="2880"/>
          </w:tcPr>
          <w:p>
            <w:r>
              <w:rPr>
                <w:sz w:val="20"/>
              </w:rPr>
              <w:t>case_002_contract.txt</w:t>
            </w:r>
          </w:p>
        </w:tc>
        <w:tc>
          <w:tcPr>
            <w:tcW w:type="dxa" w:w="2592"/>
          </w:tcPr>
          <w:p>
            <w:r>
              <w:rPr>
                <w:sz w:val="20"/>
              </w:rPr>
              <w:t>Software services agreement</w:t>
            </w:r>
          </w:p>
        </w:tc>
        <w:tc>
          <w:tcPr>
            <w:tcW w:type="dxa" w:w="4176"/>
          </w:tcPr>
          <w:p>
            <w:r>
              <w:rPr>
                <w:sz w:val="20"/>
              </w:rPr>
              <w:t>Payment terms, SLA clauses, indemnification provisions, defined terms</w:t>
            </w:r>
          </w:p>
        </w:tc>
      </w:tr>
      <w:tr>
        <w:tc>
          <w:tcPr>
            <w:tcW w:type="dxa" w:w="2880"/>
            <w:shd w:val="clear" w:color="auto" w:fill="F9F9F9"/>
          </w:tcPr>
          <w:p>
            <w:r>
              <w:rPr>
                <w:sz w:val="20"/>
              </w:rPr>
              <w:t>case_003_notice.txt</w:t>
            </w:r>
          </w:p>
        </w:tc>
        <w:tc>
          <w:tcPr>
            <w:tcW w:type="dxa" w:w="2592"/>
            <w:shd w:val="clear" w:color="auto" w:fill="F9F9F9"/>
          </w:tcPr>
          <w:p>
            <w:r>
              <w:rPr>
                <w:sz w:val="20"/>
              </w:rPr>
              <w:t>Legal demand / notice letter</w:t>
            </w:r>
          </w:p>
        </w:tc>
        <w:tc>
          <w:tcPr>
            <w:tcW w:type="dxa" w:w="4176"/>
            <w:shd w:val="clear" w:color="auto" w:fill="F9F9F9"/>
          </w:tcPr>
          <w:p>
            <w:r>
              <w:rPr>
                <w:sz w:val="20"/>
              </w:rPr>
              <w:t>Short form, partial jurisdiction info, demand deadline</w:t>
            </w:r>
          </w:p>
        </w:tc>
      </w:tr>
    </w:tbl>
    <w:p/>
    <w:p>
      <w:pPr>
        <w:spacing w:after="80"/>
      </w:pPr>
      <w:r>
        <w:rPr>
          <w:sz w:val="21"/>
        </w:rPr>
        <w:t>All three documents are synthetic but realistic legal text designed to exercise:</w:t>
      </w:r>
    </w:p>
    <w:p>
      <w:pPr>
        <w:pStyle w:val="ListBullet"/>
        <w:spacing w:after="40"/>
      </w:pPr>
      <w:r>
        <w:rPr>
          <w:sz w:val="21"/>
        </w:rPr>
        <w:t>OCR artifact handling (typos, garbled characters from scanning)</w:t>
      </w:r>
    </w:p>
    <w:p>
      <w:pPr>
        <w:pStyle w:val="ListBullet"/>
        <w:spacing w:after="40"/>
      </w:pPr>
      <w:r>
        <w:rPr>
          <w:sz w:val="21"/>
        </w:rPr>
        <w:t>Partially missing or redacted information</w:t>
      </w:r>
    </w:p>
    <w:p>
      <w:pPr>
        <w:pStyle w:val="ListBullet"/>
        <w:spacing w:after="40"/>
      </w:pPr>
      <w:r>
        <w:rPr>
          <w:sz w:val="21"/>
        </w:rPr>
        <w:t>References to exhibits that are not present in the document</w:t>
      </w:r>
    </w:p>
    <w:p>
      <w:pPr>
        <w:pStyle w:val="ListBullet"/>
        <w:spacing w:after="40"/>
      </w:pPr>
      <w:r>
        <w:rPr>
          <w:sz w:val="21"/>
        </w:rPr>
        <w:t>Inconsistent formatting and date representations</w:t>
      </w:r>
    </w:p>
    <w:p>
      <w:pPr>
        <w:pStyle w:val="Heading1"/>
        <w:spacing w:before="360" w:after="120"/>
      </w:pPr>
      <w:r>
        <w:rPr>
          <w:color w:val="B8972E"/>
          <w:sz w:val="36"/>
        </w:rPr>
        <w:t>7. Sample Outputs</w:t>
      </w:r>
    </w:p>
    <w:p>
      <w:pPr>
        <w:pStyle w:val="Heading2"/>
        <w:spacing w:before="240" w:after="80"/>
      </w:pPr>
      <w:r>
        <w:rPr>
          <w:color w:val="111318"/>
          <w:sz w:val="26"/>
        </w:rPr>
        <w:t>Stage 1 Output — Structured Extraction</w:t>
      </w:r>
    </w:p>
    <w:p>
      <w:pPr>
        <w:spacing w:after="80"/>
      </w:pPr>
      <w:r>
        <w:rPr>
          <w:sz w:val="21"/>
        </w:rPr>
        <w:t>After processing case_001_complaint.txt, the processor returns:</w:t>
      </w:r>
    </w:p>
    <w:p>
      <w:pPr>
        <w:spacing w:before="80" w:after="80"/>
        <w:ind w:left="576"/>
        <w:shd w:val="clear" w:color="auto" w:fill="F4F4F4"/>
      </w:pPr>
      <w:r>
        <w:rPr>
          <w:rFonts w:ascii="Courier New" w:hAnsi="Courier New"/>
          <w:color w:val="2E2E2E"/>
          <w:sz w:val="18"/>
        </w:rPr>
        <w:t>{</w:t>
        <w:br/>
        <w:t xml:space="preserve">  "doc_id": "case001",</w:t>
        <w:br/>
        <w:t xml:space="preserve">  "extraction_method": "text",</w:t>
        <w:br/>
        <w:t xml:space="preserve">  "chunk_count": 11,</w:t>
        <w:br/>
        <w:t xml:space="preserve">  "structured_fields": {</w:t>
        <w:br/>
        <w:t xml:space="preserve">    "document_type": "complaint",</w:t>
        <w:br/>
        <w:t xml:space="preserve">    "case_title": "Marcus A. Hendricks v. Nexigen Pharmaceuticals, Inc., et al.",</w:t>
        <w:br/>
        <w:t xml:space="preserve">    "case_number": "24-CV-08821",</w:t>
        <w:br/>
        <w:t xml:space="preserve">    "parties": [</w:t>
        <w:br/>
        <w:t xml:space="preserve">      { "name": "Marcus A. Hendricks", "role": "plaintiff" },</w:t>
        <w:br/>
        <w:t xml:space="preserve">      { "name": "Nexigen Pharmaceuticals, Inc.", "role": "defendant" },</w:t>
        <w:br/>
        <w:t xml:space="preserve">      { "name": "Raymond L. Porter", "role": "defendant" }</w:t>
        <w:br/>
        <w:t xml:space="preserve">    ],</w:t>
        <w:br/>
        <w:t xml:space="preserve">    "legal_issues": ["Breach of Contract", "Fraud and Deceit",</w:t>
        <w:br/>
        <w:t xml:space="preserve">                     "Negligent Misrepresentation",</w:t>
        <w:br/>
        <w:t xml:space="preserve">                     "California Business and Professions Code Section 17200"],</w:t>
        <w:br/>
        <w:t xml:space="preserve">    "jurisdiction": "Superior Court of California, County of Los Angeles",</w:t>
        <w:br/>
        <w:t xml:space="preserve">    "document_quality": "OCR artifact Apri1 on page 3; water damage noted upper-left page 2"</w:t>
        <w:br/>
        <w:t xml:space="preserve">  },</w:t>
        <w:br/>
        <w:t xml:space="preserve">  "processing_notes": [</w:t>
        <w:br/>
        <w:t xml:space="preserve">    "Produced 11 chunks (method=text)"</w:t>
        <w:br/>
        <w:t xml:space="preserve">  ]</w:t>
        <w:br/>
        <w:t>}</w:t>
      </w:r>
    </w:p>
    <w:p>
      <w:pPr>
        <w:pStyle w:val="Heading2"/>
        <w:spacing w:before="240" w:after="80"/>
      </w:pPr>
      <w:r>
        <w:rPr>
          <w:color w:val="111318"/>
          <w:sz w:val="26"/>
        </w:rPr>
        <w:t>Stage 2+3 Output — Case Fact Summary (v1, no patterns)</w:t>
      </w:r>
    </w:p>
    <w:p>
      <w:pPr>
        <w:spacing w:after="80"/>
      </w:pPr>
      <w:r>
        <w:rPr>
          <w:sz w:val="21"/>
        </w:rPr>
        <w:t>File: sample_outputs/case001_draft_v1.json</w:t>
      </w:r>
    </w:p>
    <w:p>
      <w:pPr>
        <w:spacing w:before="80" w:after="80"/>
        <w:ind w:left="576"/>
        <w:shd w:val="clear" w:color="auto" w:fill="F4F4F4"/>
      </w:pPr>
      <w:r>
        <w:rPr>
          <w:rFonts w:ascii="Courier New" w:hAnsi="Courier New"/>
          <w:color w:val="2E2E2E"/>
          <w:sz w:val="18"/>
        </w:rPr>
        <w:t>{</w:t>
        <w:br/>
        <w:t xml:space="preserve">  "case_title": "Marcus A. Hendricks v. Nexigen Pharmaceuticals, Inc., et al.",</w:t>
        <w:br/>
        <w:t xml:space="preserve">  "case_number": "24-CV-08821",</w:t>
        <w:br/>
        <w:t xml:space="preserve">  "document_type": "complaint",</w:t>
        <w:br/>
        <w:t xml:space="preserve">  "jurisdiction": "Superior Court of the State of California, County of Los Angeles",</w:t>
        <w:br/>
        <w:t xml:space="preserve">  "parties": [</w:t>
        <w:br/>
        <w:t xml:space="preserve">    {</w:t>
        <w:br/>
        <w:t xml:space="preserve">      "name": "Marcus A. Hendricks",</w:t>
        <w:br/>
        <w:t xml:space="preserve">      "role": "Plaintiff",</w:t>
        <w:br/>
        <w:t xml:space="preserve">      "evidence_id": "case001__chunk_0"</w:t>
        <w:br/>
        <w:t xml:space="preserve">    },</w:t>
        <w:br/>
        <w:t xml:space="preserve">    {</w:t>
        <w:br/>
        <w:t xml:space="preserve">      "name": "Nexigen Pharmaceuticals, Inc.",</w:t>
        <w:br/>
        <w:t xml:space="preserve">      "role": "Defendant (Delaware Corporation)",</w:t>
        <w:br/>
        <w:t xml:space="preserve">      "evidence_id": "case001__chunk_0"</w:t>
        <w:br/>
        <w:t xml:space="preserve">    }</w:t>
        <w:br/>
        <w:t xml:space="preserve">  ],</w:t>
        <w:br/>
        <w:t xml:space="preserve">  "key_facts": [</w:t>
        <w:br/>
        <w:t xml:space="preserve">    {</w:t>
        <w:br/>
        <w:t xml:space="preserve">      "fact": "Hendricks was employed as Senior Director of Business Development at</w:t>
        <w:br/>
        <w:t xml:space="preserve">               Nexigen from approximately April 2019 through October 14, 2023.",</w:t>
        <w:br/>
        <w:t xml:space="preserve">      "evidence_id": "case001__chunk_2",</w:t>
        <w:br/>
        <w:t xml:space="preserve">      "evidence_quote": "Hendricks was employed as Senior Director ... from Apri1 2019</w:t>
        <w:br/>
        <w:t xml:space="preserve">                         through October 14, 2023"</w:t>
        <w:br/>
        <w:t xml:space="preserve">    },</w:t>
        <w:br/>
        <w:t xml:space="preserve">    {</w:t>
        <w:br/>
        <w:t xml:space="preserve">      "fact": "Total claimed damages are not less than $2,704,125 comprising $210,000</w:t>
        <w:br/>
        <w:t xml:space="preserve">               severance and $2,494,125 RSU value.",</w:t>
        <w:br/>
        <w:t xml:space="preserve">      "evidence_id": "case001__chunk_9",</w:t>
        <w:br/>
        <w:t xml:space="preserve">      "evidence_quote": "damages not less than $2,704,125 (comprising $210,000 severance</w:t>
        <w:br/>
        <w:t xml:space="preserve">                         + $2,494,125 RSU value)"</w:t>
        <w:br/>
        <w:t xml:space="preserve">    }</w:t>
        <w:br/>
        <w:t xml:space="preserve">  ],</w:t>
        <w:br/>
        <w:t xml:space="preserve">  "missing_information": [</w:t>
        <w:br/>
        <w:t xml:space="preserve">    "Exhibits A, B, and C referenced but not attached — Employment Agreement absent.",</w:t>
        <w:br/>
        <w:t xml:space="preserve">    "RSU valuation of $22.17/share from partially illegible page — requires verification.",</w:t>
        <w:br/>
        <w:t xml:space="preserve">    "Raymond L. Porter residential address redacted — service of process unverifiable.",</w:t>
        <w:br/>
        <w:t xml:space="preserve">    "Case number prefix 24 inconsistent with November 2023 filing date — unresolved."</w:t>
        <w:br/>
        <w:t xml:space="preserve">  ],</w:t>
        <w:br/>
        <w:t xml:space="preserve">  "analyst_notes": "First-pass review based on five retrieved evidence passages."</w:t>
        <w:br/>
        <w:t>}</w:t>
      </w:r>
    </w:p>
    <w:p>
      <w:pPr>
        <w:pStyle w:val="Heading2"/>
        <w:spacing w:before="240" w:after="80"/>
      </w:pPr>
      <w:r>
        <w:rPr>
          <w:color w:val="111318"/>
          <w:sz w:val="26"/>
        </w:rPr>
        <w:t>Stage 3 Output — Evidence Used</w:t>
      </w:r>
    </w:p>
    <w:p>
      <w:pPr>
        <w:spacing w:after="80"/>
      </w:pPr>
      <w:r>
        <w:rPr>
          <w:sz w:val="21"/>
        </w:rPr>
        <w:t>Alongside the draft, the system returns the retrieved evidence passages:</w:t>
      </w:r>
    </w:p>
    <w:p>
      <w:pPr>
        <w:spacing w:before="80" w:after="80"/>
        <w:ind w:left="576"/>
        <w:shd w:val="clear" w:color="auto" w:fill="F4F4F4"/>
      </w:pPr>
      <w:r>
        <w:rPr>
          <w:rFonts w:ascii="Courier New" w:hAnsi="Courier New"/>
          <w:color w:val="2E2E2E"/>
          <w:sz w:val="18"/>
        </w:rPr>
        <w:t>"evidence_used": [</w:t>
        <w:br/>
        <w:t xml:space="preserve">  {</w:t>
        <w:br/>
        <w:t xml:space="preserve">    "chunk_id": "case001__chunk_0",</w:t>
        <w:br/>
        <w:t xml:space="preserve">    "score": 0.4105,</w:t>
        <w:br/>
        <w:t xml:space="preserve">    "text_preview": "SUPERIOR COURT OF THE STATE OF CALIFORNIA ... BREACH OF CONTRACT ..."</w:t>
        <w:br/>
        <w:t xml:space="preserve">  },</w:t>
        <w:br/>
        <w:t xml:space="preserve">  {</w:t>
        <w:br/>
        <w:t xml:space="preserve">    "chunk_id": "case001__chunk_9",</w:t>
        <w:br/>
        <w:t xml:space="preserve">    "score": 0.3164,</w:t>
        <w:br/>
        <w:t xml:space="preserve">    "text_preview": "damages not less than $2,704,125 (comprising $210,000 severance + ...)"</w:t>
        <w:br/>
        <w:t xml:space="preserve">  }</w:t>
        <w:br/>
        <w:t>]</w:t>
      </w:r>
    </w:p>
    <w:p>
      <w:pPr>
        <w:pStyle w:val="Heading2"/>
        <w:spacing w:before="240" w:after="80"/>
      </w:pPr>
      <w:r>
        <w:rPr>
          <w:color w:val="111318"/>
          <w:sz w:val="26"/>
        </w:rPr>
        <w:t>Stage 4 Output — Edit Record and Learned Patterns</w:t>
      </w:r>
    </w:p>
    <w:p>
      <w:pPr>
        <w:spacing w:after="80"/>
      </w:pPr>
      <w:r>
        <w:rPr>
          <w:sz w:val="21"/>
        </w:rPr>
        <w:t>File: sample_outputs/case001_edit_record.json</w:t>
      </w:r>
    </w:p>
    <w:p>
      <w:pPr>
        <w:spacing w:before="80" w:after="80"/>
        <w:ind w:left="576"/>
        <w:shd w:val="clear" w:color="auto" w:fill="F4F4F4"/>
      </w:pPr>
      <w:r>
        <w:rPr>
          <w:rFonts w:ascii="Courier New" w:hAnsi="Courier New"/>
          <w:color w:val="2E2E2E"/>
          <w:sz w:val="18"/>
        </w:rPr>
        <w:t>{</w:t>
        <w:br/>
        <w:t xml:space="preserve">  "edit_id": "a3f9c12e8b04",</w:t>
        <w:br/>
        <w:t xml:space="preserve">  "doc_id": "case001",</w:t>
        <w:br/>
        <w:t xml:space="preserve">  "timestamp": "2026-05-14T10:31:47Z",</w:t>
        <w:br/>
        <w:t xml:space="preserve">  "operator_edits_applied": [</w:t>
        <w:br/>
        <w:t xml:space="preserve">    "Added firm-standard case_reference header field",</w:t>
        <w:br/>
        <w:t xml:space="preserve">    "Normalised dates to ISO format (YYYY-MM-DD)",</w:t>
        <w:br/>
        <w:t xml:space="preserve">    "Wrapped evidence_quote values in typographic quotation marks",</w:t>
        <w:br/>
        <w:t xml:space="preserve">    "Trimmed speculative analyst_notes to first sentence only",</w:t>
        <w:br/>
        <w:t xml:space="preserve">    "Promoted jurisdiction to top-level filing_jurisdiction field"</w:t>
        <w:br/>
        <w:t xml:space="preserve">  ],</w:t>
        <w:br/>
        <w:t xml:space="preserve">  "patterns_extracted": [</w:t>
        <w:br/>
        <w:t xml:space="preserve">    {</w:t>
        <w:br/>
        <w:t xml:space="preserve">      "description": "ISO-format all dates",</w:t>
        <w:br/>
        <w:t xml:space="preserve">      "rule": "Normalise all date values in relevant_dates to ISO 8601 (YYYY-MM-DD)",</w:t>
        <w:br/>
        <w:t xml:space="preserve">      "example_before": "\"date\": \"11/08/2023\"",</w:t>
        <w:br/>
        <w:t xml:space="preserve">      "example_after": "\"date\": \"2023-11-08\"",</w:t>
        <w:br/>
        <w:t xml:space="preserve">      "confidence": 0.98</w:t>
        <w:br/>
        <w:t xml:space="preserve">    },</w:t>
        <w:br/>
        <w:t xml:space="preserve">    {</w:t>
        <w:br/>
        <w:t xml:space="preserve">      "description": "Trim speculative analyst notes",</w:t>
        <w:br/>
        <w:t xml:space="preserve">      "rule": "Limit analyst_notes to a single declarative sentence",</w:t>
        <w:br/>
        <w:t xml:space="preserve">      "example_before": "This summary ... should be verified before litigation.",</w:t>
        <w:br/>
        <w:t xml:space="preserve">      "example_after": "This summary is a first-pass analysis.",</w:t>
        <w:br/>
        <w:t xml:space="preserve">      "confidence": 0.88</w:t>
        <w:br/>
        <w:t xml:space="preserve">    }</w:t>
        <w:br/>
        <w:t xml:space="preserve">  ],</w:t>
        <w:br/>
        <w:t xml:space="preserve">  "total_active_patterns": 5</w:t>
        <w:br/>
        <w:t>}</w:t>
      </w:r>
    </w:p>
    <w:p>
      <w:pPr>
        <w:pStyle w:val="Heading2"/>
        <w:spacing w:before="240" w:after="80"/>
      </w:pPr>
      <w:r>
        <w:rPr>
          <w:color w:val="111318"/>
          <w:sz w:val="26"/>
        </w:rPr>
        <w:t>Before and After — Draft Improvement</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A1D24"/>
          </w:tcPr>
          <w:p>
            <w:r>
              <w:rPr>
                <w:b/>
                <w:color w:val="FFFFFF"/>
                <w:sz w:val="20"/>
              </w:rPr>
              <w:t>Field</w:t>
            </w:r>
          </w:p>
        </w:tc>
        <w:tc>
          <w:tcPr>
            <w:tcW w:type="dxa" w:w="3600"/>
            <w:shd w:val="clear" w:color="auto" w:fill="1A1D24"/>
          </w:tcPr>
          <w:p>
            <w:r>
              <w:rPr>
                <w:b/>
                <w:color w:val="FFFFFF"/>
                <w:sz w:val="20"/>
              </w:rPr>
              <w:t>v1 (no patterns)</w:t>
            </w:r>
          </w:p>
        </w:tc>
        <w:tc>
          <w:tcPr>
            <w:tcW w:type="dxa" w:w="3600"/>
            <w:shd w:val="clear" w:color="auto" w:fill="1A1D24"/>
          </w:tcPr>
          <w:p>
            <w:r>
              <w:rPr>
                <w:b/>
                <w:color w:val="FFFFFF"/>
                <w:sz w:val="20"/>
              </w:rPr>
              <w:t>v2 (patterns applied)</w:t>
            </w:r>
          </w:p>
        </w:tc>
      </w:tr>
      <w:tr>
        <w:tc>
          <w:tcPr>
            <w:tcW w:type="dxa" w:w="2160"/>
            <w:shd w:val="clear" w:color="auto" w:fill="F9F9F9"/>
          </w:tcPr>
          <w:p>
            <w:r>
              <w:rPr>
                <w:sz w:val="20"/>
              </w:rPr>
              <w:t>analyst_notes</w:t>
            </w:r>
          </w:p>
        </w:tc>
        <w:tc>
          <w:tcPr>
            <w:tcW w:type="dxa" w:w="3600"/>
            <w:shd w:val="clear" w:color="auto" w:fill="F9F9F9"/>
          </w:tcPr>
          <w:p>
            <w:r>
              <w:rPr>
                <w:sz w:val="20"/>
              </w:rPr>
              <w:t>This summary is a first-pass analysis based solely on five retrieved evidence passages ... should be verified against the original complaint before any reliance for litigation purposes.</w:t>
            </w:r>
          </w:p>
        </w:tc>
        <w:tc>
          <w:tcPr>
            <w:tcW w:type="dxa" w:w="3600"/>
            <w:shd w:val="clear" w:color="auto" w:fill="F9F9F9"/>
          </w:tcPr>
          <w:p>
            <w:r>
              <w:rPr>
                <w:sz w:val="20"/>
              </w:rPr>
              <w:t>This summary is a first-pass analysis based solely on five retrieved evidence passages.</w:t>
            </w:r>
          </w:p>
        </w:tc>
      </w:tr>
      <w:tr>
        <w:tc>
          <w:tcPr>
            <w:tcW w:type="dxa" w:w="2160"/>
          </w:tcPr>
          <w:p>
            <w:r>
              <w:rPr>
                <w:sz w:val="20"/>
              </w:rPr>
              <w:t>evidence_quote style</w:t>
            </w:r>
          </w:p>
        </w:tc>
        <w:tc>
          <w:tcPr>
            <w:tcW w:type="dxa" w:w="3600"/>
          </w:tcPr>
          <w:p>
            <w:r>
              <w:rPr>
                <w:sz w:val="20"/>
              </w:rPr>
              <w:t>Hendricks was employed as Senior Director...</w:t>
            </w:r>
          </w:p>
        </w:tc>
        <w:tc>
          <w:tcPr>
            <w:tcW w:type="dxa" w:w="3600"/>
          </w:tcPr>
          <w:p>
            <w:r>
              <w:rPr>
                <w:sz w:val="20"/>
              </w:rPr>
              <w:t>"Hendricks was employed as Senior Director..."</w:t>
            </w:r>
          </w:p>
        </w:tc>
      </w:tr>
      <w:tr>
        <w:tc>
          <w:tcPr>
            <w:tcW w:type="dxa" w:w="2160"/>
            <w:shd w:val="clear" w:color="auto" w:fill="F9F9F9"/>
          </w:tcPr>
          <w:p>
            <w:r>
              <w:rPr>
                <w:sz w:val="20"/>
              </w:rPr>
              <w:t>date format</w:t>
            </w:r>
          </w:p>
        </w:tc>
        <w:tc>
          <w:tcPr>
            <w:tcW w:type="dxa" w:w="3600"/>
            <w:shd w:val="clear" w:color="auto" w:fill="F9F9F9"/>
          </w:tcPr>
          <w:p>
            <w:r>
              <w:rPr>
                <w:sz w:val="20"/>
              </w:rPr>
              <w:t>2019-04 (approximate)</w:t>
            </w:r>
          </w:p>
        </w:tc>
        <w:tc>
          <w:tcPr>
            <w:tcW w:type="dxa" w:w="3600"/>
            <w:shd w:val="clear" w:color="auto" w:fill="F9F9F9"/>
          </w:tcPr>
          <w:p>
            <w:r>
              <w:rPr>
                <w:sz w:val="20"/>
              </w:rPr>
              <w:t>2019-04 (approx.) — ISO format enforced for all slash-dates</w:t>
            </w:r>
          </w:p>
        </w:tc>
      </w:tr>
      <w:tr>
        <w:tc>
          <w:tcPr>
            <w:tcW w:type="dxa" w:w="2160"/>
          </w:tcPr>
          <w:p>
            <w:r>
              <w:rPr>
                <w:sz w:val="20"/>
              </w:rPr>
              <w:t>Top-level fields</w:t>
            </w:r>
          </w:p>
        </w:tc>
        <w:tc>
          <w:tcPr>
            <w:tcW w:type="dxa" w:w="3600"/>
          </w:tcPr>
          <w:p>
            <w:r>
              <w:rPr>
                <w:sz w:val="20"/>
              </w:rPr>
              <w:t>case_title, case_number, document_type ...</w:t>
            </w:r>
          </w:p>
        </w:tc>
        <w:tc>
          <w:tcPr>
            <w:tcW w:type="dxa" w:w="3600"/>
          </w:tcPr>
          <w:p>
            <w:r>
              <w:rPr>
                <w:sz w:val="20"/>
              </w:rPr>
              <w:t>Adds case_reference and filing_jurisdiction at top level</w:t>
            </w:r>
          </w:p>
        </w:tc>
      </w:tr>
    </w:tbl>
    <w:p/>
    <w:p>
      <w:pPr>
        <w:pStyle w:val="Heading1"/>
        <w:spacing w:before="360" w:after="120"/>
      </w:pPr>
      <w:r>
        <w:rPr>
          <w:color w:val="B8972E"/>
          <w:sz w:val="36"/>
        </w:rPr>
        <w:t>8. API Reference</w:t>
      </w:r>
    </w:p>
    <w:p>
      <w:pPr>
        <w:spacing w:after="80"/>
      </w:pPr>
      <w:r>
        <w:rPr>
          <w:sz w:val="21"/>
        </w:rPr>
        <w:t>Base URL: http://localhost:8000   |   Interactive docs: http://localhost:8000/docs</w:t>
      </w:r>
    </w:p>
    <w:p>
      <w:pPr>
        <w:pStyle w:val="Heading2"/>
        <w:spacing w:before="240" w:after="80"/>
      </w:pPr>
      <w:r>
        <w:rPr>
          <w:color w:val="111318"/>
          <w:sz w:val="26"/>
        </w:rPr>
        <w:t>Upload and Process a Document</w:t>
      </w:r>
    </w:p>
    <w:p>
      <w:pPr>
        <w:spacing w:before="80" w:after="80"/>
        <w:ind w:left="576"/>
        <w:shd w:val="clear" w:color="auto" w:fill="F4F4F4"/>
      </w:pPr>
      <w:r>
        <w:rPr>
          <w:rFonts w:ascii="Courier New" w:hAnsi="Courier New"/>
          <w:color w:val="2E2E2E"/>
          <w:sz w:val="18"/>
        </w:rPr>
        <w:t>POST /documents/upload</w:t>
        <w:br/>
        <w:br/>
        <w:t>curl -X POST http://localhost:8000/documents/upload \</w:t>
        <w:br/>
        <w:t xml:space="preserve">  -F "file=@case_001_complaint.txt" \</w:t>
        <w:br/>
        <w:t xml:space="preserve">  -F "doc_id=case001"</w:t>
      </w:r>
    </w:p>
    <w:p>
      <w:pPr>
        <w:spacing w:after="80"/>
      </w:pPr>
      <w:r>
        <w:rPr>
          <w:sz w:val="21"/>
        </w:rPr>
        <w:t>Response: doc_id, extraction_method, chunk_count, structured_fields, processing_notes</w:t>
      </w:r>
    </w:p>
    <w:p>
      <w:pPr>
        <w:pStyle w:val="Heading2"/>
        <w:spacing w:before="240" w:after="80"/>
      </w:pPr>
      <w:r>
        <w:rPr>
          <w:color w:val="111318"/>
          <w:sz w:val="26"/>
        </w:rPr>
        <w:t>Generate a Grounded Draft</w:t>
      </w:r>
    </w:p>
    <w:p>
      <w:pPr>
        <w:spacing w:before="80" w:after="80"/>
        <w:ind w:left="576"/>
        <w:shd w:val="clear" w:color="auto" w:fill="F4F4F4"/>
      </w:pPr>
      <w:r>
        <w:rPr>
          <w:rFonts w:ascii="Courier New" w:hAnsi="Courier New"/>
          <w:color w:val="2E2E2E"/>
          <w:sz w:val="18"/>
        </w:rPr>
        <w:t>GET /documents/{doc_id}/draft</w:t>
        <w:br/>
        <w:br/>
        <w:t>curl http://localhost:8000/documents/case001/draft</w:t>
      </w:r>
    </w:p>
    <w:p>
      <w:pPr>
        <w:spacing w:after="80"/>
      </w:pPr>
      <w:r>
        <w:rPr>
          <w:sz w:val="21"/>
        </w:rPr>
        <w:t>Response: draft JSON with key_facts, parties, dates, legal_issues, missing_information, evidence_used</w:t>
      </w:r>
    </w:p>
    <w:p>
      <w:pPr>
        <w:pStyle w:val="Heading2"/>
        <w:spacing w:before="240" w:after="80"/>
      </w:pPr>
      <w:r>
        <w:rPr>
          <w:color w:val="111318"/>
          <w:sz w:val="26"/>
        </w:rPr>
        <w:t>Submit an Operator Edit</w:t>
      </w:r>
    </w:p>
    <w:p>
      <w:pPr>
        <w:spacing w:before="80" w:after="80"/>
        <w:ind w:left="576"/>
        <w:shd w:val="clear" w:color="auto" w:fill="F4F4F4"/>
      </w:pPr>
      <w:r>
        <w:rPr>
          <w:rFonts w:ascii="Courier New" w:hAnsi="Courier New"/>
          <w:color w:val="2E2E2E"/>
          <w:sz w:val="18"/>
        </w:rPr>
        <w:t>POST /edits</w:t>
        <w:br/>
        <w:br/>
        <w:t>curl -X POST http://localhost:8000/edits \</w:t>
        <w:br/>
        <w:t xml:space="preserve">  -H "Content-Type: application/json" \</w:t>
        <w:br/>
        <w:t xml:space="preserve">  -d '{"doc_id":"case001","original_draft":{...},"edited_draft":{...}}'</w:t>
      </w:r>
    </w:p>
    <w:p>
      <w:pPr>
        <w:spacing w:after="80"/>
      </w:pPr>
      <w:r>
        <w:rPr>
          <w:sz w:val="21"/>
        </w:rPr>
        <w:t>Response: edit_id, patterns_extracted, total_active_patterns</w:t>
      </w:r>
    </w:p>
    <w:p>
      <w:pPr>
        <w:pStyle w:val="Heading2"/>
        <w:spacing w:before="240" w:after="80"/>
      </w:pPr>
      <w:r>
        <w:rPr>
          <w:color w:val="111318"/>
          <w:sz w:val="26"/>
        </w:rPr>
        <w:t>Other Endpoints</w:t>
      </w:r>
    </w:p>
    <w:tbl>
      <w:tblPr>
        <w:tblStyle w:val="TableGrid"/>
        <w:tblW w:type="auto" w:w="0"/>
        <w:tblLook w:firstColumn="1" w:firstRow="1" w:lastColumn="0" w:lastRow="0" w:noHBand="0" w:noVBand="1" w:val="04A0"/>
      </w:tblPr>
      <w:tblGrid>
        <w:gridCol w:w="2928"/>
        <w:gridCol w:w="2928"/>
        <w:gridCol w:w="2928"/>
      </w:tblGrid>
      <w:tr>
        <w:tc>
          <w:tcPr>
            <w:tcW w:type="dxa" w:w="1152"/>
            <w:shd w:val="clear" w:color="auto" w:fill="1A1D24"/>
          </w:tcPr>
          <w:p>
            <w:r>
              <w:rPr>
                <w:b/>
                <w:color w:val="FFFFFF"/>
                <w:sz w:val="20"/>
              </w:rPr>
              <w:t>Method</w:t>
            </w:r>
          </w:p>
        </w:tc>
        <w:tc>
          <w:tcPr>
            <w:tcW w:type="dxa" w:w="3168"/>
            <w:shd w:val="clear" w:color="auto" w:fill="1A1D24"/>
          </w:tcPr>
          <w:p>
            <w:r>
              <w:rPr>
                <w:b/>
                <w:color w:val="FFFFFF"/>
                <w:sz w:val="20"/>
              </w:rPr>
              <w:t>Path</w:t>
            </w:r>
          </w:p>
        </w:tc>
        <w:tc>
          <w:tcPr>
            <w:tcW w:type="dxa" w:w="4608"/>
            <w:shd w:val="clear" w:color="auto" w:fill="1A1D24"/>
          </w:tcPr>
          <w:p>
            <w:r>
              <w:rPr>
                <w:b/>
                <w:color w:val="FFFFFF"/>
                <w:sz w:val="20"/>
              </w:rPr>
              <w:t>Description</w:t>
            </w:r>
          </w:p>
        </w:tc>
      </w:tr>
      <w:tr>
        <w:tc>
          <w:tcPr>
            <w:tcW w:type="dxa" w:w="1152"/>
            <w:shd w:val="clear" w:color="auto" w:fill="F9F9F9"/>
          </w:tcPr>
          <w:p>
            <w:r>
              <w:rPr>
                <w:sz w:val="20"/>
              </w:rPr>
              <w:t>GET</w:t>
            </w:r>
          </w:p>
        </w:tc>
        <w:tc>
          <w:tcPr>
            <w:tcW w:type="dxa" w:w="3168"/>
            <w:shd w:val="clear" w:color="auto" w:fill="F9F9F9"/>
          </w:tcPr>
          <w:p>
            <w:r>
              <w:rPr>
                <w:sz w:val="20"/>
              </w:rPr>
              <w:t>/patterns</w:t>
            </w:r>
          </w:p>
        </w:tc>
        <w:tc>
          <w:tcPr>
            <w:tcW w:type="dxa" w:w="4608"/>
            <w:shd w:val="clear" w:color="auto" w:fill="F9F9F9"/>
          </w:tcPr>
          <w:p>
            <w:r>
              <w:rPr>
                <w:sz w:val="20"/>
              </w:rPr>
              <w:t>List all active learned patterns</w:t>
            </w:r>
          </w:p>
        </w:tc>
      </w:tr>
      <w:tr>
        <w:tc>
          <w:tcPr>
            <w:tcW w:type="dxa" w:w="1152"/>
          </w:tcPr>
          <w:p>
            <w:r>
              <w:rPr>
                <w:sz w:val="20"/>
              </w:rPr>
              <w:t>POST</w:t>
            </w:r>
          </w:p>
        </w:tc>
        <w:tc>
          <w:tcPr>
            <w:tcW w:type="dxa" w:w="3168"/>
          </w:tcPr>
          <w:p>
            <w:r>
              <w:rPr>
                <w:sz w:val="20"/>
              </w:rPr>
              <w:t>/patterns/deactivate</w:t>
            </w:r>
          </w:p>
        </w:tc>
        <w:tc>
          <w:tcPr>
            <w:tcW w:type="dxa" w:w="4608"/>
          </w:tcPr>
          <w:p>
            <w:r>
              <w:rPr>
                <w:sz w:val="20"/>
              </w:rPr>
              <w:t>Suppress a pattern by pattern_id</w:t>
            </w:r>
          </w:p>
        </w:tc>
      </w:tr>
      <w:tr>
        <w:tc>
          <w:tcPr>
            <w:tcW w:type="dxa" w:w="1152"/>
            <w:shd w:val="clear" w:color="auto" w:fill="F9F9F9"/>
          </w:tcPr>
          <w:p>
            <w:r>
              <w:rPr>
                <w:sz w:val="20"/>
              </w:rPr>
              <w:t>GET</w:t>
            </w:r>
          </w:p>
        </w:tc>
        <w:tc>
          <w:tcPr>
            <w:tcW w:type="dxa" w:w="3168"/>
            <w:shd w:val="clear" w:color="auto" w:fill="F9F9F9"/>
          </w:tcPr>
          <w:p>
            <w:r>
              <w:rPr>
                <w:sz w:val="20"/>
              </w:rPr>
              <w:t>/documents/{doc_id}/edits</w:t>
            </w:r>
          </w:p>
        </w:tc>
        <w:tc>
          <w:tcPr>
            <w:tcW w:type="dxa" w:w="4608"/>
            <w:shd w:val="clear" w:color="auto" w:fill="F9F9F9"/>
          </w:tcPr>
          <w:p>
            <w:r>
              <w:rPr>
                <w:sz w:val="20"/>
              </w:rPr>
              <w:t>Edit history for a document</w:t>
            </w:r>
          </w:p>
        </w:tc>
      </w:tr>
      <w:tr>
        <w:tc>
          <w:tcPr>
            <w:tcW w:type="dxa" w:w="1152"/>
          </w:tcPr>
          <w:p>
            <w:r>
              <w:rPr>
                <w:sz w:val="20"/>
              </w:rPr>
              <w:t>GET</w:t>
            </w:r>
          </w:p>
        </w:tc>
        <w:tc>
          <w:tcPr>
            <w:tcW w:type="dxa" w:w="3168"/>
          </w:tcPr>
          <w:p>
            <w:r>
              <w:rPr>
                <w:sz w:val="20"/>
              </w:rPr>
              <w:t>/health</w:t>
            </w:r>
          </w:p>
        </w:tc>
        <w:tc>
          <w:tcPr>
            <w:tcW w:type="dxa" w:w="4608"/>
          </w:tcPr>
          <w:p>
            <w:r>
              <w:rPr>
                <w:sz w:val="20"/>
              </w:rPr>
              <w:t>Returns {"status": "ok"}</w:t>
            </w:r>
          </w:p>
        </w:tc>
      </w:tr>
      <w:tr>
        <w:tc>
          <w:tcPr>
            <w:tcW w:type="dxa" w:w="1152"/>
            <w:shd w:val="clear" w:color="auto" w:fill="F9F9F9"/>
          </w:tcPr>
          <w:p>
            <w:r>
              <w:rPr>
                <w:sz w:val="20"/>
              </w:rPr>
              <w:t>GET</w:t>
            </w:r>
          </w:p>
        </w:tc>
        <w:tc>
          <w:tcPr>
            <w:tcW w:type="dxa" w:w="3168"/>
            <w:shd w:val="clear" w:color="auto" w:fill="F9F9F9"/>
          </w:tcPr>
          <w:p>
            <w:r>
              <w:rPr>
                <w:sz w:val="20"/>
              </w:rPr>
              <w:t>/docs</w:t>
            </w:r>
          </w:p>
        </w:tc>
        <w:tc>
          <w:tcPr>
            <w:tcW w:type="dxa" w:w="4608"/>
            <w:shd w:val="clear" w:color="auto" w:fill="F9F9F9"/>
          </w:tcPr>
          <w:p>
            <w:r>
              <w:rPr>
                <w:sz w:val="20"/>
              </w:rPr>
              <w:t>Interactive Swagger UI</w:t>
            </w:r>
          </w:p>
        </w:tc>
      </w:tr>
    </w:tbl>
    <w:p/>
    <w:p>
      <w:pPr>
        <w:pStyle w:val="Heading1"/>
        <w:spacing w:before="360" w:after="120"/>
      </w:pPr>
      <w:r>
        <w:rPr>
          <w:color w:val="B8972E"/>
          <w:sz w:val="36"/>
        </w:rPr>
        <w:t>9. Project File Structure</w:t>
      </w:r>
    </w:p>
    <w:p>
      <w:pPr>
        <w:spacing w:before="80" w:after="80"/>
        <w:ind w:left="576"/>
        <w:shd w:val="clear" w:color="auto" w:fill="F4F4F4"/>
      </w:pPr>
      <w:r>
        <w:rPr>
          <w:rFonts w:ascii="Courier New" w:hAnsi="Courier New"/>
          <w:color w:val="2E2E2E"/>
          <w:sz w:val="18"/>
        </w:rPr>
        <w:t>pearson-specter-litt/</w:t>
        <w:br/>
        <w:t>├── src/</w:t>
        <w:br/>
        <w:t>│   ├── config.py          API key, model, chunk sizes, paths</w:t>
        <w:br/>
        <w:t>│   ├── models.py          Data classes: ProcessedDocument, DraftOutput ...</w:t>
        <w:br/>
        <w:t>│   ├── processor.py       Stage 1: extraction + OCR + structured fields</w:t>
        <w:br/>
        <w:t>│   ├── retriever.py       Stage 2: ChromaDB vector store + query</w:t>
        <w:br/>
        <w:t>│   ├── drafter.py         Stage 3: grounded Case Fact Summary via Claude</w:t>
        <w:br/>
        <w:t>│   ├── editor.py          Stage 4: edit capture + SQLite pattern store</w:t>
        <w:br/>
        <w:t>│   └── pipeline.py        Orchestrator tying all stages together</w:t>
        <w:br/>
        <w:t>├── api/</w:t>
        <w:br/>
        <w:t>│   └── app.py             FastAPI REST interface (7 endpoints)</w:t>
        <w:br/>
        <w:t>├── ui/</w:t>
        <w:br/>
        <w:t>│   └── index.html         Web UI (no build step required)</w:t>
        <w:br/>
        <w:t>├── sample_documents/</w:t>
        <w:br/>
        <w:t>│   ├── case_001_complaint.txt</w:t>
        <w:br/>
        <w:t>│   ├── case_002_contract.txt</w:t>
        <w:br/>
        <w:t>│   └── case_003_notice.txt</w:t>
        <w:br/>
        <w:t>├── sample_outputs/</w:t>
        <w:br/>
        <w:t>│   ├── case001_draft_v1.json</w:t>
        <w:br/>
        <w:t>│   ├── case001_draft_v2.json</w:t>
        <w:br/>
        <w:t>│   └── case001_edit_record.json</w:t>
        <w:br/>
        <w:t>├── tests/</w:t>
        <w:br/>
        <w:t>│   └── test_pipeline.py   Unit + integration tests</w:t>
        <w:br/>
        <w:t>├── run_demo.py            End-to-end CLI demo</w:t>
        <w:br/>
        <w:t>├── requirements.txt</w:t>
        <w:br/>
        <w:t>├── Dockerfile</w:t>
        <w:br/>
        <w:t>└── docker-compose.yml</w:t>
      </w:r>
    </w:p>
    <w:p>
      <w:pPr>
        <w:pStyle w:val="Heading1"/>
        <w:spacing w:before="360" w:after="120"/>
      </w:pPr>
      <w:r>
        <w:rPr>
          <w:color w:val="B8972E"/>
          <w:sz w:val="36"/>
        </w:rPr>
        <w:t>10. Assumptions and Tradeoffs</w:t>
      </w:r>
    </w:p>
    <w:tbl>
      <w:tblPr>
        <w:tblStyle w:val="TableGrid"/>
        <w:tblW w:type="auto" w:w="0"/>
        <w:tblLook w:firstColumn="1" w:firstRow="1" w:lastColumn="0" w:lastRow="0" w:noHBand="0" w:noVBand="1" w:val="04A0"/>
      </w:tblPr>
      <w:tblGrid>
        <w:gridCol w:w="2196"/>
        <w:gridCol w:w="2196"/>
        <w:gridCol w:w="2196"/>
        <w:gridCol w:w="2196"/>
      </w:tblGrid>
      <w:tr>
        <w:tc>
          <w:tcPr>
            <w:tcW w:type="dxa" w:w="1872"/>
            <w:shd w:val="clear" w:color="auto" w:fill="1A1D24"/>
          </w:tcPr>
          <w:p>
            <w:r>
              <w:rPr>
                <w:b/>
                <w:color w:val="FFFFFF"/>
                <w:sz w:val="20"/>
              </w:rPr>
              <w:t>Decision</w:t>
            </w:r>
          </w:p>
        </w:tc>
        <w:tc>
          <w:tcPr>
            <w:tcW w:type="dxa" w:w="2304"/>
            <w:shd w:val="clear" w:color="auto" w:fill="1A1D24"/>
          </w:tcPr>
          <w:p>
            <w:r>
              <w:rPr>
                <w:b/>
                <w:color w:val="FFFFFF"/>
                <w:sz w:val="20"/>
              </w:rPr>
              <w:t>Chosen Approach</w:t>
            </w:r>
          </w:p>
        </w:tc>
        <w:tc>
          <w:tcPr>
            <w:tcW w:type="dxa" w:w="2304"/>
            <w:shd w:val="clear" w:color="auto" w:fill="1A1D24"/>
          </w:tcPr>
          <w:p>
            <w:r>
              <w:rPr>
                <w:b/>
                <w:color w:val="FFFFFF"/>
                <w:sz w:val="20"/>
              </w:rPr>
              <w:t>Alternative</w:t>
            </w:r>
          </w:p>
        </w:tc>
        <w:tc>
          <w:tcPr>
            <w:tcW w:type="dxa" w:w="2880"/>
            <w:shd w:val="clear" w:color="auto" w:fill="1A1D24"/>
          </w:tcPr>
          <w:p>
            <w:r>
              <w:rPr>
                <w:b/>
                <w:color w:val="FFFFFF"/>
                <w:sz w:val="20"/>
              </w:rPr>
              <w:t>Reason</w:t>
            </w:r>
          </w:p>
        </w:tc>
      </w:tr>
      <w:tr>
        <w:tc>
          <w:tcPr>
            <w:tcW w:type="dxa" w:w="1872"/>
            <w:shd w:val="clear" w:color="auto" w:fill="F9F9F9"/>
          </w:tcPr>
          <w:p>
            <w:r>
              <w:rPr>
                <w:sz w:val="20"/>
              </w:rPr>
              <w:t>Vector DB</w:t>
            </w:r>
          </w:p>
        </w:tc>
        <w:tc>
          <w:tcPr>
            <w:tcW w:type="dxa" w:w="2304"/>
            <w:shd w:val="clear" w:color="auto" w:fill="F9F9F9"/>
          </w:tcPr>
          <w:p>
            <w:r>
              <w:rPr>
                <w:sz w:val="20"/>
              </w:rPr>
              <w:t>ChromaDB local</w:t>
            </w:r>
          </w:p>
        </w:tc>
        <w:tc>
          <w:tcPr>
            <w:tcW w:type="dxa" w:w="2304"/>
            <w:shd w:val="clear" w:color="auto" w:fill="F9F9F9"/>
          </w:tcPr>
          <w:p>
            <w:r>
              <w:rPr>
                <w:sz w:val="20"/>
              </w:rPr>
              <w:t>Pinecone, Weaviate</w:t>
            </w:r>
          </w:p>
        </w:tc>
        <w:tc>
          <w:tcPr>
            <w:tcW w:type="dxa" w:w="2880"/>
            <w:shd w:val="clear" w:color="auto" w:fill="F9F9F9"/>
          </w:tcPr>
          <w:p>
            <w:r>
              <w:rPr>
                <w:sz w:val="20"/>
              </w:rPr>
              <w:t>Zero infra; swap is one constructor change</w:t>
            </w:r>
          </w:p>
        </w:tc>
      </w:tr>
      <w:tr>
        <w:tc>
          <w:tcPr>
            <w:tcW w:type="dxa" w:w="1872"/>
          </w:tcPr>
          <w:p>
            <w:r>
              <w:rPr>
                <w:sz w:val="20"/>
              </w:rPr>
              <w:t>Embeddings</w:t>
            </w:r>
          </w:p>
        </w:tc>
        <w:tc>
          <w:tcPr>
            <w:tcW w:type="dxa" w:w="2304"/>
          </w:tcPr>
          <w:p>
            <w:r>
              <w:rPr>
                <w:sz w:val="20"/>
              </w:rPr>
              <w:t>sentence-transformers CPU</w:t>
            </w:r>
          </w:p>
        </w:tc>
        <w:tc>
          <w:tcPr>
            <w:tcW w:type="dxa" w:w="2304"/>
          </w:tcPr>
          <w:p>
            <w:r>
              <w:rPr>
                <w:sz w:val="20"/>
              </w:rPr>
              <w:t>OpenAI text-embedding-3-small</w:t>
            </w:r>
          </w:p>
        </w:tc>
        <w:tc>
          <w:tcPr>
            <w:tcW w:type="dxa" w:w="2880"/>
          </w:tcPr>
          <w:p>
            <w:r>
              <w:rPr>
                <w:sz w:val="20"/>
              </w:rPr>
              <w:t>No extra API key; offline capable</w:t>
            </w:r>
          </w:p>
        </w:tc>
      </w:tr>
      <w:tr>
        <w:tc>
          <w:tcPr>
            <w:tcW w:type="dxa" w:w="1872"/>
            <w:shd w:val="clear" w:color="auto" w:fill="F9F9F9"/>
          </w:tcPr>
          <w:p>
            <w:r>
              <w:rPr>
                <w:sz w:val="20"/>
              </w:rPr>
              <w:t>Pattern storage</w:t>
            </w:r>
          </w:p>
        </w:tc>
        <w:tc>
          <w:tcPr>
            <w:tcW w:type="dxa" w:w="2304"/>
            <w:shd w:val="clear" w:color="auto" w:fill="F9F9F9"/>
          </w:tcPr>
          <w:p>
            <w:r>
              <w:rPr>
                <w:sz w:val="20"/>
              </w:rPr>
              <w:t>SQLite</w:t>
            </w:r>
          </w:p>
        </w:tc>
        <w:tc>
          <w:tcPr>
            <w:tcW w:type="dxa" w:w="2304"/>
            <w:shd w:val="clear" w:color="auto" w:fill="F9F9F9"/>
          </w:tcPr>
          <w:p>
            <w:r>
              <w:rPr>
                <w:sz w:val="20"/>
              </w:rPr>
              <w:t>PostgreSQL</w:t>
            </w:r>
          </w:p>
        </w:tc>
        <w:tc>
          <w:tcPr>
            <w:tcW w:type="dxa" w:w="2880"/>
            <w:shd w:val="clear" w:color="auto" w:fill="F9F9F9"/>
          </w:tcPr>
          <w:p>
            <w:r>
              <w:rPr>
                <w:sz w:val="20"/>
              </w:rPr>
              <w:t>Single-file deployment; good for prototype</w:t>
            </w:r>
          </w:p>
        </w:tc>
      </w:tr>
      <w:tr>
        <w:tc>
          <w:tcPr>
            <w:tcW w:type="dxa" w:w="1872"/>
          </w:tcPr>
          <w:p>
            <w:r>
              <w:rPr>
                <w:sz w:val="20"/>
              </w:rPr>
              <w:t>OCR engine</w:t>
            </w:r>
          </w:p>
        </w:tc>
        <w:tc>
          <w:tcPr>
            <w:tcW w:type="dxa" w:w="2304"/>
          </w:tcPr>
          <w:p>
            <w:r>
              <w:rPr>
                <w:sz w:val="20"/>
              </w:rPr>
              <w:t>pytesseract</w:t>
            </w:r>
          </w:p>
        </w:tc>
        <w:tc>
          <w:tcPr>
            <w:tcW w:type="dxa" w:w="2304"/>
          </w:tcPr>
          <w:p>
            <w:r>
              <w:rPr>
                <w:sz w:val="20"/>
              </w:rPr>
              <w:t>AWS Textract, Azure OCR</w:t>
            </w:r>
          </w:p>
        </w:tc>
        <w:tc>
          <w:tcPr>
            <w:tcW w:type="dxa" w:w="2880"/>
          </w:tcPr>
          <w:p>
            <w:r>
              <w:rPr>
                <w:sz w:val="20"/>
              </w:rPr>
              <w:t>Open-source; no cloud dependency</w:t>
            </w:r>
          </w:p>
        </w:tc>
      </w:tr>
      <w:tr>
        <w:tc>
          <w:tcPr>
            <w:tcW w:type="dxa" w:w="1872"/>
            <w:shd w:val="clear" w:color="auto" w:fill="F9F9F9"/>
          </w:tcPr>
          <w:p>
            <w:r>
              <w:rPr>
                <w:sz w:val="20"/>
              </w:rPr>
              <w:t>Draft format</w:t>
            </w:r>
          </w:p>
        </w:tc>
        <w:tc>
          <w:tcPr>
            <w:tcW w:type="dxa" w:w="2304"/>
            <w:shd w:val="clear" w:color="auto" w:fill="F9F9F9"/>
          </w:tcPr>
          <w:p>
            <w:r>
              <w:rPr>
                <w:sz w:val="20"/>
              </w:rPr>
              <w:t>Strict JSON schema</w:t>
            </w:r>
          </w:p>
        </w:tc>
        <w:tc>
          <w:tcPr>
            <w:tcW w:type="dxa" w:w="2304"/>
            <w:shd w:val="clear" w:color="auto" w:fill="F9F9F9"/>
          </w:tcPr>
          <w:p>
            <w:r>
              <w:rPr>
                <w:sz w:val="20"/>
              </w:rPr>
              <w:t>Free-form prose</w:t>
            </w:r>
          </w:p>
        </w:tc>
        <w:tc>
          <w:tcPr>
            <w:tcW w:type="dxa" w:w="2880"/>
            <w:shd w:val="clear" w:color="auto" w:fill="F9F9F9"/>
          </w:tcPr>
          <w:p>
            <w:r>
              <w:rPr>
                <w:sz w:val="20"/>
              </w:rPr>
              <w:t>Machine-verifiable grounding; parseable</w:t>
            </w:r>
          </w:p>
        </w:tc>
      </w:tr>
      <w:tr>
        <w:tc>
          <w:tcPr>
            <w:tcW w:type="dxa" w:w="1872"/>
          </w:tcPr>
          <w:p>
            <w:r>
              <w:rPr>
                <w:sz w:val="20"/>
              </w:rPr>
              <w:t>LLM</w:t>
            </w:r>
          </w:p>
        </w:tc>
        <w:tc>
          <w:tcPr>
            <w:tcW w:type="dxa" w:w="2304"/>
          </w:tcPr>
          <w:p>
            <w:r>
              <w:rPr>
                <w:sz w:val="20"/>
              </w:rPr>
              <w:t>Claude (all stages)</w:t>
            </w:r>
          </w:p>
        </w:tc>
        <w:tc>
          <w:tcPr>
            <w:tcW w:type="dxa" w:w="2304"/>
          </w:tcPr>
          <w:p>
            <w:r>
              <w:rPr>
                <w:sz w:val="20"/>
              </w:rPr>
              <w:t>Separate specialised models</w:t>
            </w:r>
          </w:p>
        </w:tc>
        <w:tc>
          <w:tcPr>
            <w:tcW w:type="dxa" w:w="2880"/>
          </w:tcPr>
          <w:p>
            <w:r>
              <w:rPr>
                <w:sz w:val="20"/>
              </w:rPr>
              <w:t>Single API key; consistent quality</w:t>
            </w:r>
          </w:p>
        </w:tc>
      </w:tr>
    </w:tbl>
    <w:p/>
    <w:p>
      <w:pPr>
        <w:pStyle w:val="Heading2"/>
        <w:spacing w:before="240" w:after="80"/>
      </w:pPr>
      <w:r>
        <w:rPr>
          <w:color w:val="111318"/>
          <w:sz w:val="26"/>
        </w:rPr>
        <w:t>Known Limitations</w:t>
      </w:r>
    </w:p>
    <w:p>
      <w:pPr>
        <w:pStyle w:val="ListBullet"/>
        <w:spacing w:after="40"/>
      </w:pPr>
      <w:r>
        <w:rPr>
          <w:sz w:val="21"/>
        </w:rPr>
        <w:t>Session cache: pipeline._docs is in-memory. After API restart, documents in ChromaDB cannot be drafted without re-ingesting.</w:t>
      </w:r>
    </w:p>
    <w:p>
      <w:pPr>
        <w:pStyle w:val="ListBullet"/>
        <w:spacing w:after="40"/>
      </w:pPr>
      <w:r>
        <w:rPr>
          <w:sz w:val="21"/>
        </w:rPr>
        <w:t>No cross-document retrieval: each draft is anchored to a single doc_id.</w:t>
      </w:r>
    </w:p>
    <w:p>
      <w:pPr>
        <w:pStyle w:val="ListBullet"/>
        <w:spacing w:after="40"/>
      </w:pPr>
      <w:r>
        <w:rPr>
          <w:sz w:val="21"/>
        </w:rPr>
        <w:t>Pattern deduplication is string-based: semantically identical patterns with different descriptions are stored separately.</w:t>
      </w:r>
    </w:p>
    <w:p>
      <w:pPr>
        <w:pStyle w:val="ListBullet"/>
        <w:spacing w:after="40"/>
      </w:pPr>
      <w:r>
        <w:rPr>
          <w:sz w:val="21"/>
        </w:rPr>
        <w:t>No streaming: API returns complete JSON responses.</w:t>
      </w:r>
    </w:p>
    <w:p>
      <w:pPr>
        <w:pStyle w:val="Heading1"/>
        <w:spacing w:before="360" w:after="120"/>
      </w:pPr>
      <w:r>
        <w:rPr>
          <w:color w:val="B8972E"/>
          <w:sz w:val="36"/>
        </w:rPr>
        <w:t>11. Evaluation Results</w:t>
      </w:r>
    </w:p>
    <w:p>
      <w:pPr>
        <w:pStyle w:val="Heading2"/>
        <w:spacing w:before="240" w:after="80"/>
      </w:pPr>
      <w:r>
        <w:rPr>
          <w:color w:val="111318"/>
          <w:sz w:val="26"/>
        </w:rPr>
        <w:t>Stage 1 — Document Processing Coverage</w:t>
      </w:r>
    </w:p>
    <w:tbl>
      <w:tblPr>
        <w:tblStyle w:val="TableGrid"/>
        <w:tblW w:type="auto" w:w="0"/>
        <w:tblLook w:firstColumn="1" w:firstRow="1" w:lastColumn="0" w:lastRow="0" w:noHBand="0" w:noVBand="1" w:val="04A0"/>
      </w:tblPr>
      <w:tblGrid>
        <w:gridCol w:w="2196"/>
        <w:gridCol w:w="2196"/>
        <w:gridCol w:w="2196"/>
        <w:gridCol w:w="2196"/>
      </w:tblGrid>
      <w:tr>
        <w:tc>
          <w:tcPr>
            <w:tcW w:type="dxa" w:w="3600"/>
            <w:shd w:val="clear" w:color="auto" w:fill="1A1D24"/>
          </w:tcPr>
          <w:p>
            <w:r>
              <w:rPr>
                <w:b/>
                <w:color w:val="FFFFFF"/>
                <w:sz w:val="20"/>
              </w:rPr>
              <w:t>Document</w:t>
            </w:r>
          </w:p>
        </w:tc>
        <w:tc>
          <w:tcPr>
            <w:tcW w:type="dxa" w:w="1728"/>
            <w:shd w:val="clear" w:color="auto" w:fill="1A1D24"/>
          </w:tcPr>
          <w:p>
            <w:r>
              <w:rPr>
                <w:b/>
                <w:color w:val="FFFFFF"/>
                <w:sz w:val="20"/>
              </w:rPr>
              <w:t>Method</w:t>
            </w:r>
          </w:p>
        </w:tc>
        <w:tc>
          <w:tcPr>
            <w:tcW w:type="dxa" w:w="1152"/>
            <w:shd w:val="clear" w:color="auto" w:fill="1A1D24"/>
          </w:tcPr>
          <w:p>
            <w:r>
              <w:rPr>
                <w:b/>
                <w:color w:val="FFFFFF"/>
                <w:sz w:val="20"/>
              </w:rPr>
              <w:t>Chunks</w:t>
            </w:r>
          </w:p>
        </w:tc>
        <w:tc>
          <w:tcPr>
            <w:tcW w:type="dxa" w:w="2592"/>
            <w:shd w:val="clear" w:color="auto" w:fill="1A1D24"/>
          </w:tcPr>
          <w:p>
            <w:r>
              <w:rPr>
                <w:b/>
                <w:color w:val="FFFFFF"/>
                <w:sz w:val="20"/>
              </w:rPr>
              <w:t>Fields Populated</w:t>
            </w:r>
          </w:p>
        </w:tc>
      </w:tr>
      <w:tr>
        <w:tc>
          <w:tcPr>
            <w:tcW w:type="dxa" w:w="3600"/>
            <w:shd w:val="clear" w:color="auto" w:fill="F9F9F9"/>
          </w:tcPr>
          <w:p>
            <w:r>
              <w:rPr>
                <w:sz w:val="20"/>
              </w:rPr>
              <w:t>case_001_complaint.txt</w:t>
            </w:r>
          </w:p>
        </w:tc>
        <w:tc>
          <w:tcPr>
            <w:tcW w:type="dxa" w:w="1728"/>
            <w:shd w:val="clear" w:color="auto" w:fill="F9F9F9"/>
          </w:tcPr>
          <w:p>
            <w:r>
              <w:rPr>
                <w:sz w:val="20"/>
              </w:rPr>
              <w:t>text</w:t>
            </w:r>
          </w:p>
        </w:tc>
        <w:tc>
          <w:tcPr>
            <w:tcW w:type="dxa" w:w="1152"/>
            <w:shd w:val="clear" w:color="auto" w:fill="F9F9F9"/>
          </w:tcPr>
          <w:p>
            <w:r>
              <w:rPr>
                <w:sz w:val="20"/>
              </w:rPr>
              <w:t>11</w:t>
            </w:r>
          </w:p>
        </w:tc>
        <w:tc>
          <w:tcPr>
            <w:tcW w:type="dxa" w:w="2592"/>
            <w:shd w:val="clear" w:color="auto" w:fill="F9F9F9"/>
          </w:tcPr>
          <w:p>
            <w:r>
              <w:rPr>
                <w:sz w:val="20"/>
              </w:rPr>
              <w:t>6 / 6 — 100%</w:t>
            </w:r>
          </w:p>
        </w:tc>
      </w:tr>
      <w:tr>
        <w:tc>
          <w:tcPr>
            <w:tcW w:type="dxa" w:w="3600"/>
          </w:tcPr>
          <w:p>
            <w:r>
              <w:rPr>
                <w:sz w:val="20"/>
              </w:rPr>
              <w:t>case_002_contract.txt</w:t>
            </w:r>
          </w:p>
        </w:tc>
        <w:tc>
          <w:tcPr>
            <w:tcW w:type="dxa" w:w="1728"/>
          </w:tcPr>
          <w:p>
            <w:r>
              <w:rPr>
                <w:sz w:val="20"/>
              </w:rPr>
              <w:t>text</w:t>
            </w:r>
          </w:p>
        </w:tc>
        <w:tc>
          <w:tcPr>
            <w:tcW w:type="dxa" w:w="1152"/>
          </w:tcPr>
          <w:p>
            <w:r>
              <w:rPr>
                <w:sz w:val="20"/>
              </w:rPr>
              <w:t>8</w:t>
            </w:r>
          </w:p>
        </w:tc>
        <w:tc>
          <w:tcPr>
            <w:tcW w:type="dxa" w:w="2592"/>
          </w:tcPr>
          <w:p>
            <w:r>
              <w:rPr>
                <w:sz w:val="20"/>
              </w:rPr>
              <w:t>6 / 6 — 100%</w:t>
            </w:r>
          </w:p>
        </w:tc>
      </w:tr>
      <w:tr>
        <w:tc>
          <w:tcPr>
            <w:tcW w:type="dxa" w:w="3600"/>
            <w:shd w:val="clear" w:color="auto" w:fill="F9F9F9"/>
          </w:tcPr>
          <w:p>
            <w:r>
              <w:rPr>
                <w:sz w:val="20"/>
              </w:rPr>
              <w:t>case_003_notice.txt</w:t>
            </w:r>
          </w:p>
        </w:tc>
        <w:tc>
          <w:tcPr>
            <w:tcW w:type="dxa" w:w="1728"/>
            <w:shd w:val="clear" w:color="auto" w:fill="F9F9F9"/>
          </w:tcPr>
          <w:p>
            <w:r>
              <w:rPr>
                <w:sz w:val="20"/>
              </w:rPr>
              <w:t>text</w:t>
            </w:r>
          </w:p>
        </w:tc>
        <w:tc>
          <w:tcPr>
            <w:tcW w:type="dxa" w:w="1152"/>
            <w:shd w:val="clear" w:color="auto" w:fill="F9F9F9"/>
          </w:tcPr>
          <w:p>
            <w:r>
              <w:rPr>
                <w:sz w:val="20"/>
              </w:rPr>
              <w:t>5</w:t>
            </w:r>
          </w:p>
        </w:tc>
        <w:tc>
          <w:tcPr>
            <w:tcW w:type="dxa" w:w="2592"/>
            <w:shd w:val="clear" w:color="auto" w:fill="F9F9F9"/>
          </w:tcPr>
          <w:p>
            <w:r>
              <w:rPr>
                <w:sz w:val="20"/>
              </w:rPr>
              <w:t>5 / 6 — 83% (jurisdiction partial)</w:t>
            </w:r>
          </w:p>
        </w:tc>
      </w:tr>
    </w:tbl>
    <w:p/>
    <w:p>
      <w:pPr>
        <w:pStyle w:val="Heading2"/>
        <w:spacing w:before="240" w:after="80"/>
      </w:pPr>
      <w:r>
        <w:rPr>
          <w:color w:val="111318"/>
          <w:sz w:val="26"/>
        </w:rPr>
        <w:t>Stage 2 — Retrieval Spot-Check (case001)</w:t>
      </w:r>
    </w:p>
    <w:tbl>
      <w:tblPr>
        <w:tblStyle w:val="TableGrid"/>
        <w:tblW w:type="auto" w:w="0"/>
        <w:tblLook w:firstColumn="1" w:firstRow="1" w:lastColumn="0" w:lastRow="0" w:noHBand="0" w:noVBand="1" w:val="04A0"/>
      </w:tblPr>
      <w:tblGrid>
        <w:gridCol w:w="2196"/>
        <w:gridCol w:w="2196"/>
        <w:gridCol w:w="2196"/>
        <w:gridCol w:w="2196"/>
      </w:tblGrid>
      <w:tr>
        <w:tc>
          <w:tcPr>
            <w:tcW w:type="dxa" w:w="864"/>
            <w:shd w:val="clear" w:color="auto" w:fill="1A1D24"/>
          </w:tcPr>
          <w:p>
            <w:r>
              <w:rPr>
                <w:b/>
                <w:color w:val="FFFFFF"/>
                <w:sz w:val="20"/>
              </w:rPr>
              <w:t>Rank</w:t>
            </w:r>
          </w:p>
        </w:tc>
        <w:tc>
          <w:tcPr>
            <w:tcW w:type="dxa" w:w="2592"/>
            <w:shd w:val="clear" w:color="auto" w:fill="1A1D24"/>
          </w:tcPr>
          <w:p>
            <w:r>
              <w:rPr>
                <w:b/>
                <w:color w:val="FFFFFF"/>
                <w:sz w:val="20"/>
              </w:rPr>
              <w:t>Chunk ID</w:t>
            </w:r>
          </w:p>
        </w:tc>
        <w:tc>
          <w:tcPr>
            <w:tcW w:type="dxa" w:w="1152"/>
            <w:shd w:val="clear" w:color="auto" w:fill="1A1D24"/>
          </w:tcPr>
          <w:p>
            <w:r>
              <w:rPr>
                <w:b/>
                <w:color w:val="FFFFFF"/>
                <w:sz w:val="20"/>
              </w:rPr>
              <w:t>Score</w:t>
            </w:r>
          </w:p>
        </w:tc>
        <w:tc>
          <w:tcPr>
            <w:tcW w:type="dxa" w:w="4320"/>
            <w:shd w:val="clear" w:color="auto" w:fill="1A1D24"/>
          </w:tcPr>
          <w:p>
            <w:r>
              <w:rPr>
                <w:b/>
                <w:color w:val="FFFFFF"/>
                <w:sz w:val="20"/>
              </w:rPr>
              <w:t>Content Preview</w:t>
            </w:r>
          </w:p>
        </w:tc>
      </w:tr>
      <w:tr>
        <w:tc>
          <w:tcPr>
            <w:tcW w:type="dxa" w:w="864"/>
            <w:shd w:val="clear" w:color="auto" w:fill="F9F9F9"/>
          </w:tcPr>
          <w:p>
            <w:r>
              <w:rPr>
                <w:sz w:val="20"/>
              </w:rPr>
              <w:t>1</w:t>
            </w:r>
          </w:p>
        </w:tc>
        <w:tc>
          <w:tcPr>
            <w:tcW w:type="dxa" w:w="2592"/>
            <w:shd w:val="clear" w:color="auto" w:fill="F9F9F9"/>
          </w:tcPr>
          <w:p>
            <w:r>
              <w:rPr>
                <w:sz w:val="20"/>
              </w:rPr>
              <w:t>case001__chunk_0</w:t>
            </w:r>
          </w:p>
        </w:tc>
        <w:tc>
          <w:tcPr>
            <w:tcW w:type="dxa" w:w="1152"/>
            <w:shd w:val="clear" w:color="auto" w:fill="F9F9F9"/>
          </w:tcPr>
          <w:p>
            <w:r>
              <w:rPr>
                <w:sz w:val="20"/>
              </w:rPr>
              <w:t>0.41</w:t>
            </w:r>
          </w:p>
        </w:tc>
        <w:tc>
          <w:tcPr>
            <w:tcW w:type="dxa" w:w="4320"/>
            <w:shd w:val="clear" w:color="auto" w:fill="F9F9F9"/>
          </w:tcPr>
          <w:p>
            <w:r>
              <w:rPr>
                <w:sz w:val="20"/>
              </w:rPr>
              <w:t>Court header, parties, claims list</w:t>
            </w:r>
          </w:p>
        </w:tc>
      </w:tr>
      <w:tr>
        <w:tc>
          <w:tcPr>
            <w:tcW w:type="dxa" w:w="864"/>
          </w:tcPr>
          <w:p>
            <w:r>
              <w:rPr>
                <w:sz w:val="20"/>
              </w:rPr>
              <w:t>2</w:t>
            </w:r>
          </w:p>
        </w:tc>
        <w:tc>
          <w:tcPr>
            <w:tcW w:type="dxa" w:w="2592"/>
          </w:tcPr>
          <w:p>
            <w:r>
              <w:rPr>
                <w:sz w:val="20"/>
              </w:rPr>
              <w:t>case001__chunk_1</w:t>
            </w:r>
          </w:p>
        </w:tc>
        <w:tc>
          <w:tcPr>
            <w:tcW w:type="dxa" w:w="1152"/>
          </w:tcPr>
          <w:p>
            <w:r>
              <w:rPr>
                <w:sz w:val="20"/>
              </w:rPr>
              <w:t>0.40</w:t>
            </w:r>
          </w:p>
        </w:tc>
        <w:tc>
          <w:tcPr>
            <w:tcW w:type="dxa" w:w="4320"/>
          </w:tcPr>
          <w:p>
            <w:r>
              <w:rPr>
                <w:sz w:val="20"/>
              </w:rPr>
              <w:t>Jurisdiction and venue allegations</w:t>
            </w:r>
          </w:p>
        </w:tc>
      </w:tr>
      <w:tr>
        <w:tc>
          <w:tcPr>
            <w:tcW w:type="dxa" w:w="864"/>
            <w:shd w:val="clear" w:color="auto" w:fill="F9F9F9"/>
          </w:tcPr>
          <w:p>
            <w:r>
              <w:rPr>
                <w:sz w:val="20"/>
              </w:rPr>
              <w:t>3</w:t>
            </w:r>
          </w:p>
        </w:tc>
        <w:tc>
          <w:tcPr>
            <w:tcW w:type="dxa" w:w="2592"/>
            <w:shd w:val="clear" w:color="auto" w:fill="F9F9F9"/>
          </w:tcPr>
          <w:p>
            <w:r>
              <w:rPr>
                <w:sz w:val="20"/>
              </w:rPr>
              <w:t>case001__chunk_10</w:t>
            </w:r>
          </w:p>
        </w:tc>
        <w:tc>
          <w:tcPr>
            <w:tcW w:type="dxa" w:w="1152"/>
            <w:shd w:val="clear" w:color="auto" w:fill="F9F9F9"/>
          </w:tcPr>
          <w:p>
            <w:r>
              <w:rPr>
                <w:sz w:val="20"/>
              </w:rPr>
              <w:t>0.37</w:t>
            </w:r>
          </w:p>
        </w:tc>
        <w:tc>
          <w:tcPr>
            <w:tcW w:type="dxa" w:w="4320"/>
            <w:shd w:val="clear" w:color="auto" w:fill="F9F9F9"/>
          </w:tcPr>
          <w:p>
            <w:r>
              <w:rPr>
                <w:sz w:val="20"/>
              </w:rPr>
              <w:t>Counsel, filing stamp, missing exhibits</w:t>
            </w:r>
          </w:p>
        </w:tc>
      </w:tr>
      <w:tr>
        <w:tc>
          <w:tcPr>
            <w:tcW w:type="dxa" w:w="864"/>
          </w:tcPr>
          <w:p>
            <w:r>
              <w:rPr>
                <w:sz w:val="20"/>
              </w:rPr>
              <w:t>4</w:t>
            </w:r>
          </w:p>
        </w:tc>
        <w:tc>
          <w:tcPr>
            <w:tcW w:type="dxa" w:w="2592"/>
          </w:tcPr>
          <w:p>
            <w:r>
              <w:rPr>
                <w:sz w:val="20"/>
              </w:rPr>
              <w:t>case001__chunk_9</w:t>
            </w:r>
          </w:p>
        </w:tc>
        <w:tc>
          <w:tcPr>
            <w:tcW w:type="dxa" w:w="1152"/>
          </w:tcPr>
          <w:p>
            <w:r>
              <w:rPr>
                <w:sz w:val="20"/>
              </w:rPr>
              <w:t>0.32</w:t>
            </w:r>
          </w:p>
        </w:tc>
        <w:tc>
          <w:tcPr>
            <w:tcW w:type="dxa" w:w="4320"/>
          </w:tcPr>
          <w:p>
            <w:r>
              <w:rPr>
                <w:sz w:val="20"/>
              </w:rPr>
              <w:t>Damages figure ($2,704,125), prayer for relief</w:t>
            </w:r>
          </w:p>
        </w:tc>
      </w:tr>
      <w:tr>
        <w:tc>
          <w:tcPr>
            <w:tcW w:type="dxa" w:w="864"/>
            <w:shd w:val="clear" w:color="auto" w:fill="F9F9F9"/>
          </w:tcPr>
          <w:p>
            <w:r>
              <w:rPr>
                <w:sz w:val="20"/>
              </w:rPr>
              <w:t>5</w:t>
            </w:r>
          </w:p>
        </w:tc>
        <w:tc>
          <w:tcPr>
            <w:tcW w:type="dxa" w:w="2592"/>
            <w:shd w:val="clear" w:color="auto" w:fill="F9F9F9"/>
          </w:tcPr>
          <w:p>
            <w:r>
              <w:rPr>
                <w:sz w:val="20"/>
              </w:rPr>
              <w:t>case001__chunk_2</w:t>
            </w:r>
          </w:p>
        </w:tc>
        <w:tc>
          <w:tcPr>
            <w:tcW w:type="dxa" w:w="1152"/>
            <w:shd w:val="clear" w:color="auto" w:fill="F9F9F9"/>
          </w:tcPr>
          <w:p>
            <w:r>
              <w:rPr>
                <w:sz w:val="20"/>
              </w:rPr>
              <w:t>0.24</w:t>
            </w:r>
          </w:p>
        </w:tc>
        <w:tc>
          <w:tcPr>
            <w:tcW w:type="dxa" w:w="4320"/>
            <w:shd w:val="clear" w:color="auto" w:fill="F9F9F9"/>
          </w:tcPr>
          <w:p>
            <w:r>
              <w:rPr>
                <w:sz w:val="20"/>
              </w:rPr>
              <w:t>Party descriptions, employment dates</w:t>
            </w:r>
          </w:p>
        </w:tc>
      </w:tr>
    </w:tbl>
    <w:p/>
    <w:p>
      <w:pPr>
        <w:pStyle w:val="Heading2"/>
        <w:spacing w:before="240" w:after="80"/>
      </w:pPr>
      <w:r>
        <w:rPr>
          <w:color w:val="111318"/>
          <w:sz w:val="26"/>
        </w:rPr>
        <w:t>Stage 4 — Pattern Adoption Rate</w:t>
      </w:r>
    </w:p>
    <w:tbl>
      <w:tblPr>
        <w:tblStyle w:val="TableGrid"/>
        <w:tblW w:type="auto" w:w="0"/>
        <w:tblLook w:firstColumn="1" w:firstRow="1" w:lastColumn="0" w:lastRow="0" w:noHBand="0" w:noVBand="1" w:val="04A0"/>
      </w:tblPr>
      <w:tblGrid>
        <w:gridCol w:w="4392"/>
        <w:gridCol w:w="4392"/>
      </w:tblGrid>
      <w:tr>
        <w:tc>
          <w:tcPr>
            <w:tcW w:type="dxa" w:w="5040"/>
            <w:shd w:val="clear" w:color="auto" w:fill="1A1D24"/>
          </w:tcPr>
          <w:p>
            <w:r>
              <w:rPr>
                <w:b/>
                <w:color w:val="FFFFFF"/>
                <w:sz w:val="20"/>
              </w:rPr>
              <w:t>Pattern</w:t>
            </w:r>
          </w:p>
        </w:tc>
        <w:tc>
          <w:tcPr>
            <w:tcW w:type="dxa" w:w="3600"/>
            <w:shd w:val="clear" w:color="auto" w:fill="1A1D24"/>
          </w:tcPr>
          <w:p>
            <w:r>
              <w:rPr>
                <w:b/>
                <w:color w:val="FFFFFF"/>
                <w:sz w:val="20"/>
              </w:rPr>
              <w:t>Adopted in v2?</w:t>
            </w:r>
          </w:p>
        </w:tc>
      </w:tr>
      <w:tr>
        <w:tc>
          <w:tcPr>
            <w:tcW w:type="dxa" w:w="5040"/>
            <w:shd w:val="clear" w:color="auto" w:fill="F9F9F9"/>
          </w:tcPr>
          <w:p>
            <w:r>
              <w:rPr>
                <w:sz w:val="20"/>
              </w:rPr>
              <w:t>Add case_reference header field</w:t>
            </w:r>
          </w:p>
        </w:tc>
        <w:tc>
          <w:tcPr>
            <w:tcW w:type="dxa" w:w="3600"/>
            <w:shd w:val="clear" w:color="auto" w:fill="F9F9F9"/>
          </w:tcPr>
          <w:p>
            <w:r>
              <w:rPr>
                <w:sz w:val="20"/>
              </w:rPr>
              <w:t>Yes — field present in v2</w:t>
            </w:r>
          </w:p>
        </w:tc>
      </w:tr>
      <w:tr>
        <w:tc>
          <w:tcPr>
            <w:tcW w:type="dxa" w:w="5040"/>
          </w:tcPr>
          <w:p>
            <w:r>
              <w:rPr>
                <w:sz w:val="20"/>
              </w:rPr>
              <w:t>Normalise dates to ISO 8601</w:t>
            </w:r>
          </w:p>
        </w:tc>
        <w:tc>
          <w:tcPr>
            <w:tcW w:type="dxa" w:w="3600"/>
          </w:tcPr>
          <w:p>
            <w:r>
              <w:rPr>
                <w:sz w:val="20"/>
              </w:rPr>
              <w:t>Yes — all dates in YYYY-MM-DD</w:t>
            </w:r>
          </w:p>
        </w:tc>
      </w:tr>
      <w:tr>
        <w:tc>
          <w:tcPr>
            <w:tcW w:type="dxa" w:w="5040"/>
            <w:shd w:val="clear" w:color="auto" w:fill="F9F9F9"/>
          </w:tcPr>
          <w:p>
            <w:r>
              <w:rPr>
                <w:sz w:val="20"/>
              </w:rPr>
              <w:t>Wrap evidence_quote in double-quotes</w:t>
            </w:r>
          </w:p>
        </w:tc>
        <w:tc>
          <w:tcPr>
            <w:tcW w:type="dxa" w:w="3600"/>
            <w:shd w:val="clear" w:color="auto" w:fill="F9F9F9"/>
          </w:tcPr>
          <w:p>
            <w:r>
              <w:rPr>
                <w:sz w:val="20"/>
              </w:rPr>
              <w:t>Yes — quotes wrapped</w:t>
            </w:r>
          </w:p>
        </w:tc>
      </w:tr>
      <w:tr>
        <w:tc>
          <w:tcPr>
            <w:tcW w:type="dxa" w:w="5040"/>
          </w:tcPr>
          <w:p>
            <w:r>
              <w:rPr>
                <w:sz w:val="20"/>
              </w:rPr>
              <w:t>Trim analyst_notes to one sentence</w:t>
            </w:r>
          </w:p>
        </w:tc>
        <w:tc>
          <w:tcPr>
            <w:tcW w:type="dxa" w:w="3600"/>
          </w:tcPr>
          <w:p>
            <w:r>
              <w:rPr>
                <w:sz w:val="20"/>
              </w:rPr>
              <w:t>Yes — single sentence only</w:t>
            </w:r>
          </w:p>
        </w:tc>
      </w:tr>
      <w:tr>
        <w:tc>
          <w:tcPr>
            <w:tcW w:type="dxa" w:w="5040"/>
            <w:shd w:val="clear" w:color="auto" w:fill="F9F9F9"/>
          </w:tcPr>
          <w:p>
            <w:r>
              <w:rPr>
                <w:sz w:val="20"/>
              </w:rPr>
              <w:t>Promote jurisdiction to filing_jurisdiction</w:t>
            </w:r>
          </w:p>
        </w:tc>
        <w:tc>
          <w:tcPr>
            <w:tcW w:type="dxa" w:w="3600"/>
            <w:shd w:val="clear" w:color="auto" w:fill="F9F9F9"/>
          </w:tcPr>
          <w:p>
            <w:r>
              <w:rPr>
                <w:sz w:val="20"/>
              </w:rPr>
              <w:t>Yes — top-level field added</w:t>
            </w:r>
          </w:p>
        </w:tc>
      </w:tr>
    </w:tbl>
    <w:p/>
    <w:p>
      <w:pPr>
        <w:spacing w:after="80"/>
      </w:pPr>
      <w:r>
        <w:rPr>
          <w:b/>
          <w:sz w:val="21"/>
        </w:rPr>
        <w:t>Result: 5 / 5 patterns adopted — 100% pattern adoption rate on simulated edits.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