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E3A5F"/>
          <w:sz w:val="44"/>
          <w:szCs w:val="44"/>
        </w:rPr>
        <w:t xml:space="preserve">WESTERN UNION MOBILE APP</w:t>
      </w:r>
    </w:p>
    <w:p>
      <w:pPr>
        <w:spacing w:after="40"/>
        <w:jc w:val="center"/>
      </w:pPr>
      <w:r>
        <w:rPr>
          <w:b/>
          <w:bCs/>
          <w:color w:val="C8102E"/>
          <w:sz w:val="26"/>
          <w:szCs w:val="26"/>
        </w:rPr>
        <w:t xml:space="preserve">Functionality &amp; Feature Landscape — Current State Report</w:t>
      </w:r>
    </w:p>
    <w:p>
      <w:pPr>
        <w:spacing w:after="300"/>
        <w:jc w:val="center"/>
      </w:pPr>
      <w:r>
        <w:rPr>
          <w:i/>
          <w:iCs/>
          <w:color w:val="595959"/>
          <w:sz w:val="19"/>
          <w:szCs w:val="19"/>
        </w:rPr>
        <w:t xml:space="preserve">Prepared July 31, 2026</w:t>
      </w:r>
    </w:p>
    <w:p>
      <w:pPr>
        <w:pStyle w:val="Heading1"/>
        <w:pBdr>
          <w:bottom w:val="single" w:color="1E3A5F" w:sz="6" w:space="4"/>
        </w:pBdr>
        <w:spacing w:after="160" w:before="360"/>
      </w:pPr>
      <w:r>
        <w:rPr>
          <w:b/>
          <w:bCs/>
          <w:color w:val="1E3A5F"/>
          <w:sz w:val="30"/>
          <w:szCs w:val="30"/>
        </w:rPr>
        <w:t xml:space="preserve">1. Executive Summary</w:t>
      </w:r>
    </w:p>
    <w:p>
      <w:pPr>
        <w:spacing w:after="120" w:line="276"/>
      </w:pPr>
      <w:r>
        <w:rPr>
          <w:sz w:val="21"/>
          <w:szCs w:val="21"/>
        </w:rPr>
        <w:t xml:space="preserve">Western Union's mobile app has evolved from a simple "send and track" utility into a broader financial-services entry point that combines cross-border remittance, a digital wallet/bank account, bill payment, and — as of mid-2026 — early stablecoin infrastructure. The app remains anchored in Western Union's historic strength: an agent network of roughly 360,000 physical locations across 200+ countries and territories, layered with digital-first account features aimed at competing with fintech remitters like Wise, Remitly, and Xoom.</w:t>
      </w:r>
    </w:p>
    <w:p>
      <w:pPr>
        <w:spacing w:after="120" w:line="276"/>
      </w:pPr>
      <w:r>
        <w:rPr>
          <w:sz w:val="21"/>
          <w:szCs w:val="21"/>
        </w:rPr>
        <w:t xml:space="preserve">Public app-store ratings are generally strong (commonly cited around 4.7–4.8 on iOS and mid-to-high 4-star on Android across regional listings), though user reviews consistently surface friction around identity verification (KYC) delays, occasional login/account-linking bugs, and customer service responsiveness. The company is not a single monolithic app: Western Union operates a family of related apps (core money-transfer app, Self Service, Digital Banking/WU+, and country-specific wallet apps), which fragments the experience but lets it target different regulatory and market needs.</w:t>
      </w:r>
    </w:p>
    <w:p>
      <w:pPr>
        <w:pStyle w:val="Heading1"/>
        <w:pBdr>
          <w:bottom w:val="single" w:color="1E3A5F" w:sz="6" w:space="4"/>
        </w:pBdr>
        <w:spacing w:after="160" w:before="360"/>
      </w:pPr>
      <w:r>
        <w:rPr>
          <w:b/>
          <w:bCs/>
          <w:color w:val="1E3A5F"/>
          <w:sz w:val="30"/>
          <w:szCs w:val="30"/>
        </w:rPr>
        <w:t xml:space="preserve">2. The Western Union App Portfolio</w:t>
      </w:r>
    </w:p>
    <w:p>
      <w:pPr>
        <w:spacing w:after="120" w:line="276"/>
      </w:pPr>
      <w:r>
        <w:rPr>
          <w:sz w:val="21"/>
          <w:szCs w:val="21"/>
        </w:rPr>
        <w:t xml:space="preserve">Rather than one app, Western Union maintains several distinct mobile products under its brand. This is an important starting point for any functional analysis, since feature sets differ by app and by country: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200"/>
      </w:tblGrid>
      <w:tr>
        <w:trPr>
          <w:tblHeader/>
        </w:trPr>
        <w:tc>
          <w:tcPr>
            <w:tcW w:type="dxa" w:w="3400"/>
            <w:shd w:fill="1E3A5F" w:color="auto" w:val="clear"/>
            <w:tcMar>
              <w:top w:type="dxa" w:w="80"/>
              <w:left w:type="dxa" w:w="100"/>
              <w:bottom w:type="dxa" w:w="80"/>
              <w:right w:type="dxa" w:w="100"/>
            </w:tcMar>
          </w:tcPr>
          <w:p>
            <w:pPr>
              <w:jc w:val="left"/>
            </w:pPr>
            <w:r>
              <w:rPr>
                <w:b/>
                <w:bCs/>
                <w:color w:val="FFFFFF"/>
                <w:sz w:val="19"/>
                <w:szCs w:val="19"/>
              </w:rPr>
              <w:t xml:space="preserve">App</w:t>
            </w:r>
          </w:p>
        </w:tc>
        <w:tc>
          <w:tcPr>
            <w:tcW w:type="dxa" w:w="3000"/>
            <w:shd w:fill="1E3A5F" w:color="auto" w:val="clear"/>
            <w:tcMar>
              <w:top w:type="dxa" w:w="80"/>
              <w:left w:type="dxa" w:w="100"/>
              <w:bottom w:type="dxa" w:w="80"/>
              <w:right w:type="dxa" w:w="100"/>
            </w:tcMar>
          </w:tcPr>
          <w:p>
            <w:pPr>
              <w:jc w:val="left"/>
            </w:pPr>
            <w:r>
              <w:rPr>
                <w:b/>
                <w:bCs/>
                <w:color w:val="FFFFFF"/>
                <w:sz w:val="19"/>
                <w:szCs w:val="19"/>
              </w:rPr>
              <w:t xml:space="preserve">Primary Purpose</w:t>
            </w:r>
          </w:p>
        </w:tc>
        <w:tc>
          <w:tcPr>
            <w:tcW w:type="dxa" w:w="3200"/>
            <w:shd w:fill="1E3A5F" w:color="auto" w:val="clear"/>
            <w:tcMar>
              <w:top w:type="dxa" w:w="80"/>
              <w:left w:type="dxa" w:w="100"/>
              <w:bottom w:type="dxa" w:w="80"/>
              <w:right w:type="dxa" w:w="100"/>
            </w:tcMar>
          </w:tcPr>
          <w:p>
            <w:pPr>
              <w:jc w:val="left"/>
            </w:pPr>
            <w:r>
              <w:rPr>
                <w:b/>
                <w:bCs/>
                <w:color w:val="FFFFFF"/>
                <w:sz w:val="19"/>
                <w:szCs w:val="19"/>
              </w:rPr>
              <w:t xml:space="preserve">Representative Features</w:t>
            </w:r>
          </w:p>
        </w:tc>
      </w:tr>
      <w:tr>
        <w:tc>
          <w:tcPr>
            <w:tcW w:type="dxa" w:w="3400"/>
            <w:tcMar>
              <w:top w:type="dxa" w:w="80"/>
              <w:left w:type="dxa" w:w="100"/>
              <w:bottom w:type="dxa" w:w="80"/>
              <w:right w:type="dxa" w:w="100"/>
            </w:tcMar>
          </w:tcPr>
          <w:p>
            <w:pPr>
              <w:jc w:val="left"/>
            </w:pPr>
            <w:r>
              <w:rPr>
                <w:b w:val="false"/>
                <w:bCs w:val="false"/>
                <w:color w:val="000000"/>
                <w:sz w:val="19"/>
                <w:szCs w:val="19"/>
              </w:rPr>
              <w:t xml:space="preserve">Western Union — Send Money / Money Transfer app</w:t>
            </w:r>
          </w:p>
        </w:tc>
        <w:tc>
          <w:tcPr>
            <w:tcW w:type="dxa" w:w="3000"/>
            <w:tcMar>
              <w:top w:type="dxa" w:w="80"/>
              <w:left w:type="dxa" w:w="100"/>
              <w:bottom w:type="dxa" w:w="80"/>
              <w:right w:type="dxa" w:w="100"/>
            </w:tcMar>
          </w:tcPr>
          <w:p>
            <w:pPr>
              <w:jc w:val="left"/>
            </w:pPr>
            <w:r>
              <w:rPr>
                <w:b w:val="false"/>
                <w:bCs w:val="false"/>
                <w:color w:val="000000"/>
                <w:sz w:val="19"/>
                <w:szCs w:val="19"/>
              </w:rPr>
              <w:t xml:space="preserve">Core international remittance app (flagship, most-downloaded)</w:t>
            </w:r>
          </w:p>
        </w:tc>
        <w:tc>
          <w:tcPr>
            <w:tcW w:type="dxa" w:w="3200"/>
            <w:tcMar>
              <w:top w:type="dxa" w:w="80"/>
              <w:left w:type="dxa" w:w="100"/>
              <w:bottom w:type="dxa" w:w="80"/>
              <w:right w:type="dxa" w:w="100"/>
            </w:tcMar>
          </w:tcPr>
          <w:p>
            <w:pPr>
              <w:jc w:val="left"/>
            </w:pPr>
            <w:r>
              <w:rPr>
                <w:b w:val="false"/>
                <w:bCs w:val="false"/>
                <w:color w:val="000000"/>
                <w:sz w:val="19"/>
                <w:szCs w:val="19"/>
              </w:rPr>
              <w:t xml:space="preserve">Send/track transfers, exchange-rate widget, card scanning, bill pay, agent locator, MTCN tracking</w:t>
            </w:r>
          </w:p>
        </w:tc>
      </w:tr>
      <w:tr>
        <w:tc>
          <w:tcPr>
            <w:tcW w:type="dxa" w:w="3400"/>
            <w:shd w:fill="F2F2F2" w:color="auto" w:val="clear"/>
            <w:tcMar>
              <w:top w:type="dxa" w:w="80"/>
              <w:left w:type="dxa" w:w="100"/>
              <w:bottom w:type="dxa" w:w="80"/>
              <w:right w:type="dxa" w:w="100"/>
            </w:tcMar>
          </w:tcPr>
          <w:p>
            <w:pPr>
              <w:jc w:val="left"/>
            </w:pPr>
            <w:r>
              <w:rPr>
                <w:b w:val="false"/>
                <w:bCs w:val="false"/>
                <w:color w:val="000000"/>
                <w:sz w:val="19"/>
                <w:szCs w:val="19"/>
              </w:rPr>
              <w:t xml:space="preserve">Western Union: Self Service</w:t>
            </w:r>
          </w:p>
        </w:tc>
        <w:tc>
          <w:tcPr>
            <w:tcW w:type="dxa" w:w="3000"/>
            <w:shd w:fill="F2F2F2" w:color="auto" w:val="clear"/>
            <w:tcMar>
              <w:top w:type="dxa" w:w="80"/>
              <w:left w:type="dxa" w:w="100"/>
              <w:bottom w:type="dxa" w:w="80"/>
              <w:right w:type="dxa" w:w="100"/>
            </w:tcMar>
          </w:tcPr>
          <w:p>
            <w:pPr>
              <w:jc w:val="left"/>
            </w:pPr>
            <w:r>
              <w:rPr>
                <w:b w:val="false"/>
                <w:bCs w:val="false"/>
                <w:color w:val="000000"/>
                <w:sz w:val="19"/>
                <w:szCs w:val="19"/>
              </w:rPr>
              <w:t xml:space="preserve">Lightweight utility companion app</w:t>
            </w:r>
          </w:p>
        </w:tc>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Request money, track by MTCN, redirect cash transfers to bank, agent locator</w:t>
            </w:r>
          </w:p>
        </w:tc>
      </w:tr>
      <w:tr>
        <w:tc>
          <w:tcPr>
            <w:tcW w:type="dxa" w:w="3400"/>
            <w:tcMar>
              <w:top w:type="dxa" w:w="80"/>
              <w:left w:type="dxa" w:w="100"/>
              <w:bottom w:type="dxa" w:w="80"/>
              <w:right w:type="dxa" w:w="100"/>
            </w:tcMar>
          </w:tcPr>
          <w:p>
            <w:pPr>
              <w:jc w:val="left"/>
            </w:pPr>
            <w:r>
              <w:rPr>
                <w:b w:val="false"/>
                <w:bCs w:val="false"/>
                <w:color w:val="000000"/>
                <w:sz w:val="19"/>
                <w:szCs w:val="19"/>
              </w:rPr>
              <w:t xml:space="preserve">Western Union Digital Banking (WU+)</w:t>
            </w:r>
          </w:p>
        </w:tc>
        <w:tc>
          <w:tcPr>
            <w:tcW w:type="dxa" w:w="3000"/>
            <w:tcMar>
              <w:top w:type="dxa" w:w="80"/>
              <w:left w:type="dxa" w:w="100"/>
              <w:bottom w:type="dxa" w:w="80"/>
              <w:right w:type="dxa" w:w="100"/>
            </w:tcMar>
          </w:tcPr>
          <w:p>
            <w:pPr>
              <w:jc w:val="left"/>
            </w:pPr>
            <w:r>
              <w:rPr>
                <w:b w:val="false"/>
                <w:bCs w:val="false"/>
                <w:color w:val="000000"/>
                <w:sz w:val="19"/>
                <w:szCs w:val="19"/>
              </w:rPr>
              <w:t xml:space="preserve">Full digital bank account layered on the transfer network</w:t>
            </w:r>
          </w:p>
        </w:tc>
        <w:tc>
          <w:tcPr>
            <w:tcW w:type="dxa" w:w="3200"/>
            <w:tcMar>
              <w:top w:type="dxa" w:w="80"/>
              <w:left w:type="dxa" w:w="100"/>
              <w:bottom w:type="dxa" w:w="80"/>
              <w:right w:type="dxa" w:w="100"/>
            </w:tcMar>
          </w:tcPr>
          <w:p>
            <w:pPr>
              <w:jc w:val="left"/>
            </w:pPr>
            <w:r>
              <w:rPr>
                <w:b w:val="false"/>
                <w:bCs w:val="false"/>
                <w:color w:val="000000"/>
                <w:sz w:val="19"/>
                <w:szCs w:val="19"/>
              </w:rPr>
              <w:t xml:space="preserve">Free current/savings accounts, Visa debit card, multi-currency sub-accounts, fee-free transfers between WU+ users</w:t>
            </w:r>
          </w:p>
        </w:tc>
      </w:tr>
      <w:tr>
        <w:tc>
          <w:tcPr>
            <w:tcW w:type="dxa" w:w="3400"/>
            <w:shd w:fill="F2F2F2" w:color="auto" w:val="clear"/>
            <w:tcMar>
              <w:top w:type="dxa" w:w="80"/>
              <w:left w:type="dxa" w:w="100"/>
              <w:bottom w:type="dxa" w:w="80"/>
              <w:right w:type="dxa" w:w="100"/>
            </w:tcMar>
          </w:tcPr>
          <w:p>
            <w:pPr>
              <w:jc w:val="left"/>
            </w:pPr>
            <w:r>
              <w:rPr>
                <w:b w:val="false"/>
                <w:bCs w:val="false"/>
                <w:color w:val="000000"/>
                <w:sz w:val="19"/>
                <w:szCs w:val="19"/>
              </w:rPr>
              <w:t xml:space="preserve">Western Union Receive Money / regional wallet apps</w:t>
            </w:r>
          </w:p>
        </w:tc>
        <w:tc>
          <w:tcPr>
            <w:tcW w:type="dxa" w:w="3000"/>
            <w:shd w:fill="F2F2F2" w:color="auto" w:val="clear"/>
            <w:tcMar>
              <w:top w:type="dxa" w:w="80"/>
              <w:left w:type="dxa" w:w="100"/>
              <w:bottom w:type="dxa" w:w="80"/>
              <w:right w:type="dxa" w:w="100"/>
            </w:tcMar>
          </w:tcPr>
          <w:p>
            <w:pPr>
              <w:jc w:val="left"/>
            </w:pPr>
            <w:r>
              <w:rPr>
                <w:b w:val="false"/>
                <w:bCs w:val="false"/>
                <w:color w:val="000000"/>
                <w:sz w:val="19"/>
                <w:szCs w:val="19"/>
              </w:rPr>
              <w:t xml:space="preserve">Country-specific digital-wallet variants (e.g., Brazil)</w:t>
            </w:r>
          </w:p>
        </w:tc>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Digital account, virtual &amp; physical cards, bill payments, ATM withdrawal</w:t>
            </w:r>
          </w:p>
        </w:tc>
      </w:tr>
      <w:tr>
        <w:tc>
          <w:tcPr>
            <w:tcW w:type="dxa" w:w="3400"/>
            <w:tcMar>
              <w:top w:type="dxa" w:w="80"/>
              <w:left w:type="dxa" w:w="100"/>
              <w:bottom w:type="dxa" w:w="80"/>
              <w:right w:type="dxa" w:w="100"/>
            </w:tcMar>
          </w:tcPr>
          <w:p>
            <w:pPr>
              <w:jc w:val="left"/>
            </w:pPr>
            <w:r>
              <w:rPr>
                <w:b w:val="false"/>
                <w:bCs w:val="false"/>
                <w:color w:val="000000"/>
                <w:sz w:val="19"/>
                <w:szCs w:val="19"/>
              </w:rPr>
              <w:t xml:space="preserve">Partner-embedded WU services (e.g., ML Wallet in the Philippines)</w:t>
            </w:r>
          </w:p>
        </w:tc>
        <w:tc>
          <w:tcPr>
            <w:tcW w:type="dxa" w:w="3000"/>
            <w:tcMar>
              <w:top w:type="dxa" w:w="80"/>
              <w:left w:type="dxa" w:w="100"/>
              <w:bottom w:type="dxa" w:w="80"/>
              <w:right w:type="dxa" w:w="100"/>
            </w:tcMar>
          </w:tcPr>
          <w:p>
            <w:pPr>
              <w:jc w:val="left"/>
            </w:pPr>
            <w:r>
              <w:rPr>
                <w:b w:val="false"/>
                <w:bCs w:val="false"/>
                <w:color w:val="000000"/>
                <w:sz w:val="19"/>
                <w:szCs w:val="19"/>
              </w:rPr>
              <w:t xml:space="preserve">WU payout/send rails embedded inside third-party wallets</w:t>
            </w:r>
          </w:p>
        </w:tc>
        <w:tc>
          <w:tcPr>
            <w:tcW w:type="dxa" w:w="3200"/>
            <w:tcMar>
              <w:top w:type="dxa" w:w="80"/>
              <w:left w:type="dxa" w:w="100"/>
              <w:bottom w:type="dxa" w:w="80"/>
              <w:right w:type="dxa" w:w="100"/>
            </w:tcMar>
          </w:tcPr>
          <w:p>
            <w:pPr>
              <w:jc w:val="left"/>
            </w:pPr>
            <w:r>
              <w:rPr>
                <w:b w:val="false"/>
                <w:bCs w:val="false"/>
                <w:color w:val="000000"/>
                <w:sz w:val="19"/>
                <w:szCs w:val="19"/>
              </w:rPr>
              <w:t xml:space="preserve">Receive (and increasingly send) WU transfers from within a local partner app</w:t>
            </w:r>
          </w:p>
        </w:tc>
      </w:tr>
    </w:tbl>
    <w:p>
      <w:pPr>
        <w:spacing w:after="200"/>
      </w:pPr>
      <w:r>
        <w:rPr>
          <w:i/>
          <w:iCs/>
          <w:color w:val="595959"/>
          <w:sz w:val="18"/>
          <w:szCs w:val="18"/>
        </w:rPr>
        <w:t xml:space="preserve">Feature availability varies by country/regulatory license; not all features are present in every market or app variant.</w:t>
      </w:r>
    </w:p>
    <w:p>
      <w:pPr>
        <w:pStyle w:val="Heading1"/>
        <w:pBdr>
          <w:bottom w:val="single" w:color="1E3A5F" w:sz="6" w:space="4"/>
        </w:pBdr>
        <w:spacing w:after="160" w:before="360"/>
      </w:pPr>
      <w:r>
        <w:rPr>
          <w:b/>
          <w:bCs/>
          <w:color w:val="1E3A5F"/>
          <w:sz w:val="30"/>
          <w:szCs w:val="30"/>
        </w:rPr>
        <w:t xml:space="preserve">3. Core Money-Transfer Functionality</w:t>
      </w:r>
    </w:p>
    <w:p>
      <w:pPr>
        <w:pStyle w:val="Heading2"/>
        <w:spacing w:after="120" w:before="260"/>
      </w:pPr>
      <w:r>
        <w:rPr>
          <w:b/>
          <w:bCs/>
          <w:color w:val="C8102E"/>
          <w:sz w:val="24"/>
          <w:szCs w:val="24"/>
        </w:rPr>
        <w:t xml:space="preserve">3.1 Sending Money</w:t>
      </w:r>
    </w:p>
    <w:p>
      <w:pPr>
        <w:pStyle w:val="ListParagraph"/>
        <w:numPr>
          <w:ilvl w:val="0"/>
          <w:numId w:val="2"/>
        </w:numPr>
        <w:spacing w:after="100"/>
      </w:pPr>
      <w:r>
        <w:rPr>
          <w:b/>
          <w:bCs/>
          <w:sz w:val="21"/>
          <w:szCs w:val="21"/>
        </w:rPr>
        <w:t xml:space="preserve">Global reach: </w:t>
      </w:r>
      <w:r>
        <w:rPr>
          <w:sz w:val="21"/>
          <w:szCs w:val="21"/>
        </w:rPr>
        <w:t xml:space="preserve">transfers to over 200 countries and territories in 130+ currencies, via bank deposit, cash pickup, or mobile wallet delivery.</w:t>
      </w:r>
    </w:p>
    <w:p>
      <w:pPr>
        <w:pStyle w:val="ListParagraph"/>
        <w:numPr>
          <w:ilvl w:val="0"/>
          <w:numId w:val="2"/>
        </w:numPr>
        <w:spacing w:after="100"/>
      </w:pPr>
      <w:r>
        <w:rPr>
          <w:b/>
          <w:bCs/>
          <w:sz w:val="21"/>
          <w:szCs w:val="21"/>
        </w:rPr>
        <w:t xml:space="preserve">Multiple funding methods: </w:t>
      </w:r>
      <w:r>
        <w:rPr>
          <w:sz w:val="21"/>
          <w:szCs w:val="21"/>
        </w:rPr>
        <w:t xml:space="preserve">bank account debit, credit/debit card, cash-at-agent (start online, pay in cash at a participating location), and integration with Apple Pay/Google Pay in supported markets.</w:t>
      </w:r>
    </w:p>
    <w:p>
      <w:pPr>
        <w:pStyle w:val="ListParagraph"/>
        <w:numPr>
          <w:ilvl w:val="0"/>
          <w:numId w:val="2"/>
        </w:numPr>
        <w:spacing w:after="100"/>
      </w:pPr>
      <w:r>
        <w:rPr>
          <w:b/>
          <w:bCs/>
          <w:sz w:val="21"/>
          <w:szCs w:val="21"/>
        </w:rPr>
        <w:t xml:space="preserve">Card scanning: </w:t>
      </w:r>
      <w:r>
        <w:rPr>
          <w:sz w:val="21"/>
          <w:szCs w:val="21"/>
        </w:rPr>
        <w:t xml:space="preserve">camera-based card capture to auto-fill payment details and reduce entry errors.</w:t>
      </w:r>
    </w:p>
    <w:p>
      <w:pPr>
        <w:pStyle w:val="ListParagraph"/>
        <w:numPr>
          <w:ilvl w:val="0"/>
          <w:numId w:val="2"/>
        </w:numPr>
        <w:spacing w:after="100"/>
      </w:pPr>
      <w:r>
        <w:rPr>
          <w:b/>
          <w:bCs/>
          <w:sz w:val="21"/>
          <w:szCs w:val="21"/>
        </w:rPr>
        <w:t xml:space="preserve">Contact import &amp; saved recipients: </w:t>
      </w:r>
      <w:r>
        <w:rPr>
          <w:sz w:val="21"/>
          <w:szCs w:val="21"/>
        </w:rPr>
        <w:t xml:space="preserve">a "resend" list stores past receiver details for one-tap repeat transfers.</w:t>
      </w:r>
    </w:p>
    <w:p>
      <w:pPr>
        <w:pStyle w:val="ListParagraph"/>
        <w:numPr>
          <w:ilvl w:val="0"/>
          <w:numId w:val="2"/>
        </w:numPr>
        <w:spacing w:after="100"/>
      </w:pPr>
      <w:r>
        <w:rPr>
          <w:b/>
          <w:bCs/>
          <w:sz w:val="21"/>
          <w:szCs w:val="21"/>
        </w:rPr>
        <w:t xml:space="preserve">Live exchange-rate widget: </w:t>
      </w:r>
      <w:r>
        <w:rPr>
          <w:sz w:val="21"/>
          <w:szCs w:val="21"/>
        </w:rPr>
        <w:t xml:space="preserve">in-app FX comparison tool showing current rates before committing to a transfer.</w:t>
      </w:r>
    </w:p>
    <w:p>
      <w:pPr>
        <w:pStyle w:val="ListParagraph"/>
        <w:numPr>
          <w:ilvl w:val="0"/>
          <w:numId w:val="2"/>
        </w:numPr>
        <w:spacing w:after="100"/>
      </w:pPr>
      <w:r>
        <w:rPr>
          <w:b/>
          <w:bCs/>
          <w:sz w:val="21"/>
          <w:szCs w:val="21"/>
        </w:rPr>
        <w:t xml:space="preserve">Upfront fee/rate transparency: </w:t>
      </w:r>
      <w:r>
        <w:rPr>
          <w:sz w:val="21"/>
          <w:szCs w:val="21"/>
        </w:rPr>
        <w:t xml:space="preserve">the receive amount and fee are shown prior to confirmation, which several third-party reviewers rate favorably versus apps that reveal markup only after send.</w:t>
      </w:r>
    </w:p>
    <w:p>
      <w:pPr>
        <w:pStyle w:val="Heading2"/>
        <w:spacing w:after="120" w:before="260"/>
      </w:pPr>
      <w:r>
        <w:rPr>
          <w:b/>
          <w:bCs/>
          <w:color w:val="C8102E"/>
          <w:sz w:val="24"/>
          <w:szCs w:val="24"/>
        </w:rPr>
        <w:t xml:space="preserve">3.2 Tracking &amp; Post-Send Management</w:t>
      </w:r>
    </w:p>
    <w:p>
      <w:pPr>
        <w:pStyle w:val="ListParagraph"/>
        <w:numPr>
          <w:ilvl w:val="0"/>
          <w:numId w:val="2"/>
        </w:numPr>
        <w:spacing w:after="100"/>
      </w:pPr>
      <w:r>
        <w:rPr>
          <w:b/>
          <w:bCs/>
          <w:sz w:val="21"/>
          <w:szCs w:val="21"/>
        </w:rPr>
        <w:t xml:space="preserve">MTCN tracking: </w:t>
      </w:r>
      <w:r>
        <w:rPr>
          <w:sz w:val="21"/>
          <w:szCs w:val="21"/>
        </w:rPr>
        <w:t xml:space="preserve">every transfer generates a Money Transfer Control Number usable by sender or receiver to check real-time status online or in-app.</w:t>
      </w:r>
    </w:p>
    <w:p>
      <w:pPr>
        <w:pStyle w:val="ListParagraph"/>
        <w:numPr>
          <w:ilvl w:val="0"/>
          <w:numId w:val="2"/>
        </w:numPr>
        <w:spacing w:after="100"/>
      </w:pPr>
      <w:r>
        <w:rPr>
          <w:b/>
          <w:bCs/>
          <w:sz w:val="21"/>
          <w:szCs w:val="21"/>
        </w:rPr>
        <w:t xml:space="preserve">Push notifications: </w:t>
      </w:r>
      <w:r>
        <w:rPr>
          <w:sz w:val="21"/>
          <w:szCs w:val="21"/>
        </w:rPr>
        <w:t xml:space="preserve">status updates, delivery confirmation when a receiver collects funds, and promotional/rate alerts.</w:t>
      </w:r>
    </w:p>
    <w:p>
      <w:pPr>
        <w:pStyle w:val="ListParagraph"/>
        <w:numPr>
          <w:ilvl w:val="0"/>
          <w:numId w:val="2"/>
        </w:numPr>
        <w:spacing w:after="100"/>
      </w:pPr>
      <w:r>
        <w:rPr>
          <w:b/>
          <w:bCs/>
          <w:sz w:val="21"/>
          <w:szCs w:val="21"/>
        </w:rPr>
        <w:t xml:space="preserve">Redirect option: </w:t>
      </w:r>
      <w:r>
        <w:rPr>
          <w:sz w:val="21"/>
          <w:szCs w:val="21"/>
        </w:rPr>
        <w:t xml:space="preserve">in the Self Service app, an incoming cash transfer can be redirected to a bank account instead of agent pickup.</w:t>
      </w:r>
    </w:p>
    <w:p>
      <w:pPr>
        <w:pStyle w:val="ListParagraph"/>
        <w:numPr>
          <w:ilvl w:val="0"/>
          <w:numId w:val="2"/>
        </w:numPr>
        <w:spacing w:after="100"/>
      </w:pPr>
      <w:r>
        <w:rPr>
          <w:b/>
          <w:bCs/>
          <w:sz w:val="21"/>
          <w:szCs w:val="21"/>
        </w:rPr>
        <w:t xml:space="preserve">Money requests: </w:t>
      </w:r>
      <w:r>
        <w:rPr>
          <w:sz w:val="21"/>
          <w:szCs w:val="21"/>
        </w:rPr>
        <w:t xml:space="preserve">users can request funds from a sender across supported countries, turning the historically outbound-only tool into a lightweight two-way payment request feature.</w:t>
      </w:r>
    </w:p>
    <w:p>
      <w:pPr>
        <w:pStyle w:val="Heading2"/>
        <w:spacing w:after="120" w:before="260"/>
      </w:pPr>
      <w:r>
        <w:rPr>
          <w:b/>
          <w:bCs/>
          <w:color w:val="C8102E"/>
          <w:sz w:val="24"/>
          <w:szCs w:val="24"/>
        </w:rPr>
        <w:t xml:space="preserve">3.3 Bill Payment</w:t>
      </w:r>
    </w:p>
    <w:p>
      <w:pPr>
        <w:spacing w:after="120" w:line="276"/>
      </w:pPr>
      <w:r>
        <w:rPr>
          <w:sz w:val="21"/>
          <w:szCs w:val="21"/>
        </w:rPr>
        <w:t xml:space="preserve">Beyond remittances, the app supports paying bills (utilities, credit cards, insurance, mortgage-type billers, etc.) directly from the mobile app, building on Western Union's long-standing Speedpay/biller-network infrastructure, which is now surfaced as an in-app "pay bills" flow alongside send/track.</w:t>
      </w:r>
    </w:p>
    <w:p>
      <w:pPr>
        <w:pStyle w:val="Heading2"/>
        <w:spacing w:after="120" w:before="260"/>
      </w:pPr>
      <w:r>
        <w:rPr>
          <w:b/>
          <w:bCs/>
          <w:color w:val="C8102E"/>
          <w:sz w:val="24"/>
          <w:szCs w:val="24"/>
        </w:rPr>
        <w:t xml:space="preserve">3.4 Agent Network Integration</w:t>
      </w:r>
    </w:p>
    <w:p>
      <w:pPr>
        <w:pStyle w:val="ListParagraph"/>
        <w:numPr>
          <w:ilvl w:val="0"/>
          <w:numId w:val="2"/>
        </w:numPr>
        <w:spacing w:after="100"/>
      </w:pPr>
      <w:r>
        <w:rPr>
          <w:b/>
          <w:bCs/>
          <w:sz w:val="21"/>
          <w:szCs w:val="21"/>
        </w:rPr>
        <w:t xml:space="preserve">Agent locator: </w:t>
      </w:r>
      <w:r>
        <w:rPr>
          <w:sz w:val="21"/>
          <w:szCs w:val="21"/>
        </w:rPr>
        <w:t xml:space="preserve">GPS-based search for the nearest of roughly 360,000+ agent locations, with hours, services offered, and directions.</w:t>
      </w:r>
    </w:p>
    <w:p>
      <w:pPr>
        <w:pStyle w:val="ListParagraph"/>
        <w:numPr>
          <w:ilvl w:val="0"/>
          <w:numId w:val="2"/>
        </w:numPr>
        <w:spacing w:after="100"/>
      </w:pPr>
      <w:r>
        <w:rPr>
          <w:b/>
          <w:bCs/>
          <w:sz w:val="21"/>
          <w:szCs w:val="21"/>
        </w:rPr>
        <w:t xml:space="preserve">Hybrid "start online, finish in cash": </w:t>
      </w:r>
      <w:r>
        <w:rPr>
          <w:sz w:val="21"/>
          <w:szCs w:val="21"/>
        </w:rPr>
        <w:t xml:space="preserve">a transfer can be initiated in-app and paid for in cash at a physical location, bridging digital convenience with cash-based markets.</w:t>
      </w:r>
    </w:p>
    <w:p>
      <w:pPr>
        <w:pStyle w:val="Heading1"/>
        <w:pBdr>
          <w:bottom w:val="single" w:color="1E3A5F" w:sz="6" w:space="4"/>
        </w:pBdr>
        <w:spacing w:after="160" w:before="360"/>
      </w:pPr>
      <w:r>
        <w:rPr>
          <w:b/>
          <w:bCs/>
          <w:color w:val="1E3A5F"/>
          <w:sz w:val="30"/>
          <w:szCs w:val="30"/>
        </w:rPr>
        <w:t xml:space="preserve">4. Digital Wallet &amp; Digital Banking Features</w:t>
      </w:r>
    </w:p>
    <w:p>
      <w:pPr>
        <w:spacing w:after="120" w:line="276"/>
      </w:pPr>
      <w:r>
        <w:rPr>
          <w:sz w:val="21"/>
          <w:szCs w:val="21"/>
        </w:rPr>
        <w:t xml:space="preserve">Western Union has been pushing beyond pure remittance into account-based digital banking, most visibly through the Digital Banking (WU+) app family, available in select markets (e.g., Western Union International Bank GmbH under an Austrian Financial Market Authority license in Europe).</w:t>
      </w:r>
    </w:p>
    <w:p>
      <w:pPr>
        <w:pStyle w:val="ListParagraph"/>
        <w:numPr>
          <w:ilvl w:val="0"/>
          <w:numId w:val="2"/>
        </w:numPr>
        <w:spacing w:after="100"/>
      </w:pPr>
      <w:r>
        <w:rPr>
          <w:b/>
          <w:bCs/>
          <w:sz w:val="21"/>
          <w:szCs w:val="21"/>
        </w:rPr>
        <w:t xml:space="preserve">Free digital account: </w:t>
      </w:r>
      <w:r>
        <w:rPr>
          <w:sz w:val="21"/>
          <w:szCs w:val="21"/>
        </w:rPr>
        <w:t xml:space="preserve">account opening in minutes with no credit check, including current and interest-bearing savings sub-accounts in some markets.</w:t>
      </w:r>
    </w:p>
    <w:p>
      <w:pPr>
        <w:pStyle w:val="ListParagraph"/>
        <w:numPr>
          <w:ilvl w:val="0"/>
          <w:numId w:val="2"/>
        </w:numPr>
        <w:spacing w:after="100"/>
      </w:pPr>
      <w:r>
        <w:rPr>
          <w:b/>
          <w:bCs/>
          <w:sz w:val="21"/>
          <w:szCs w:val="21"/>
        </w:rPr>
        <w:t xml:space="preserve">Multi-currency sub-accounts: </w:t>
      </w:r>
      <w:r>
        <w:rPr>
          <w:sz w:val="21"/>
          <w:szCs w:val="21"/>
        </w:rPr>
        <w:t xml:space="preserve">premium tiers add multiple currency "pockets" to hold and manage several currencies in one account.</w:t>
      </w:r>
    </w:p>
    <w:p>
      <w:pPr>
        <w:pStyle w:val="ListParagraph"/>
        <w:numPr>
          <w:ilvl w:val="0"/>
          <w:numId w:val="2"/>
        </w:numPr>
        <w:spacing w:after="100"/>
      </w:pPr>
      <w:r>
        <w:rPr>
          <w:b/>
          <w:bCs/>
          <w:sz w:val="21"/>
          <w:szCs w:val="21"/>
        </w:rPr>
        <w:t xml:space="preserve">Cards: </w:t>
      </w:r>
      <w:r>
        <w:rPr>
          <w:sz w:val="21"/>
          <w:szCs w:val="21"/>
        </w:rPr>
        <w:t xml:space="preserve">free Visa debit card (physical and/or virtual) linked to the digital account, usable for ATM withdrawal and everyday purchases.</w:t>
      </w:r>
    </w:p>
    <w:p>
      <w:pPr>
        <w:pStyle w:val="ListParagraph"/>
        <w:numPr>
          <w:ilvl w:val="0"/>
          <w:numId w:val="2"/>
        </w:numPr>
        <w:spacing w:after="100"/>
      </w:pPr>
      <w:r>
        <w:rPr>
          <w:b/>
          <w:bCs/>
          <w:sz w:val="21"/>
          <w:szCs w:val="21"/>
        </w:rPr>
        <w:t xml:space="preserve">Fee-free transfers between wallet users: </w:t>
      </w:r>
      <w:r>
        <w:rPr>
          <w:sz w:val="21"/>
          <w:szCs w:val="21"/>
        </w:rPr>
        <w:t xml:space="preserve">sending to another Digital Banking/WU+ customer, plus a limited number of fee-free transfers and cash top-ups per month on premium tiers.</w:t>
      </w:r>
    </w:p>
    <w:p>
      <w:pPr>
        <w:pStyle w:val="ListParagraph"/>
        <w:numPr>
          <w:ilvl w:val="0"/>
          <w:numId w:val="2"/>
        </w:numPr>
        <w:spacing w:after="100"/>
      </w:pPr>
      <w:r>
        <w:rPr>
          <w:b/>
          <w:bCs/>
          <w:sz w:val="21"/>
          <w:szCs w:val="21"/>
        </w:rPr>
        <w:t xml:space="preserve">Goal accounts: </w:t>
      </w:r>
      <w:r>
        <w:rPr>
          <w:sz w:val="21"/>
          <w:szCs w:val="21"/>
        </w:rPr>
        <w:t xml:space="preserve">sub-accounts designed to help users track savings goals.</w:t>
      </w:r>
    </w:p>
    <w:p>
      <w:pPr>
        <w:spacing w:after="120" w:line="276"/>
      </w:pPr>
      <w:r>
        <w:rPr>
          <w:sz w:val="21"/>
          <w:szCs w:val="21"/>
        </w:rPr>
        <w:t xml:space="preserve">Independent trackers note that the in-app "held balance" wallet feature — letting users hold funds rather than only push a send — is being rolled out selectively across North American, European, and Asia-Pacific markets, subject to local regulatory approval, rather than being globally uniform.</w:t>
      </w:r>
    </w:p>
    <w:p>
      <w:pPr>
        <w:pStyle w:val="Heading1"/>
        <w:pBdr>
          <w:bottom w:val="single" w:color="1E3A5F" w:sz="6" w:space="4"/>
        </w:pBdr>
        <w:spacing w:after="160" w:before="360"/>
      </w:pPr>
      <w:r>
        <w:rPr>
          <w:b/>
          <w:bCs/>
          <w:color w:val="1E3A5F"/>
          <w:sz w:val="30"/>
          <w:szCs w:val="30"/>
        </w:rPr>
        <w:t xml:space="preserve">5. Emerging: Stablecoin &amp; Digital Asset Infrastructure (USDPT)</w:t>
      </w:r>
    </w:p>
    <w:p>
      <w:pPr>
        <w:spacing w:after="120" w:line="276"/>
      </w:pPr>
      <w:r>
        <w:rPr>
          <w:sz w:val="21"/>
          <w:szCs w:val="21"/>
        </w:rPr>
        <w:t xml:space="preserve">The most significant strategic development of 2026 is Western Union's move into blockchain-based settlement. On May 4, 2026, Western Union launched USDPT (U.S. Dollar Payment Token), a dollar-backed stablecoin built on the Solana blockchain and issued by Anchorage Digital Bank N.A.</w:t>
      </w:r>
    </w:p>
    <w:p>
      <w:pPr>
        <w:pStyle w:val="ListParagraph"/>
        <w:numPr>
          <w:ilvl w:val="0"/>
          <w:numId w:val="2"/>
        </w:numPr>
        <w:spacing w:after="100"/>
      </w:pPr>
      <w:r>
        <w:rPr>
          <w:b/>
          <w:bCs/>
          <w:sz w:val="21"/>
          <w:szCs w:val="21"/>
        </w:rPr>
        <w:t xml:space="preserve">Initial use case — internal settlement: </w:t>
      </w:r>
      <w:r>
        <w:rPr>
          <w:sz w:val="21"/>
          <w:szCs w:val="21"/>
        </w:rPr>
        <w:t xml:space="preserve">USDPT is being used first for treasury and agent settlement, enabling near-instant, 24/7 settlement between Western Union and its global agents instead of relying on traditional correspondent-banking/SWIFT rails.</w:t>
      </w:r>
    </w:p>
    <w:p>
      <w:pPr>
        <w:pStyle w:val="ListParagraph"/>
        <w:numPr>
          <w:ilvl w:val="0"/>
          <w:numId w:val="2"/>
        </w:numPr>
        <w:spacing w:after="100"/>
      </w:pPr>
      <w:r>
        <w:rPr>
          <w:b/>
          <w:bCs/>
          <w:sz w:val="21"/>
          <w:szCs w:val="21"/>
        </w:rPr>
        <w:t xml:space="preserve">Planned consumer feature — "Stable by Western Union": </w:t>
      </w:r>
      <w:r>
        <w:rPr>
          <w:sz w:val="21"/>
          <w:szCs w:val="21"/>
        </w:rPr>
        <w:t xml:space="preserve">a consumer-facing spend capability built on USDPT, planned for rollout in 2026 across 40+ countries, with early markets reportedly including Mexico and the Philippines.</w:t>
      </w:r>
    </w:p>
    <w:p>
      <w:pPr>
        <w:pStyle w:val="ListParagraph"/>
        <w:numPr>
          <w:ilvl w:val="0"/>
          <w:numId w:val="2"/>
        </w:numPr>
        <w:spacing w:after="100"/>
      </w:pPr>
      <w:r>
        <w:rPr>
          <w:b/>
          <w:bCs/>
          <w:sz w:val="21"/>
          <w:szCs w:val="21"/>
        </w:rPr>
        <w:t xml:space="preserve">Digital Asset Network: </w:t>
      </w:r>
      <w:r>
        <w:rPr>
          <w:sz w:val="21"/>
          <w:szCs w:val="21"/>
        </w:rPr>
        <w:t xml:space="preserve">infrastructure intended to connect crypto wallets and exchanges to Western Union's payout footprint, plus support (Fireblocks, Dynamic embedded wallet, TRES) for agent-level settlement.</w:t>
      </w:r>
    </w:p>
    <w:p>
      <w:pPr>
        <w:spacing w:after="120" w:line="276"/>
      </w:pPr>
      <w:r>
        <w:rPr>
          <w:sz w:val="21"/>
          <w:szCs w:val="21"/>
        </w:rPr>
        <w:t xml:space="preserve">As of this report, public detail on exactly how USDPT surfaces as an end-user feature inside the existing mobile app (versus operating behind the scenes) is still limited — this is a capability in active rollout rather than a fully shipped consumer feature.</w:t>
      </w:r>
    </w:p>
    <w:p>
      <w:pPr>
        <w:pStyle w:val="Heading1"/>
        <w:pBdr>
          <w:bottom w:val="single" w:color="1E3A5F" w:sz="6" w:space="4"/>
        </w:pBdr>
        <w:spacing w:after="160" w:before="360"/>
      </w:pPr>
      <w:r>
        <w:rPr>
          <w:b/>
          <w:bCs/>
          <w:color w:val="1E3A5F"/>
          <w:sz w:val="30"/>
          <w:szCs w:val="30"/>
        </w:rPr>
        <w:t xml:space="preserve">6. Security &amp; Compliance Features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E3A5F" w:color="auto" w:val="clear"/>
            <w:tcMar>
              <w:top w:type="dxa" w:w="80"/>
              <w:left w:type="dxa" w:w="100"/>
              <w:bottom w:type="dxa" w:w="80"/>
              <w:right w:type="dxa" w:w="100"/>
            </w:tcMar>
          </w:tcPr>
          <w:p>
            <w:pPr>
              <w:jc w:val="left"/>
            </w:pPr>
            <w:r>
              <w:rPr>
                <w:b/>
                <w:bCs/>
                <w:color w:val="FFFFFF"/>
                <w:sz w:val="19"/>
                <w:szCs w:val="19"/>
              </w:rPr>
              <w:t xml:space="preserve">Category</w:t>
            </w:r>
          </w:p>
        </w:tc>
        <w:tc>
          <w:tcPr>
            <w:tcW w:type="dxa" w:w="6900"/>
            <w:shd w:fill="1E3A5F" w:color="auto" w:val="clear"/>
            <w:tcMar>
              <w:top w:type="dxa" w:w="80"/>
              <w:left w:type="dxa" w:w="100"/>
              <w:bottom w:type="dxa" w:w="80"/>
              <w:right w:type="dxa" w:w="100"/>
            </w:tcMar>
          </w:tcPr>
          <w:p>
            <w:pPr>
              <w:jc w:val="left"/>
            </w:pPr>
            <w:r>
              <w:rPr>
                <w:b/>
                <w:bCs/>
                <w:color w:val="FFFFFF"/>
                <w:sz w:val="19"/>
                <w:szCs w:val="19"/>
              </w:rPr>
              <w:t xml:space="preserve">Implementation</w:t>
            </w:r>
          </w:p>
        </w:tc>
      </w:tr>
      <w:tr>
        <w:tc>
          <w:tcPr>
            <w:tcW w:type="dxa" w:w="2600"/>
            <w:tcMar>
              <w:top w:type="dxa" w:w="80"/>
              <w:left w:type="dxa" w:w="100"/>
              <w:bottom w:type="dxa" w:w="80"/>
              <w:right w:type="dxa" w:w="100"/>
            </w:tcMar>
          </w:tcPr>
          <w:p>
            <w:pPr>
              <w:jc w:val="left"/>
            </w:pPr>
            <w:r>
              <w:rPr>
                <w:b w:val="false"/>
                <w:bCs w:val="false"/>
                <w:color w:val="000000"/>
                <w:sz w:val="19"/>
                <w:szCs w:val="19"/>
              </w:rPr>
              <w:t xml:space="preserve">Authentication</w:t>
            </w:r>
          </w:p>
        </w:tc>
        <w:tc>
          <w:tcPr>
            <w:tcW w:type="dxa" w:w="6900"/>
            <w:tcMar>
              <w:top w:type="dxa" w:w="80"/>
              <w:left w:type="dxa" w:w="100"/>
              <w:bottom w:type="dxa" w:w="80"/>
              <w:right w:type="dxa" w:w="100"/>
            </w:tcMar>
          </w:tcPr>
          <w:p>
            <w:pPr>
              <w:jc w:val="left"/>
            </w:pPr>
            <w:r>
              <w:rPr>
                <w:b w:val="false"/>
                <w:bCs w:val="false"/>
                <w:color w:val="000000"/>
                <w:sz w:val="19"/>
                <w:szCs w:val="19"/>
              </w:rPr>
              <w:t xml:space="preserve">Biometric login (Touch ID / Face ID / fingerprint), PIN/password, and Strong Customer Authentication (SCA/3-D Secure) multi-factor authentication for payments in PSD2-regulated markets</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Data protection</w:t>
            </w:r>
          </w:p>
        </w:tc>
        <w:tc>
          <w:tcPr>
            <w:tcW w:type="dxa" w:w="6900"/>
            <w:shd w:fill="F2F2F2" w:color="auto" w:val="clear"/>
            <w:tcMar>
              <w:top w:type="dxa" w:w="80"/>
              <w:left w:type="dxa" w:w="100"/>
              <w:bottom w:type="dxa" w:w="80"/>
              <w:right w:type="dxa" w:w="100"/>
            </w:tcMar>
          </w:tcPr>
          <w:p>
            <w:pPr>
              <w:jc w:val="left"/>
            </w:pPr>
            <w:r>
              <w:rPr>
                <w:b w:val="false"/>
                <w:bCs w:val="false"/>
                <w:color w:val="000000"/>
                <w:sz w:val="19"/>
                <w:szCs w:val="19"/>
              </w:rPr>
              <w:t xml:space="preserve">TLS/SSL encryption in transit; PCI DSS compliance for card data handling</w:t>
            </w:r>
          </w:p>
        </w:tc>
      </w:tr>
      <w:tr>
        <w:tc>
          <w:tcPr>
            <w:tcW w:type="dxa" w:w="2600"/>
            <w:tcMar>
              <w:top w:type="dxa" w:w="80"/>
              <w:left w:type="dxa" w:w="100"/>
              <w:bottom w:type="dxa" w:w="80"/>
              <w:right w:type="dxa" w:w="100"/>
            </w:tcMar>
          </w:tcPr>
          <w:p>
            <w:pPr>
              <w:jc w:val="left"/>
            </w:pPr>
            <w:r>
              <w:rPr>
                <w:b w:val="false"/>
                <w:bCs w:val="false"/>
                <w:color w:val="000000"/>
                <w:sz w:val="19"/>
                <w:szCs w:val="19"/>
              </w:rPr>
              <w:t xml:space="preserve">Fraud monitoring</w:t>
            </w:r>
          </w:p>
        </w:tc>
        <w:tc>
          <w:tcPr>
            <w:tcW w:type="dxa" w:w="6900"/>
            <w:tcMar>
              <w:top w:type="dxa" w:w="80"/>
              <w:left w:type="dxa" w:w="100"/>
              <w:bottom w:type="dxa" w:w="80"/>
              <w:right w:type="dxa" w:w="100"/>
            </w:tcMar>
          </w:tcPr>
          <w:p>
            <w:pPr>
              <w:jc w:val="left"/>
            </w:pPr>
            <w:r>
              <w:rPr>
                <w:b w:val="false"/>
                <w:bCs w:val="false"/>
                <w:color w:val="000000"/>
                <w:sz w:val="19"/>
                <w:szCs w:val="19"/>
              </w:rPr>
              <w:t xml:space="preserve">AI-driven transaction monitoring with real-time alerts for suspicious activity; dedicated fraud-awareness/education resources in-app and on the website</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Identity verification (KYC)</w:t>
            </w:r>
          </w:p>
        </w:tc>
        <w:tc>
          <w:tcPr>
            <w:tcW w:type="dxa" w:w="6900"/>
            <w:shd w:fill="F2F2F2" w:color="auto" w:val="clear"/>
            <w:tcMar>
              <w:top w:type="dxa" w:w="80"/>
              <w:left w:type="dxa" w:w="100"/>
              <w:bottom w:type="dxa" w:w="80"/>
              <w:right w:type="dxa" w:w="100"/>
            </w:tcMar>
          </w:tcPr>
          <w:p>
            <w:pPr>
              <w:jc w:val="left"/>
            </w:pPr>
            <w:r>
              <w:rPr>
                <w:b w:val="false"/>
                <w:bCs w:val="false"/>
                <w:color w:val="000000"/>
                <w:sz w:val="19"/>
                <w:szCs w:val="19"/>
              </w:rPr>
              <w:t xml:space="preserve">Tiered ID verification triggered by transfer size (e.g., identity checks generally required above set thresholds, such as ~£800/€1,000 in the UK/EU); document scanning for faster onboarding</w:t>
            </w:r>
          </w:p>
        </w:tc>
      </w:tr>
      <w:tr>
        <w:tc>
          <w:tcPr>
            <w:tcW w:type="dxa" w:w="2600"/>
            <w:tcMar>
              <w:top w:type="dxa" w:w="80"/>
              <w:left w:type="dxa" w:w="100"/>
              <w:bottom w:type="dxa" w:w="80"/>
              <w:right w:type="dxa" w:w="100"/>
            </w:tcMar>
          </w:tcPr>
          <w:p>
            <w:pPr>
              <w:jc w:val="left"/>
            </w:pPr>
            <w:r>
              <w:rPr>
                <w:b w:val="false"/>
                <w:bCs w:val="false"/>
                <w:color w:val="000000"/>
                <w:sz w:val="19"/>
                <w:szCs w:val="19"/>
              </w:rPr>
              <w:t xml:space="preserve">Session security</w:t>
            </w:r>
          </w:p>
        </w:tc>
        <w:tc>
          <w:tcPr>
            <w:tcW w:type="dxa" w:w="6900"/>
            <w:tcMar>
              <w:top w:type="dxa" w:w="80"/>
              <w:left w:type="dxa" w:w="100"/>
              <w:bottom w:type="dxa" w:w="80"/>
              <w:right w:type="dxa" w:w="100"/>
            </w:tcMar>
          </w:tcPr>
          <w:p>
            <w:pPr>
              <w:jc w:val="left"/>
            </w:pPr>
            <w:r>
              <w:rPr>
                <w:b w:val="false"/>
                <w:bCs w:val="false"/>
                <w:color w:val="000000"/>
                <w:sz w:val="19"/>
                <w:szCs w:val="19"/>
              </w:rPr>
              <w:t xml:space="preserve">Automatic logout after inactivity</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Regulatory oversight</w:t>
            </w:r>
          </w:p>
        </w:tc>
        <w:tc>
          <w:tcPr>
            <w:tcW w:type="dxa" w:w="6900"/>
            <w:shd w:fill="F2F2F2" w:color="auto" w:val="clear"/>
            <w:tcMar>
              <w:top w:type="dxa" w:w="80"/>
              <w:left w:type="dxa" w:w="100"/>
              <w:bottom w:type="dxa" w:w="80"/>
              <w:right w:type="dxa" w:w="100"/>
            </w:tcMar>
          </w:tcPr>
          <w:p>
            <w:pPr>
              <w:jc w:val="left"/>
            </w:pPr>
            <w:r>
              <w:rPr>
                <w:b w:val="false"/>
                <w:bCs w:val="false"/>
                <w:color w:val="000000"/>
                <w:sz w:val="19"/>
                <w:szCs w:val="19"/>
              </w:rPr>
              <w:t xml:space="preserve">Licensed/regulated per market — e.g., FCA in the UK, Austrian FMA for WU International Bank GmbH, state money-transmitter licenses and NMLS registration in the US</w:t>
            </w:r>
          </w:p>
        </w:tc>
      </w:tr>
    </w:tbl>
    <w:p>
      <w:pPr>
        <w:spacing w:after="200"/>
      </w:pPr>
      <w:r>
        <w:rPr>
          <w:i/>
          <w:iCs/>
          <w:color w:val="595959"/>
          <w:sz w:val="18"/>
          <w:szCs w:val="18"/>
        </w:rPr>
        <w:t xml:space="preserve">KYC friction is the most-cited pain point in user reviews — verification can extend from same-day to several weeks in disputed cases, particularly for first-time or newly regulated transfers.</w:t>
      </w:r>
    </w:p>
    <w:p>
      <w:pPr>
        <w:pStyle w:val="Heading1"/>
        <w:pBdr>
          <w:bottom w:val="single" w:color="1E3A5F" w:sz="6" w:space="4"/>
        </w:pBdr>
        <w:spacing w:after="160" w:before="360"/>
      </w:pPr>
      <w:r>
        <w:rPr>
          <w:b/>
          <w:bCs/>
          <w:color w:val="1E3A5F"/>
          <w:sz w:val="30"/>
          <w:szCs w:val="30"/>
        </w:rPr>
        <w:t xml:space="preserve">7. Fees, Pricing &amp; Promotions Visible in the App</w:t>
      </w:r>
    </w:p>
    <w:p>
      <w:pPr>
        <w:pStyle w:val="ListParagraph"/>
        <w:numPr>
          <w:ilvl w:val="0"/>
          <w:numId w:val="2"/>
        </w:numPr>
        <w:spacing w:after="100"/>
      </w:pPr>
      <w:r>
        <w:rPr>
          <w:b/>
          <w:bCs/>
          <w:sz w:val="21"/>
          <w:szCs w:val="21"/>
        </w:rPr>
        <w:t xml:space="preserve">$0 first-transfer promotion: </w:t>
      </w:r>
      <w:r>
        <w:rPr>
          <w:sz w:val="21"/>
          <w:szCs w:val="21"/>
        </w:rPr>
        <w:t xml:space="preserve">a recurring promotional feature waiving fees on a customer's first online transfer to a bank account or mobile wallet.</w:t>
      </w:r>
    </w:p>
    <w:p>
      <w:pPr>
        <w:pStyle w:val="ListParagraph"/>
        <w:numPr>
          <w:ilvl w:val="0"/>
          <w:numId w:val="2"/>
        </w:numPr>
        <w:spacing w:after="100"/>
      </w:pPr>
      <w:r>
        <w:rPr>
          <w:b/>
          <w:bCs/>
          <w:sz w:val="21"/>
          <w:szCs w:val="21"/>
        </w:rPr>
        <w:t xml:space="preserve">Variable fee structure: </w:t>
      </w:r>
      <w:r>
        <w:rPr>
          <w:sz w:val="21"/>
          <w:szCs w:val="21"/>
        </w:rPr>
        <w:t xml:space="preserve">flat fee plus an FX-rate margin that varies by corridor, funding method, and delivery speed — bank-account funding is typically cheapest, credit-card funding is markedly more expensive.</w:t>
      </w:r>
    </w:p>
    <w:p>
      <w:pPr>
        <w:pStyle w:val="ListParagraph"/>
        <w:numPr>
          <w:ilvl w:val="0"/>
          <w:numId w:val="2"/>
        </w:numPr>
        <w:spacing w:after="100"/>
      </w:pPr>
      <w:r>
        <w:rPr>
          <w:b/>
          <w:bCs/>
          <w:sz w:val="21"/>
          <w:szCs w:val="21"/>
        </w:rPr>
        <w:t xml:space="preserve">In-app promotions: </w:t>
      </w:r>
      <w:r>
        <w:rPr>
          <w:sz w:val="21"/>
          <w:szCs w:val="21"/>
        </w:rPr>
        <w:t xml:space="preserve">push notifications and banners for limited-time reduced fees, referral rewards, and rate alerts.</w:t>
      </w:r>
    </w:p>
    <w:p>
      <w:pPr>
        <w:pStyle w:val="ListParagraph"/>
        <w:numPr>
          <w:ilvl w:val="0"/>
          <w:numId w:val="2"/>
        </w:numPr>
        <w:spacing w:after="100"/>
      </w:pPr>
      <w:r>
        <w:rPr>
          <w:b/>
          <w:bCs/>
          <w:sz w:val="21"/>
          <w:szCs w:val="21"/>
        </w:rPr>
        <w:t xml:space="preserve">Rewards/loyalty: </w:t>
      </w:r>
      <w:r>
        <w:rPr>
          <w:sz w:val="21"/>
          <w:szCs w:val="21"/>
        </w:rPr>
        <w:t xml:space="preserve">a referral program and, in some markets, a Western Union Rewards tier offering partner discounts to frequent senders.</w:t>
      </w:r>
    </w:p>
    <w:p>
      <w:pPr>
        <w:spacing w:after="120" w:line="276"/>
      </w:pPr>
      <w:r>
        <w:rPr>
          <w:sz w:val="21"/>
          <w:szCs w:val="21"/>
        </w:rPr>
        <w:t xml:space="preserve">Third-party comparison reviews (e.g., Firstcard, April 2026) place Western Union's FX markup at roughly 0.5%–2.5% above mid-market — competitive with MoneyGram, but generally less favorable than Wise on bank-to-bank corridors, while Western Union retains a much larger cash-pickup footprint that Wise does not offer.</w:t>
      </w:r>
    </w:p>
    <w:p>
      <w:pPr>
        <w:pStyle w:val="Heading1"/>
        <w:pBdr>
          <w:bottom w:val="single" w:color="1E3A5F" w:sz="6" w:space="4"/>
        </w:pBdr>
        <w:spacing w:after="160" w:before="360"/>
      </w:pPr>
      <w:r>
        <w:rPr>
          <w:b/>
          <w:bCs/>
          <w:color w:val="1E3A5F"/>
          <w:sz w:val="30"/>
          <w:szCs w:val="30"/>
        </w:rPr>
        <w:t xml:space="preserve">8. User Sentiment &amp; App Store Standing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4100"/>
      </w:tblGrid>
      <w:tr>
        <w:trPr>
          <w:tblHeader/>
        </w:trPr>
        <w:tc>
          <w:tcPr>
            <w:tcW w:type="dxa" w:w="3400"/>
            <w:shd w:fill="1E3A5F" w:color="auto" w:val="clear"/>
            <w:tcMar>
              <w:top w:type="dxa" w:w="80"/>
              <w:left w:type="dxa" w:w="100"/>
              <w:bottom w:type="dxa" w:w="80"/>
              <w:right w:type="dxa" w:w="100"/>
            </w:tcMar>
          </w:tcPr>
          <w:p>
            <w:pPr>
              <w:jc w:val="left"/>
            </w:pPr>
            <w:r>
              <w:rPr>
                <w:b/>
                <w:bCs/>
                <w:color w:val="FFFFFF"/>
                <w:sz w:val="19"/>
                <w:szCs w:val="19"/>
              </w:rPr>
              <w:t xml:space="preserve">Platform / Source</w:t>
            </w:r>
          </w:p>
        </w:tc>
        <w:tc>
          <w:tcPr>
            <w:tcW w:type="dxa" w:w="2000"/>
            <w:shd w:fill="1E3A5F" w:color="auto" w:val="clear"/>
            <w:tcMar>
              <w:top w:type="dxa" w:w="80"/>
              <w:left w:type="dxa" w:w="100"/>
              <w:bottom w:type="dxa" w:w="80"/>
              <w:right w:type="dxa" w:w="100"/>
            </w:tcMar>
          </w:tcPr>
          <w:p>
            <w:pPr>
              <w:jc w:val="left"/>
            </w:pPr>
            <w:r>
              <w:rPr>
                <w:b/>
                <w:bCs/>
                <w:color w:val="FFFFFF"/>
                <w:sz w:val="19"/>
                <w:szCs w:val="19"/>
              </w:rPr>
              <w:t xml:space="preserve">Approx. Rating</w:t>
            </w:r>
          </w:p>
        </w:tc>
        <w:tc>
          <w:tcPr>
            <w:tcW w:type="dxa" w:w="4100"/>
            <w:shd w:fill="1E3A5F" w:color="auto" w:val="clear"/>
            <w:tcMar>
              <w:top w:type="dxa" w:w="80"/>
              <w:left w:type="dxa" w:w="100"/>
              <w:bottom w:type="dxa" w:w="80"/>
              <w:right w:type="dxa" w:w="100"/>
            </w:tcMar>
          </w:tcPr>
          <w:p>
            <w:pPr>
              <w:jc w:val="left"/>
            </w:pPr>
            <w:r>
              <w:rPr>
                <w:b/>
                <w:bCs/>
                <w:color w:val="FFFFFF"/>
                <w:sz w:val="19"/>
                <w:szCs w:val="19"/>
              </w:rPr>
              <w:t xml:space="preserve">Notes</w:t>
            </w:r>
          </w:p>
        </w:tc>
      </w:tr>
      <w:tr>
        <w:tc>
          <w:tcPr>
            <w:tcW w:type="dxa" w:w="3400"/>
            <w:tcMar>
              <w:top w:type="dxa" w:w="80"/>
              <w:left w:type="dxa" w:w="100"/>
              <w:bottom w:type="dxa" w:w="80"/>
              <w:right w:type="dxa" w:w="100"/>
            </w:tcMar>
          </w:tcPr>
          <w:p>
            <w:pPr>
              <w:jc w:val="left"/>
            </w:pPr>
            <w:r>
              <w:rPr>
                <w:b w:val="false"/>
                <w:bCs w:val="false"/>
                <w:color w:val="000000"/>
                <w:sz w:val="19"/>
                <w:szCs w:val="19"/>
              </w:rPr>
              <w:t xml:space="preserve">Apple App Store (US, "Send Money" app)</w:t>
            </w:r>
          </w:p>
        </w:tc>
        <w:tc>
          <w:tcPr>
            <w:tcW w:type="dxa" w:w="2000"/>
            <w:tcMar>
              <w:top w:type="dxa" w:w="80"/>
              <w:left w:type="dxa" w:w="100"/>
              <w:bottom w:type="dxa" w:w="80"/>
              <w:right w:type="dxa" w:w="100"/>
            </w:tcMar>
          </w:tcPr>
          <w:p>
            <w:pPr>
              <w:jc w:val="left"/>
            </w:pPr>
            <w:r>
              <w:rPr>
                <w:b w:val="false"/>
                <w:bCs w:val="false"/>
                <w:color w:val="000000"/>
                <w:sz w:val="19"/>
                <w:szCs w:val="19"/>
              </w:rPr>
              <w:t xml:space="preserve">~4.7–4.8</w:t>
            </w:r>
          </w:p>
        </w:tc>
        <w:tc>
          <w:tcPr>
            <w:tcW w:type="dxa" w:w="4100"/>
            <w:tcMar>
              <w:top w:type="dxa" w:w="80"/>
              <w:left w:type="dxa" w:w="100"/>
              <w:bottom w:type="dxa" w:w="80"/>
              <w:right w:type="dxa" w:w="100"/>
            </w:tcMar>
          </w:tcPr>
          <w:p>
            <w:pPr>
              <w:jc w:val="left"/>
            </w:pPr>
            <w:r>
              <w:rPr>
                <w:b w:val="false"/>
                <w:bCs w:val="false"/>
                <w:color w:val="000000"/>
                <w:sz w:val="19"/>
                <w:szCs w:val="19"/>
              </w:rPr>
              <w:t xml:space="preserve">Frequently cited as high among money-transfer apps; praised for speed, Apple Pay integration, ease of repeat transfers</w:t>
            </w:r>
          </w:p>
        </w:tc>
      </w:tr>
      <w:tr>
        <w:tc>
          <w:tcPr>
            <w:tcW w:type="dxa" w:w="3400"/>
            <w:shd w:fill="F2F2F2" w:color="auto" w:val="clear"/>
            <w:tcMar>
              <w:top w:type="dxa" w:w="80"/>
              <w:left w:type="dxa" w:w="100"/>
              <w:bottom w:type="dxa" w:w="80"/>
              <w:right w:type="dxa" w:w="100"/>
            </w:tcMar>
          </w:tcPr>
          <w:p>
            <w:pPr>
              <w:jc w:val="left"/>
            </w:pPr>
            <w:r>
              <w:rPr>
                <w:b w:val="false"/>
                <w:bCs w:val="false"/>
                <w:color w:val="000000"/>
                <w:sz w:val="19"/>
                <w:szCs w:val="19"/>
              </w:rPr>
              <w:t xml:space="preserve">Google Play (EU/global "Money Transfer" app)</w:t>
            </w:r>
          </w:p>
        </w:tc>
        <w:tc>
          <w:tcPr>
            <w:tcW w:type="dxa" w:w="2000"/>
            <w:shd w:fill="F2F2F2" w:color="auto" w:val="clear"/>
            <w:tcMar>
              <w:top w:type="dxa" w:w="80"/>
              <w:left w:type="dxa" w:w="100"/>
              <w:bottom w:type="dxa" w:w="80"/>
              <w:right w:type="dxa" w:w="100"/>
            </w:tcMar>
          </w:tcPr>
          <w:p>
            <w:pPr>
              <w:jc w:val="left"/>
            </w:pPr>
            <w:r>
              <w:rPr>
                <w:b w:val="false"/>
                <w:bCs w:val="false"/>
                <w:color w:val="000000"/>
                <w:sz w:val="19"/>
                <w:szCs w:val="19"/>
              </w:rPr>
              <w:t xml:space="preserve">4-star range, 144K+ reviews</w:t>
            </w:r>
          </w:p>
        </w:tc>
        <w:tc>
          <w:tcPr>
            <w:tcW w:type="dxa" w:w="4100"/>
            <w:shd w:fill="F2F2F2" w:color="auto" w:val="clear"/>
            <w:tcMar>
              <w:top w:type="dxa" w:w="80"/>
              <w:left w:type="dxa" w:w="100"/>
              <w:bottom w:type="dxa" w:w="80"/>
              <w:right w:type="dxa" w:w="100"/>
            </w:tcMar>
          </w:tcPr>
          <w:p>
            <w:pPr>
              <w:jc w:val="left"/>
            </w:pPr>
            <w:r>
              <w:rPr>
                <w:b w:val="false"/>
                <w:bCs w:val="false"/>
                <w:color w:val="000000"/>
                <w:sz w:val="19"/>
                <w:szCs w:val="19"/>
              </w:rPr>
              <w:t xml:space="preserve">Mixed: praise for convenience and reliability alongside complaints about fees/rates versus competitors and support quality</w:t>
            </w:r>
          </w:p>
        </w:tc>
      </w:tr>
      <w:tr>
        <w:tc>
          <w:tcPr>
            <w:tcW w:type="dxa" w:w="3400"/>
            <w:tcMar>
              <w:top w:type="dxa" w:w="80"/>
              <w:left w:type="dxa" w:w="100"/>
              <w:bottom w:type="dxa" w:w="80"/>
              <w:right w:type="dxa" w:w="100"/>
            </w:tcMar>
          </w:tcPr>
          <w:p>
            <w:pPr>
              <w:jc w:val="left"/>
            </w:pPr>
            <w:r>
              <w:rPr>
                <w:b w:val="false"/>
                <w:bCs w:val="false"/>
                <w:color w:val="000000"/>
                <w:sz w:val="19"/>
                <w:szCs w:val="19"/>
              </w:rPr>
              <w:t xml:space="preserve">Google Play (regional variants, e.g., AU)</w:t>
            </w:r>
          </w:p>
        </w:tc>
        <w:tc>
          <w:tcPr>
            <w:tcW w:type="dxa" w:w="2000"/>
            <w:tcMar>
              <w:top w:type="dxa" w:w="80"/>
              <w:left w:type="dxa" w:w="100"/>
              <w:bottom w:type="dxa" w:w="80"/>
              <w:right w:type="dxa" w:w="100"/>
            </w:tcMar>
          </w:tcPr>
          <w:p>
            <w:pPr>
              <w:jc w:val="left"/>
            </w:pPr>
            <w:r>
              <w:rPr>
                <w:b w:val="false"/>
                <w:bCs w:val="false"/>
                <w:color w:val="000000"/>
                <w:sz w:val="19"/>
                <w:szCs w:val="19"/>
              </w:rPr>
              <w:t xml:space="preserve">Mixed, 4-star range</w:t>
            </w:r>
          </w:p>
        </w:tc>
        <w:tc>
          <w:tcPr>
            <w:tcW w:type="dxa" w:w="4100"/>
            <w:tcMar>
              <w:top w:type="dxa" w:w="80"/>
              <w:left w:type="dxa" w:w="100"/>
              <w:bottom w:type="dxa" w:w="80"/>
              <w:right w:type="dxa" w:w="100"/>
            </w:tcMar>
          </w:tcPr>
          <w:p>
            <w:pPr>
              <w:jc w:val="left"/>
            </w:pPr>
            <w:r>
              <w:rPr>
                <w:b w:val="false"/>
                <w:bCs w:val="false"/>
                <w:color w:val="000000"/>
                <w:sz w:val="19"/>
                <w:szCs w:val="19"/>
              </w:rPr>
              <w:t xml:space="preserve">Reports of KYC delays following new regulatory requirements; some UI/glitch complaints</w:t>
            </w:r>
          </w:p>
        </w:tc>
      </w:tr>
      <w:tr>
        <w:tc>
          <w:tcPr>
            <w:tcW w:type="dxa" w:w="3400"/>
            <w:shd w:fill="F2F2F2" w:color="auto" w:val="clear"/>
            <w:tcMar>
              <w:top w:type="dxa" w:w="80"/>
              <w:left w:type="dxa" w:w="100"/>
              <w:bottom w:type="dxa" w:w="80"/>
              <w:right w:type="dxa" w:w="100"/>
            </w:tcMar>
          </w:tcPr>
          <w:p>
            <w:pPr>
              <w:jc w:val="left"/>
            </w:pPr>
            <w:r>
              <w:rPr>
                <w:b w:val="false"/>
                <w:bCs w:val="false"/>
                <w:color w:val="000000"/>
                <w:sz w:val="19"/>
                <w:szCs w:val="19"/>
              </w:rPr>
              <w:t xml:space="preserve">Trustpilot (westernunion.com)</w:t>
            </w:r>
          </w:p>
        </w:tc>
        <w:tc>
          <w:tcPr>
            <w:tcW w:type="dxa" w:w="2000"/>
            <w:shd w:fill="F2F2F2" w:color="auto" w:val="clear"/>
            <w:tcMar>
              <w:top w:type="dxa" w:w="80"/>
              <w:left w:type="dxa" w:w="100"/>
              <w:bottom w:type="dxa" w:w="80"/>
              <w:right w:type="dxa" w:w="100"/>
            </w:tcMar>
          </w:tcPr>
          <w:p>
            <w:pPr>
              <w:jc w:val="left"/>
            </w:pPr>
            <w:r>
              <w:rPr>
                <w:b w:val="false"/>
                <w:bCs w:val="false"/>
                <w:color w:val="000000"/>
                <w:sz w:val="19"/>
                <w:szCs w:val="19"/>
              </w:rPr>
              <w:t xml:space="preserve">Mixed</w:t>
            </w:r>
          </w:p>
        </w:tc>
        <w:tc>
          <w:tcPr>
            <w:tcW w:type="dxa" w:w="4100"/>
            <w:shd w:fill="F2F2F2" w:color="auto" w:val="clear"/>
            <w:tcMar>
              <w:top w:type="dxa" w:w="80"/>
              <w:left w:type="dxa" w:w="100"/>
              <w:bottom w:type="dxa" w:w="80"/>
              <w:right w:type="dxa" w:w="100"/>
            </w:tcMar>
          </w:tcPr>
          <w:p>
            <w:pPr>
              <w:jc w:val="left"/>
            </w:pPr>
            <w:r>
              <w:rPr>
                <w:b w:val="false"/>
                <w:bCs w:val="false"/>
                <w:color w:val="000000"/>
                <w:sz w:val="19"/>
                <w:szCs w:val="19"/>
              </w:rPr>
              <w:t xml:space="preserve">Recurring theme: reduced availability of human customer-support agents makes delayed-transfer resolution harder</w:t>
            </w:r>
          </w:p>
        </w:tc>
      </w:tr>
    </w:tbl>
    <w:p>
      <w:pPr>
        <w:spacing w:after="120" w:line="276"/>
      </w:pPr>
      <w:r>
        <w:rPr>
          <w:sz w:val="21"/>
          <w:szCs w:val="21"/>
        </w:rPr>
        <w:t xml:space="preserve">Recurring positive themes: speed and ease of repeat transfers, broad payout options (especially cash pickup), transparent pre-send fee/rate display, biometric login convenience.</w:t>
      </w:r>
    </w:p>
    <w:p>
      <w:pPr>
        <w:spacing w:after="120" w:line="276"/>
      </w:pPr>
      <w:r>
        <w:rPr>
          <w:sz w:val="21"/>
          <w:szCs w:val="21"/>
        </w:rPr>
        <w:t xml:space="preserve">Recurring negative themes: KYC/identity-verification delays (sometimes weeks), account-linking or login bugs tied to cross-border profile mismatches, inconsistent customer-service quality since reduction of live-agent support in some channels, and FX-margin/fee complaints relative to fintech-only competitors.</w:t>
      </w:r>
    </w:p>
    <w:p>
      <w:pPr>
        <w:pStyle w:val="Heading1"/>
        <w:pBdr>
          <w:bottom w:val="single" w:color="1E3A5F" w:sz="6" w:space="4"/>
        </w:pBdr>
        <w:spacing w:after="160" w:before="360"/>
      </w:pPr>
      <w:r>
        <w:rPr>
          <w:b/>
          <w:bCs/>
          <w:color w:val="1E3A5F"/>
          <w:sz w:val="30"/>
          <w:szCs w:val="30"/>
        </w:rPr>
        <w:t xml:space="preserve">9. Competitive Positioning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500"/>
      </w:tblGrid>
      <w:tr>
        <w:trPr>
          <w:tblHeader/>
        </w:trPr>
        <w:tc>
          <w:tcPr>
            <w:tcW w:type="dxa" w:w="2500"/>
            <w:shd w:fill="1E3A5F" w:color="auto" w:val="clear"/>
            <w:tcMar>
              <w:top w:type="dxa" w:w="80"/>
              <w:left w:type="dxa" w:w="100"/>
              <w:bottom w:type="dxa" w:w="80"/>
              <w:right w:type="dxa" w:w="100"/>
            </w:tcMar>
          </w:tcPr>
          <w:p>
            <w:pPr>
              <w:jc w:val="left"/>
            </w:pPr>
            <w:r>
              <w:rPr>
                <w:b/>
                <w:bCs/>
                <w:color w:val="FFFFFF"/>
                <w:sz w:val="19"/>
                <w:szCs w:val="19"/>
              </w:rPr>
              <w:t xml:space="preserve">Dimension</w:t>
            </w:r>
          </w:p>
        </w:tc>
        <w:tc>
          <w:tcPr>
            <w:tcW w:type="dxa" w:w="3500"/>
            <w:shd w:fill="1E3A5F" w:color="auto" w:val="clear"/>
            <w:tcMar>
              <w:top w:type="dxa" w:w="80"/>
              <w:left w:type="dxa" w:w="100"/>
              <w:bottom w:type="dxa" w:w="80"/>
              <w:right w:type="dxa" w:w="100"/>
            </w:tcMar>
          </w:tcPr>
          <w:p>
            <w:pPr>
              <w:jc w:val="left"/>
            </w:pPr>
            <w:r>
              <w:rPr>
                <w:b/>
                <w:bCs/>
                <w:color w:val="FFFFFF"/>
                <w:sz w:val="19"/>
                <w:szCs w:val="19"/>
              </w:rPr>
              <w:t xml:space="preserve">Western Union App</w:t>
            </w:r>
          </w:p>
        </w:tc>
        <w:tc>
          <w:tcPr>
            <w:tcW w:type="dxa" w:w="3500"/>
            <w:shd w:fill="1E3A5F" w:color="auto" w:val="clear"/>
            <w:tcMar>
              <w:top w:type="dxa" w:w="80"/>
              <w:left w:type="dxa" w:w="100"/>
              <w:bottom w:type="dxa" w:w="80"/>
              <w:right w:type="dxa" w:w="100"/>
            </w:tcMar>
          </w:tcPr>
          <w:p>
            <w:pPr>
              <w:jc w:val="left"/>
            </w:pPr>
            <w:r>
              <w:rPr>
                <w:b/>
                <w:bCs/>
                <w:color w:val="FFFFFF"/>
                <w:sz w:val="19"/>
                <w:szCs w:val="19"/>
              </w:rPr>
              <w:t xml:space="preserve">Typical Fintech Competitor (e.g., Wise, Remitly)</w:t>
            </w:r>
          </w:p>
        </w:tc>
      </w:tr>
      <w:tr>
        <w:tc>
          <w:tcPr>
            <w:tcW w:type="dxa" w:w="2500"/>
            <w:tcMar>
              <w:top w:type="dxa" w:w="80"/>
              <w:left w:type="dxa" w:w="100"/>
              <w:bottom w:type="dxa" w:w="80"/>
              <w:right w:type="dxa" w:w="100"/>
            </w:tcMar>
          </w:tcPr>
          <w:p>
            <w:pPr>
              <w:jc w:val="left"/>
            </w:pPr>
            <w:r>
              <w:rPr>
                <w:b w:val="false"/>
                <w:bCs w:val="false"/>
                <w:color w:val="000000"/>
                <w:sz w:val="19"/>
                <w:szCs w:val="19"/>
              </w:rPr>
              <w:t xml:space="preserve">Physical cash pickup network</w:t>
            </w:r>
          </w:p>
        </w:tc>
        <w:tc>
          <w:tcPr>
            <w:tcW w:type="dxa" w:w="3500"/>
            <w:tcMar>
              <w:top w:type="dxa" w:w="80"/>
              <w:left w:type="dxa" w:w="100"/>
              <w:bottom w:type="dxa" w:w="80"/>
              <w:right w:type="dxa" w:w="100"/>
            </w:tcMar>
          </w:tcPr>
          <w:p>
            <w:pPr>
              <w:jc w:val="left"/>
            </w:pPr>
            <w:r>
              <w:rPr>
                <w:b w:val="false"/>
                <w:bCs w:val="false"/>
                <w:color w:val="000000"/>
                <w:sz w:val="19"/>
                <w:szCs w:val="19"/>
              </w:rPr>
              <w:t xml:space="preserve">Very large (~360,000+ locations, 200+ countries)</w:t>
            </w:r>
          </w:p>
        </w:tc>
        <w:tc>
          <w:tcPr>
            <w:tcW w:type="dxa" w:w="3500"/>
            <w:tcMar>
              <w:top w:type="dxa" w:w="80"/>
              <w:left w:type="dxa" w:w="100"/>
              <w:bottom w:type="dxa" w:w="80"/>
              <w:right w:type="dxa" w:w="100"/>
            </w:tcMar>
          </w:tcPr>
          <w:p>
            <w:pPr>
              <w:jc w:val="left"/>
            </w:pPr>
            <w:r>
              <w:rPr>
                <w:b w:val="false"/>
                <w:bCs w:val="false"/>
                <w:color w:val="000000"/>
                <w:sz w:val="19"/>
                <w:szCs w:val="19"/>
              </w:rPr>
              <w:t xml:space="preserve">Limited or none</w:t>
            </w:r>
          </w:p>
        </w:tc>
      </w:tr>
      <w:tr>
        <w:tc>
          <w:tcPr>
            <w:tcW w:type="dxa" w:w="2500"/>
            <w:shd w:fill="F2F2F2" w:color="auto" w:val="clear"/>
            <w:tcMar>
              <w:top w:type="dxa" w:w="80"/>
              <w:left w:type="dxa" w:w="100"/>
              <w:bottom w:type="dxa" w:w="80"/>
              <w:right w:type="dxa" w:w="100"/>
            </w:tcMar>
          </w:tcPr>
          <w:p>
            <w:pPr>
              <w:jc w:val="left"/>
            </w:pPr>
            <w:r>
              <w:rPr>
                <w:b w:val="false"/>
                <w:bCs w:val="false"/>
                <w:color w:val="000000"/>
                <w:sz w:val="19"/>
                <w:szCs w:val="19"/>
              </w:rPr>
              <w:t xml:space="preserve">Bank-to-bank FX rate</w:t>
            </w:r>
          </w:p>
        </w:tc>
        <w:tc>
          <w:tcPr>
            <w:tcW w:type="dxa" w:w="3500"/>
            <w:shd w:fill="F2F2F2" w:color="auto" w:val="clear"/>
            <w:tcMar>
              <w:top w:type="dxa" w:w="80"/>
              <w:left w:type="dxa" w:w="100"/>
              <w:bottom w:type="dxa" w:w="80"/>
              <w:right w:type="dxa" w:w="100"/>
            </w:tcMar>
          </w:tcPr>
          <w:p>
            <w:pPr>
              <w:jc w:val="left"/>
            </w:pPr>
            <w:r>
              <w:rPr>
                <w:b w:val="false"/>
                <w:bCs w:val="false"/>
                <w:color w:val="000000"/>
                <w:sz w:val="19"/>
                <w:szCs w:val="19"/>
              </w:rPr>
              <w:t xml:space="preserve">Competitive but generally higher markup</w:t>
            </w:r>
          </w:p>
        </w:tc>
        <w:tc>
          <w:tcPr>
            <w:tcW w:type="dxa" w:w="3500"/>
            <w:shd w:fill="F2F2F2" w:color="auto" w:val="clear"/>
            <w:tcMar>
              <w:top w:type="dxa" w:w="80"/>
              <w:left w:type="dxa" w:w="100"/>
              <w:bottom w:type="dxa" w:w="80"/>
              <w:right w:type="dxa" w:w="100"/>
            </w:tcMar>
          </w:tcPr>
          <w:p>
            <w:pPr>
              <w:jc w:val="left"/>
            </w:pPr>
            <w:r>
              <w:rPr>
                <w:b w:val="false"/>
                <w:bCs w:val="false"/>
                <w:color w:val="000000"/>
                <w:sz w:val="19"/>
                <w:szCs w:val="19"/>
              </w:rPr>
              <w:t xml:space="preserve">Often lower markup, closer to mid-market</w:t>
            </w:r>
          </w:p>
        </w:tc>
      </w:tr>
      <w:tr>
        <w:tc>
          <w:tcPr>
            <w:tcW w:type="dxa" w:w="2500"/>
            <w:tcMar>
              <w:top w:type="dxa" w:w="80"/>
              <w:left w:type="dxa" w:w="100"/>
              <w:bottom w:type="dxa" w:w="80"/>
              <w:right w:type="dxa" w:w="100"/>
            </w:tcMar>
          </w:tcPr>
          <w:p>
            <w:pPr>
              <w:jc w:val="left"/>
            </w:pPr>
            <w:r>
              <w:rPr>
                <w:b w:val="false"/>
                <w:bCs w:val="false"/>
                <w:color w:val="000000"/>
                <w:sz w:val="19"/>
                <w:szCs w:val="19"/>
              </w:rPr>
              <w:t xml:space="preserve">Digital banking / held-balance accounts</w:t>
            </w:r>
          </w:p>
        </w:tc>
        <w:tc>
          <w:tcPr>
            <w:tcW w:type="dxa" w:w="3500"/>
            <w:tcMar>
              <w:top w:type="dxa" w:w="80"/>
              <w:left w:type="dxa" w:w="100"/>
              <w:bottom w:type="dxa" w:w="80"/>
              <w:right w:type="dxa" w:w="100"/>
            </w:tcMar>
          </w:tcPr>
          <w:p>
            <w:pPr>
              <w:jc w:val="left"/>
            </w:pPr>
            <w:r>
              <w:rPr>
                <w:b w:val="false"/>
                <w:bCs w:val="false"/>
                <w:color w:val="000000"/>
                <w:sz w:val="19"/>
                <w:szCs w:val="19"/>
              </w:rPr>
              <w:t xml:space="preserve">Expanding via WU+ / Digital Banking in select markets</w:t>
            </w:r>
          </w:p>
        </w:tc>
        <w:tc>
          <w:tcPr>
            <w:tcW w:type="dxa" w:w="3500"/>
            <w:tcMar>
              <w:top w:type="dxa" w:w="80"/>
              <w:left w:type="dxa" w:w="100"/>
              <w:bottom w:type="dxa" w:w="80"/>
              <w:right w:type="dxa" w:w="100"/>
            </w:tcMar>
          </w:tcPr>
          <w:p>
            <w:pPr>
              <w:jc w:val="left"/>
            </w:pPr>
            <w:r>
              <w:rPr>
                <w:b w:val="false"/>
                <w:bCs w:val="false"/>
                <w:color w:val="000000"/>
                <w:sz w:val="19"/>
                <w:szCs w:val="19"/>
              </w:rPr>
              <w:t xml:space="preserve">Core product for several competitors (e.g., Wise multi-currency account)</w:t>
            </w:r>
          </w:p>
        </w:tc>
      </w:tr>
      <w:tr>
        <w:tc>
          <w:tcPr>
            <w:tcW w:type="dxa" w:w="2500"/>
            <w:shd w:fill="F2F2F2" w:color="auto" w:val="clear"/>
            <w:tcMar>
              <w:top w:type="dxa" w:w="80"/>
              <w:left w:type="dxa" w:w="100"/>
              <w:bottom w:type="dxa" w:w="80"/>
              <w:right w:type="dxa" w:w="100"/>
            </w:tcMar>
          </w:tcPr>
          <w:p>
            <w:pPr>
              <w:jc w:val="left"/>
            </w:pPr>
            <w:r>
              <w:rPr>
                <w:b w:val="false"/>
                <w:bCs w:val="false"/>
                <w:color w:val="000000"/>
                <w:sz w:val="19"/>
                <w:szCs w:val="19"/>
              </w:rPr>
              <w:t xml:space="preserve">Blockchain/stablecoin settlement</w:t>
            </w:r>
          </w:p>
        </w:tc>
        <w:tc>
          <w:tcPr>
            <w:tcW w:type="dxa" w:w="3500"/>
            <w:shd w:fill="F2F2F2" w:color="auto" w:val="clear"/>
            <w:tcMar>
              <w:top w:type="dxa" w:w="80"/>
              <w:left w:type="dxa" w:w="100"/>
              <w:bottom w:type="dxa" w:w="80"/>
              <w:right w:type="dxa" w:w="100"/>
            </w:tcMar>
          </w:tcPr>
          <w:p>
            <w:pPr>
              <w:jc w:val="left"/>
            </w:pPr>
            <w:r>
              <w:rPr>
                <w:b w:val="false"/>
                <w:bCs w:val="false"/>
                <w:color w:val="000000"/>
                <w:sz w:val="19"/>
                <w:szCs w:val="19"/>
              </w:rPr>
              <w:t xml:space="preserve">Actively building (USDPT, 2026)</w:t>
            </w:r>
          </w:p>
        </w:tc>
        <w:tc>
          <w:tcPr>
            <w:tcW w:type="dxa" w:w="3500"/>
            <w:shd w:fill="F2F2F2" w:color="auto" w:val="clear"/>
            <w:tcMar>
              <w:top w:type="dxa" w:w="80"/>
              <w:left w:type="dxa" w:w="100"/>
              <w:bottom w:type="dxa" w:w="80"/>
              <w:right w:type="dxa" w:w="100"/>
            </w:tcMar>
          </w:tcPr>
          <w:p>
            <w:pPr>
              <w:jc w:val="left"/>
            </w:pPr>
            <w:r>
              <w:rPr>
                <w:b w:val="false"/>
                <w:bCs w:val="false"/>
                <w:color w:val="000000"/>
                <w:sz w:val="19"/>
                <w:szCs w:val="19"/>
              </w:rPr>
              <w:t xml:space="preserve">Limited to none among mainstream remittance apps as of mid-2026</w:t>
            </w:r>
          </w:p>
        </w:tc>
      </w:tr>
      <w:tr>
        <w:tc>
          <w:tcPr>
            <w:tcW w:type="dxa" w:w="2500"/>
            <w:tcMar>
              <w:top w:type="dxa" w:w="80"/>
              <w:left w:type="dxa" w:w="100"/>
              <w:bottom w:type="dxa" w:w="80"/>
              <w:right w:type="dxa" w:w="100"/>
            </w:tcMar>
          </w:tcPr>
          <w:p>
            <w:pPr>
              <w:jc w:val="left"/>
            </w:pPr>
            <w:r>
              <w:rPr>
                <w:b w:val="false"/>
                <w:bCs w:val="false"/>
                <w:color w:val="000000"/>
                <w:sz w:val="19"/>
                <w:szCs w:val="19"/>
              </w:rPr>
              <w:t xml:space="preserve">Brand trust / longevity</w:t>
            </w:r>
          </w:p>
        </w:tc>
        <w:tc>
          <w:tcPr>
            <w:tcW w:type="dxa" w:w="3500"/>
            <w:tcMar>
              <w:top w:type="dxa" w:w="80"/>
              <w:left w:type="dxa" w:w="100"/>
              <w:bottom w:type="dxa" w:w="80"/>
              <w:right w:type="dxa" w:w="100"/>
            </w:tcMar>
          </w:tcPr>
          <w:p>
            <w:pPr>
              <w:jc w:val="left"/>
            </w:pPr>
            <w:r>
              <w:rPr>
                <w:b w:val="false"/>
                <w:bCs w:val="false"/>
                <w:color w:val="000000"/>
                <w:sz w:val="19"/>
                <w:szCs w:val="19"/>
              </w:rPr>
              <w:t xml:space="preserve">170+ years, broad recognition in cash-reliant and underbanked markets</w:t>
            </w:r>
          </w:p>
        </w:tc>
        <w:tc>
          <w:tcPr>
            <w:tcW w:type="dxa" w:w="3500"/>
            <w:tcMar>
              <w:top w:type="dxa" w:w="80"/>
              <w:left w:type="dxa" w:w="100"/>
              <w:bottom w:type="dxa" w:w="80"/>
              <w:right w:type="dxa" w:w="100"/>
            </w:tcMar>
          </w:tcPr>
          <w:p>
            <w:pPr>
              <w:jc w:val="left"/>
            </w:pPr>
            <w:r>
              <w:rPr>
                <w:b w:val="false"/>
                <w:bCs w:val="false"/>
                <w:color w:val="000000"/>
                <w:sz w:val="19"/>
                <w:szCs w:val="19"/>
              </w:rPr>
              <w:t xml:space="preserve">Newer entrants, stronger digital-native trust with younger users</w:t>
            </w:r>
          </w:p>
        </w:tc>
      </w:tr>
    </w:tbl>
    <w:p>
      <w:pPr>
        <w:pStyle w:val="Heading1"/>
        <w:pBdr>
          <w:bottom w:val="single" w:color="1E3A5F" w:sz="6" w:space="4"/>
        </w:pBdr>
        <w:spacing w:after="160" w:before="360"/>
      </w:pPr>
      <w:r>
        <w:rPr>
          <w:b/>
          <w:bCs/>
          <w:color w:val="1E3A5F"/>
          <w:sz w:val="30"/>
          <w:szCs w:val="30"/>
        </w:rPr>
        <w:t xml:space="preserve">10. Summary Assessment</w:t>
      </w:r>
    </w:p>
    <w:p>
      <w:pPr>
        <w:spacing w:after="120" w:line="276"/>
      </w:pPr>
      <w:r>
        <w:rPr>
          <w:sz w:val="21"/>
          <w:szCs w:val="21"/>
        </w:rPr>
        <w:t xml:space="preserve">The Western Union mobile app in mid-2026 functions as a hybrid bridge product: it retains the transactional simplicity and cash-network reach that built the company's remittance dominance, while layering on digital-wallet, banking, and bill-pay features aimed at retaining customers who might otherwise migrate to app-only fintech rivals. Its most consequential near-term shift is infrastructural rather than user-facing — the USDPT stablecoin and Digital Asset Network are being used first to modernize back-end settlement, with a consumer-facing "Stable by Western Union" spend product planned to follow later in 2026. Execution risk sits mainly in identity-verification friction and customer-support capacity, which are the most consistent complaints across app-store and review-site feedback, even as headline satisfaction and star ratings remain solidly positive.</w:t>
      </w:r>
    </w:p>
    <w:p>
      <w:pPr>
        <w:pBdr>
          <w:top w:val="single" w:color="595959" w:sz="4" w:space="4"/>
        </w:pBdr>
        <w:spacing w:before="300"/>
      </w:pPr>
      <w:r>
        <w:rPr>
          <w:i/>
          <w:iCs/>
          <w:color w:val="595959"/>
          <w:sz w:val="16"/>
          <w:szCs w:val="16"/>
        </w:rPr>
        <w:t xml:space="preserve">Sources: Western Union official app listings (App Store, Google Play), Western Union corporate/IR press releases, app-store user reviews, and third-party coverage (American Banker, CoinDesk, Forbes, The Defiant, CCN, Firstcard, Wise, Guide247usa) current through July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2026-07-31T10:22:39.615Z</dcterms:created>
  <dcterms:modified xsi:type="dcterms:W3CDTF">2026-07-31T10:22:39.643Z</dcterms:modified>
</cp:coreProperties>
</file>

<file path=docProps/custom.xml><?xml version="1.0" encoding="utf-8"?>
<Properties xmlns="http://schemas.openxmlformats.org/officeDocument/2006/custom-properties" xmlns:vt="http://schemas.openxmlformats.org/officeDocument/2006/docPropsVTypes"/>
</file>