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Résumé de l’article : Reasoning with Graphs</w:t>
      </w:r>
    </w:p>
    <w:p>
      <w:r>
        <w:br/>
        <w:t>Titre : Reasoning with Graphs: Structuring Implicit Knowledge to Enhance LLMs Reasoning</w:t>
        <w:br/>
        <w:t>Auteurs : Haoyu Han et al. (Michigan State University, Amazon, Texas A&amp;M University)</w:t>
        <w:br/>
        <w:t>Année : 2025</w:t>
        <w:br/>
        <w:br/>
        <w:t>Résumé :</w:t>
        <w:br/>
        <w:t>Cet article propose une approche intitulée Reasoning with Graphs (RWG), visant à améliorer les capacités de raisonnement des grands modèles de langage (LLMs) dans des tâches complexes telles que le raisonnement logique et le question-réponse multi-sauts. Les auteurs partent du constat que les LLMs, bien que performants en compréhension du langage naturel, rencontrent des difficultés lorsqu’ils doivent inférer des relations implicites entre entités, notamment lorsque ces relations ne sont pas explicitement fournies sous forme de structures graphiques.</w:t>
        <w:br/>
        <w:br/>
        <w:t>Contrairement aux méthodes de prompting existantes comme Chain-of-Thought (CoT), Tree-of-Thought (ToT) ou Graph-of-Thoughts (GoT), qui organisent les pensées générées par les LLMs, RWG se distingue par la construction explicite d’un graphe de connaissances directement à partir du contexte textuel du problème. Dans ce graphe, les nœuds représentent les entités mentionnées ou inférées, tandis que les arêtes correspondent aux relations entre ces entités.</w:t>
        <w:br/>
        <w:br/>
        <w:t>La méthode RWG repose sur un processus itératif en deux étapes : la génération du graphe et sa vérification. Le LLM est d’abord guidé pour extraire les entités et relations explicites afin de construire un graphe initial. Ensuite, un mécanisme de vérification permet d’identifier les entités ou relations manquantes, qui sont progressivement ajoutées jusqu’à ce que le graphe satisfasse toutes les contraintes du problème. Une fois le graphe complété, il est utilisé comme support explicite pour répondre à la question.</w:t>
        <w:br/>
        <w:br/>
        <w:t>Les auteurs évaluent RWG sur plusieurs benchmarks de raisonnement logique (AIW, AIW+, LogiQA, AR-LSAT) et de question-réponse multi-sauts (HotpotQA, MuSiQue, 2WikiMultihopQA, Clutrr). Les résultats expérimentaux montrent que RWG surpasse systématiquement les approches classiques de prompting, en particulier pour les questions nécessitant un raisonnement multi-étapes complexe. Les gains sont particulièrement marqués lorsque les questions comportent des relations implicites ou des dépendances longues.</w:t>
        <w:br/>
        <w:br/>
        <w:t>En conclusion, cet article démontre que la structuration explicite des connaissances implicites sous forme de graphes constitue une stratégie efficace pour renforcer les capacités de raisonnement des LLMs. L’approche RWG ouvre des perspectives prometteuses pour le développement de modèles capables de raisonnement structuré, notamment dans les scénarios de question-réponse basés sur des graphes.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