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777777"/>
          <w:sz w:val="20"/>
          <w:szCs w:val="20"/>
        </w:rPr>
        <w:t xml:space="preserve">TENACIOUS INTELLIGENCE CORPORATION</w:t>
      </w:r>
    </w:p>
    <w:p>
      <w:pPr>
        <w:spacing w:after="160" w:before="0"/>
        <w:jc w:val="center"/>
      </w:pPr>
      <w:r>
        <w:rPr>
          <w:rFonts w:ascii="Arial" w:cs="Arial" w:eastAsia="Arial" w:hAnsi="Arial"/>
          <w:i/>
          <w:iCs/>
          <w:color w:val="AA0000"/>
          <w:sz w:val="18"/>
          <w:szCs w:val="18"/>
        </w:rPr>
        <w:t xml:space="preserve">CONFIDENTIAL — FOR EXECUTIVE REVIEW ONLY</w:t>
      </w:r>
    </w:p>
    <w:p>
      <w:pPr>
        <w:spacing w:after="80" w:before="0"/>
        <w:jc w:val="center"/>
      </w:pPr>
      <w:r>
        <w:rPr>
          <w:rFonts w:ascii="Arial" w:cs="Arial" w:eastAsia="Arial" w:hAnsi="Arial"/>
          <w:b/>
          <w:bCs/>
          <w:color w:val="1F3864"/>
          <w:sz w:val="48"/>
          <w:szCs w:val="48"/>
        </w:rPr>
        <w:t xml:space="preserve">Conversion Engine</w:t>
      </w:r>
    </w:p>
    <w:p>
      <w:pPr>
        <w:spacing w:after="80" w:before="0"/>
        <w:jc w:val="center"/>
      </w:pPr>
      <w:r>
        <w:rPr>
          <w:rFonts w:ascii="Arial" w:cs="Arial" w:eastAsia="Arial" w:hAnsi="Arial"/>
          <w:b/>
          <w:bCs/>
          <w:color w:val="2E5090"/>
          <w:sz w:val="32"/>
          <w:szCs w:val="32"/>
        </w:rPr>
        <w:t xml:space="preserve">Deploy or Kill — Decision Memo</w:t>
      </w:r>
    </w:p>
    <w:p>
      <w:pPr>
        <w:spacing w:after="240" w:before="0"/>
        <w:jc w:val="center"/>
      </w:pPr>
      <w:r>
        <w:rPr>
          <w:rFonts w:ascii="Arial" w:cs="Arial" w:eastAsia="Arial" w:hAnsi="Arial"/>
          <w:i/>
          <w:iCs/>
          <w:color w:val="555555"/>
          <w:sz w:val="20"/>
          <w:szCs w:val="20"/>
        </w:rPr>
        <w:t xml:space="preserve">Prepared by: Meseret Bolled  |  April 25, 2026  |  For: CEO and CFO, Tenacious</w:t>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Executive Summary</w:t>
      </w:r>
    </w:p>
    <w:p>
      <w:pPr>
        <w:spacing w:after="80" w:before="80"/>
      </w:pPr>
      <w:r>
        <w:rPr>
          <w:rFonts w:ascii="Arial" w:cs="Arial" w:eastAsia="Arial" w:hAnsi="Arial"/>
          <w:sz w:val="22"/>
          <w:szCs w:val="22"/>
        </w:rPr>
        <w:t xml:space="preserve">The Conversion Engine is a fully automated B2B outreach system built in one week. It identifies companies matching Tenacious's four ICP segments, enriches each prospect with six verified signals, composes a personalized cold email grounded in public facts, sends it via Resend, logs the contact in HubSpot, and routes replies to an AI conversation manager. The system is live on Render at conversion-engine10.onrender.com.</w:t>
      </w:r>
    </w:p>
    <w:p>
      <w:pPr>
        <w:spacing w:after="60" w:before="60"/>
      </w:pPr>
      <w:r>
        <w:t xml:space="preserve"/>
      </w:r>
    </w:p>
    <w:p>
      <w:pPr>
        <w:spacing w:after="80" w:before="80"/>
      </w:pPr>
      <w:r>
        <w:rPr>
          <w:rFonts w:ascii="Arial" w:cs="Arial" w:eastAsia="Arial" w:hAnsi="Arial"/>
          <w:sz w:val="22"/>
          <w:szCs w:val="22"/>
        </w:rPr>
        <w:t xml:space="preserve">This memo presents the evidence for a deploy decision. Every number traces to a source file in the repository.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Pipeline latency p50</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5.68 seconds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Langfuse cloud.langfuse.com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latency p95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8.41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Langfuse cloud.langfuse.com</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τ²-Bench pass@1 (v3)</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56.7% (17/30)</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eval/score_log.json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pass@1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72.67%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eval/score_log.json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Adversarial probe pass rate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 (10/10 automated)</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probes/probe_results.json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Stalled deal rate (current)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seed/baseline_numbers.md</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Engineers on bench</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36</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seed/bench_summary.json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Signal-grounded reply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seed/baseline_numbers.md</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Generic outreach reply rate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1-3%</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seed/baseline_numbers.md</w:t>
            </w:r>
          </w:p>
        </w:tc>
      </w:tr>
    </w:tbl>
    <w:p>
      <w:pPr>
        <w:spacing w:after="60" w:before="60"/>
      </w:pPr>
      <w:r>
        <w:t xml:space="preserve"/>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Architecture Overview</w:t>
      </w:r>
    </w:p>
    <w:p>
      <w:pPr>
        <w:spacing w:after="80" w:before="80"/>
      </w:pPr>
      <w:r>
        <w:rPr>
          <w:rFonts w:ascii="Arial" w:cs="Arial" w:eastAsia="Arial" w:hAnsi="Arial"/>
          <w:sz w:val="22"/>
          <w:szCs w:val="22"/>
        </w:rPr>
        <w:t xml:space="preserve">The system consists of six components operating in sequence. Each component is independently testable and has a defined interface.</w:t>
      </w:r>
    </w:p>
    <w:p>
      <w:pPr>
        <w:spacing w:after="60" w:before="60"/>
      </w:pPr>
      <w:r>
        <w:t xml:space="preserve"/>
      </w:r>
    </w:p>
    <w:p>
      <w:pPr>
        <w:pStyle w:val="Heading2"/>
        <w:spacing w:after="80" w:before="200"/>
      </w:pPr>
      <w:r>
        <w:rPr>
          <w:rFonts w:ascii="Arial" w:cs="Arial" w:eastAsia="Arial" w:hAnsi="Arial"/>
          <w:b/>
          <w:bCs/>
          <w:color w:val="2E5090"/>
          <w:sz w:val="24"/>
          <w:szCs w:val="24"/>
        </w:rPr>
        <w:t xml:space="preserve">1. Signal Enrichment Pipeline</w:t>
      </w:r>
    </w:p>
    <w:p>
      <w:pPr>
        <w:spacing w:after="80" w:before="80"/>
      </w:pPr>
      <w:r>
        <w:rPr>
          <w:rFonts w:ascii="Arial" w:cs="Arial" w:eastAsia="Arial" w:hAnsi="Arial"/>
          <w:sz w:val="22"/>
          <w:szCs w:val="22"/>
        </w:rPr>
        <w:t xml:space="preserve">Six data sources are queried in parallel for every prospect. Each signal carries a confidence label (high, medium, low) and an evidence string.</w:t>
      </w:r>
    </w:p>
    <w:p>
      <w:pPr>
        <w:pStyle w:val="ListParagraph"/>
        <w:numPr>
          <w:ilvl w:val="0"/>
          <w:numId w:val="2"/>
        </w:numPr>
        <w:spacing w:after="40" w:before="40"/>
      </w:pPr>
      <w:r>
        <w:rPr>
          <w:rFonts w:ascii="Arial" w:cs="Arial" w:eastAsia="Arial" w:hAnsi="Arial"/>
          <w:b/>
          <w:bCs/>
          <w:sz w:val="22"/>
          <w:szCs w:val="22"/>
        </w:rPr>
        <w:t xml:space="preserve">Crunchbase ODM</w:t>
      </w:r>
      <w:r>
        <w:rPr>
          <w:rFonts w:ascii="Arial" w:cs="Arial" w:eastAsia="Arial" w:hAnsi="Arial"/>
          <w:sz w:val="22"/>
          <w:szCs w:val="22"/>
        </w:rPr>
        <w:t xml:space="preserve"> — 1,001 company records, firmographic data, funding history</w:t>
      </w:r>
    </w:p>
    <w:p>
      <w:pPr>
        <w:pStyle w:val="ListParagraph"/>
        <w:numPr>
          <w:ilvl w:val="0"/>
          <w:numId w:val="2"/>
        </w:numPr>
        <w:spacing w:after="40" w:before="40"/>
      </w:pPr>
      <w:r>
        <w:rPr>
          <w:rFonts w:ascii="Arial" w:cs="Arial" w:eastAsia="Arial" w:hAnsi="Arial"/>
          <w:b/>
          <w:bCs/>
          <w:sz w:val="22"/>
          <w:szCs w:val="22"/>
        </w:rPr>
        <w:t xml:space="preserve">layoffs.fyi CSV</w:t>
      </w:r>
      <w:r>
        <w:rPr>
          <w:rFonts w:ascii="Arial" w:cs="Arial" w:eastAsia="Arial" w:hAnsi="Arial"/>
          <w:sz w:val="22"/>
          <w:szCs w:val="22"/>
        </w:rPr>
        <w:t xml:space="preserve"> — headcount reduction events within 120-day window</w:t>
      </w:r>
    </w:p>
    <w:p>
      <w:pPr>
        <w:pStyle w:val="ListParagraph"/>
        <w:numPr>
          <w:ilvl w:val="0"/>
          <w:numId w:val="2"/>
        </w:numPr>
        <w:spacing w:after="40" w:before="40"/>
      </w:pPr>
      <w:r>
        <w:rPr>
          <w:rFonts w:ascii="Arial" w:cs="Arial" w:eastAsia="Arial" w:hAnsi="Arial"/>
          <w:b/>
          <w:bCs/>
          <w:sz w:val="22"/>
          <w:szCs w:val="22"/>
        </w:rPr>
        <w:t xml:space="preserve">Playwright job scraper</w:t>
      </w:r>
      <w:r>
        <w:rPr>
          <w:rFonts w:ascii="Arial" w:cs="Arial" w:eastAsia="Arial" w:hAnsi="Arial"/>
          <w:sz w:val="22"/>
          <w:szCs w:val="22"/>
        </w:rPr>
        <w:t xml:space="preserve"> — open role counts, AI-adjacent roles, tech stack detection</w:t>
      </w:r>
    </w:p>
    <w:p>
      <w:pPr>
        <w:pStyle w:val="ListParagraph"/>
        <w:numPr>
          <w:ilvl w:val="0"/>
          <w:numId w:val="2"/>
        </w:numPr>
        <w:spacing w:after="40" w:before="40"/>
      </w:pPr>
      <w:r>
        <w:rPr>
          <w:rFonts w:ascii="Arial" w:cs="Arial" w:eastAsia="Arial" w:hAnsi="Arial"/>
          <w:b/>
          <w:bCs/>
          <w:sz w:val="22"/>
          <w:szCs w:val="22"/>
        </w:rPr>
        <w:t xml:space="preserve">Leadership change detector</w:t>
      </w:r>
      <w:r>
        <w:rPr>
          <w:rFonts w:ascii="Arial" w:cs="Arial" w:eastAsia="Arial" w:hAnsi="Arial"/>
          <w:sz w:val="22"/>
          <w:szCs w:val="22"/>
        </w:rPr>
        <w:t xml:space="preserve"> — new CTO or VP Engineering appointed within 90 days</w:t>
      </w:r>
    </w:p>
    <w:p>
      <w:pPr>
        <w:pStyle w:val="ListParagraph"/>
        <w:numPr>
          <w:ilvl w:val="0"/>
          <w:numId w:val="2"/>
        </w:numPr>
        <w:spacing w:after="40" w:before="40"/>
      </w:pPr>
      <w:r>
        <w:rPr>
          <w:rFonts w:ascii="Arial" w:cs="Arial" w:eastAsia="Arial" w:hAnsi="Arial"/>
          <w:b/>
          <w:bCs/>
          <w:sz w:val="22"/>
          <w:szCs w:val="22"/>
        </w:rPr>
        <w:t xml:space="preserve">AI maturity scorer</w:t>
      </w:r>
      <w:r>
        <w:rPr>
          <w:rFonts w:ascii="Arial" w:cs="Arial" w:eastAsia="Arial" w:hAnsi="Arial"/>
          <w:sz w:val="22"/>
          <w:szCs w:val="22"/>
        </w:rPr>
        <w:t xml:space="preserve"> — 0-3 scale across 6 weighted signals</w:t>
      </w:r>
    </w:p>
    <w:p>
      <w:pPr>
        <w:pStyle w:val="ListParagraph"/>
        <w:numPr>
          <w:ilvl w:val="0"/>
          <w:numId w:val="2"/>
        </w:numPr>
        <w:spacing w:after="40" w:before="40"/>
      </w:pPr>
      <w:r>
        <w:rPr>
          <w:rFonts w:ascii="Arial" w:cs="Arial" w:eastAsia="Arial" w:hAnsi="Arial"/>
          <w:b/>
          <w:bCs/>
          <w:sz w:val="22"/>
          <w:szCs w:val="22"/>
        </w:rPr>
        <w:t xml:space="preserve">Competitor gap brief</w:t>
      </w:r>
      <w:r>
        <w:rPr>
          <w:rFonts w:ascii="Arial" w:cs="Arial" w:eastAsia="Arial" w:hAnsi="Arial"/>
          <w:sz w:val="22"/>
          <w:szCs w:val="22"/>
        </w:rPr>
        <w:t xml:space="preserve"> — LLM-generated narrative comparing prospect to sector peers</w:t>
      </w:r>
    </w:p>
    <w:p>
      <w:pPr>
        <w:spacing w:after="60" w:before="60"/>
      </w:pPr>
      <w:r>
        <w:t xml:space="preserve"/>
      </w:r>
    </w:p>
    <w:p>
      <w:pPr>
        <w:pStyle w:val="Heading2"/>
        <w:spacing w:after="80" w:before="200"/>
      </w:pPr>
      <w:r>
        <w:rPr>
          <w:rFonts w:ascii="Arial" w:cs="Arial" w:eastAsia="Arial" w:hAnsi="Arial"/>
          <w:b/>
          <w:bCs/>
          <w:color w:val="2E5090"/>
          <w:sz w:val="24"/>
          <w:szCs w:val="24"/>
        </w:rPr>
        <w:t xml:space="preserve">2. ICP Classifier</w:t>
      </w:r>
    </w:p>
    <w:p>
      <w:pPr>
        <w:spacing w:after="80" w:before="80"/>
      </w:pPr>
      <w:r>
        <w:rPr>
          <w:rFonts w:ascii="Arial" w:cs="Arial" w:eastAsia="Arial" w:hAnsi="Arial"/>
          <w:sz w:val="22"/>
          <w:szCs w:val="22"/>
        </w:rPr>
        <w:t xml:space="preserve">Reads enriched signals and assigns the prospect to one of four segments. Classification follows priority rules from seed/icp_definition.md. Disqualifiers prevent false-positive segment assignment.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4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Qualifying Signal</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Disqualifier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 Recently funded</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Series A/B closed within 180 days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Layoff in same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Mid-market restructuring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Layoff within 120 days, confidence 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Layoff &gt; 40% headcount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 Leadership transition</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 CTO/VP Eng within 90 days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person, previous role same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AI capability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maturity score &gt;=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&lt; 2</w:t>
            </w:r>
          </w:p>
        </w:tc>
      </w:tr>
    </w:tbl>
    <w:p>
      <w:pPr>
        <w:spacing w:after="60" w:before="60"/>
      </w:pPr>
      <w:r>
        <w:t xml:space="preserve"/>
      </w:r>
    </w:p>
    <w:p>
      <w:pPr>
        <w:pStyle w:val="Heading2"/>
        <w:spacing w:after="80" w:before="200"/>
      </w:pPr>
      <w:r>
        <w:rPr>
          <w:rFonts w:ascii="Arial" w:cs="Arial" w:eastAsia="Arial" w:hAnsi="Arial"/>
          <w:b/>
          <w:bCs/>
          <w:color w:val="2E5090"/>
          <w:sz w:val="24"/>
          <w:szCs w:val="24"/>
        </w:rPr>
        <w:t xml:space="preserve">3. Outreach Composer</w:t>
      </w:r>
    </w:p>
    <w:p>
      <w:pPr>
        <w:spacing w:after="80" w:before="80"/>
      </w:pPr>
      <w:r>
        <w:rPr>
          <w:rFonts w:ascii="Arial" w:cs="Arial" w:eastAsia="Arial" w:hAnsi="Arial"/>
          <w:sz w:val="22"/>
          <w:szCs w:val="22"/>
        </w:rPr>
        <w:t xml:space="preserve">Assembles a structured prompt from verified signals and calls DeepSeek V3 via OpenRouter. Honesty constraints are injected as explicit Python-enforced rules before the LLM call — the LLM never decides whether to assert or hedge.</w:t>
      </w:r>
    </w:p>
    <w:p>
      <w:pPr>
        <w:spacing w:after="60" w:before="60"/>
      </w:pPr>
      <w:r>
        <w:t xml:space="preserve"/>
      </w:r>
    </w:p>
    <w:p>
      <w:pPr>
        <w:spacing w:after="80" w:before="80"/>
      </w:pPr>
      <w:r>
        <w:rPr>
          <w:rFonts w:ascii="Arial" w:cs="Arial" w:eastAsia="Arial" w:hAnsi="Arial"/>
          <w:sz w:val="22"/>
          <w:szCs w:val="22"/>
        </w:rPr>
        <w:t xml:space="preserve">Seed materials loaded at import time: style_guide.md (5,170 chars), icp_definition.md (8,562 chars), cold.md (7,237 chars), pricing_sheet.md (5,700 chars).</w:t>
      </w:r>
    </w:p>
    <w:p>
      <w:pPr>
        <w:spacing w:after="60" w:before="60"/>
      </w:pPr>
      <w:r>
        <w:t xml:space="preserve"/>
      </w:r>
    </w:p>
    <w:p>
      <w:pPr>
        <w:pStyle w:val="Heading2"/>
        <w:spacing w:after="80" w:before="200"/>
      </w:pPr>
      <w:r>
        <w:rPr>
          <w:rFonts w:ascii="Arial" w:cs="Arial" w:eastAsia="Arial" w:hAnsi="Arial"/>
          <w:b/>
          <w:bCs/>
          <w:color w:val="2E5090"/>
          <w:sz w:val="24"/>
          <w:szCs w:val="24"/>
        </w:rPr>
        <w:t xml:space="preserve">4. Delivery and CRM</w:t>
      </w:r>
    </w:p>
    <w:p>
      <w:pPr>
        <w:spacing w:after="80" w:before="80"/>
      </w:pPr>
      <w:r>
        <w:rPr>
          <w:rFonts w:ascii="Arial" w:cs="Arial" w:eastAsia="Arial" w:hAnsi="Arial"/>
          <w:sz w:val="22"/>
          <w:szCs w:val="22"/>
        </w:rPr>
        <w:t xml:space="preserve">Resend sends the email. HubSpot creates a contact record with five custom properties: icp_segment, ai_maturity_score, crunchbase_id, discovery_call_url, discovery_call_time. Africa's Talking handles inbound SMS for warm prospects. Cal.com provides the discovery call booking page.</w:t>
      </w:r>
    </w:p>
    <w:p>
      <w:pPr>
        <w:spacing w:after="60" w:before="60"/>
      </w:pPr>
      <w:r>
        <w:t xml:space="preserve"/>
      </w:r>
    </w:p>
    <w:p>
      <w:pPr>
        <w:pStyle w:val="Heading2"/>
        <w:spacing w:after="80" w:before="200"/>
      </w:pPr>
      <w:r>
        <w:rPr>
          <w:rFonts w:ascii="Arial" w:cs="Arial" w:eastAsia="Arial" w:hAnsi="Arial"/>
          <w:b/>
          <w:bCs/>
          <w:color w:val="2E5090"/>
          <w:sz w:val="24"/>
          <w:szCs w:val="24"/>
        </w:rPr>
        <w:t xml:space="preserve">5. Observability</w:t>
      </w:r>
    </w:p>
    <w:p>
      <w:pPr>
        <w:spacing w:after="80" w:before="80"/>
      </w:pPr>
      <w:r>
        <w:rPr>
          <w:rFonts w:ascii="Arial" w:cs="Arial" w:eastAsia="Arial" w:hAnsi="Arial"/>
          <w:sz w:val="22"/>
          <w:szCs w:val="22"/>
        </w:rPr>
        <w:t xml:space="preserve">Every pipeline run is traced in Langfuse with span-level latency and LLM call attribution. 30 traces collected during development. p50 = 5.68 seconds. p95 = 8.41 seconds. Both within the 10-second target.</w:t>
      </w:r>
    </w:p>
    <w:p>
      <w:pPr>
        <w:spacing w:after="60" w:before="60"/>
      </w:pPr>
      <w:r>
        <w:t xml:space="preserve"/>
      </w:r>
    </w:p>
    <w:p>
      <w:pPr>
        <w:pStyle w:val="Heading2"/>
        <w:spacing w:after="80" w:before="200"/>
      </w:pPr>
      <w:r>
        <w:rPr>
          <w:rFonts w:ascii="Arial" w:cs="Arial" w:eastAsia="Arial" w:hAnsi="Arial"/>
          <w:b/>
          <w:bCs/>
          <w:color w:val="2E5090"/>
          <w:sz w:val="24"/>
          <w:szCs w:val="24"/>
        </w:rPr>
        <w:t xml:space="preserve">6. Kill Switch</w:t>
      </w:r>
    </w:p>
    <w:p>
      <w:pPr>
        <w:spacing w:after="80" w:before="80"/>
      </w:pPr>
      <w:r>
        <w:rPr>
          <w:rFonts w:ascii="Arial" w:cs="Arial" w:eastAsia="Arial" w:hAnsi="Arial"/>
          <w:sz w:val="22"/>
          <w:szCs w:val="22"/>
        </w:rPr>
        <w:t xml:space="preserve">TENACIOUS_OUTBOUND_ENABLED is unset by default. All outbound routes to the staff sink unless explicitly enabled. Automatic disablement triggers: wrong-signal complaint rate &gt; 2% in 7 days, bench over-commitment detected, reply rate below 1% for 3 consecutive days.</w:t>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Enrichment Pipeline — Evidence</w:t>
      </w:r>
    </w:p>
    <w:p>
      <w:pPr>
        <w:spacing w:after="80" w:before="80"/>
      </w:pPr>
      <w:r>
        <w:rPr>
          <w:rFonts w:ascii="Arial" w:cs="Arial" w:eastAsia="Arial" w:hAnsi="Arial"/>
          <w:sz w:val="22"/>
          <w:szCs w:val="22"/>
        </w:rPr>
        <w:t xml:space="preserve">A hiring signal brief is generated for every prospect before any LLM call is made. The brief is validated against schemas/hiring_signal_brief.schema.json. A real brief for Stripe is committed to data/briefs/stripe_hiring.json.</w:t>
      </w:r>
    </w:p>
    <w:p>
      <w:pPr>
        <w:spacing w:after="60" w:before="60"/>
      </w:pPr>
      <w:r>
        <w:t xml:space="preserve"/>
      </w:r>
    </w:p>
    <w:p>
      <w:pPr>
        <w:pStyle w:val="Heading2"/>
        <w:spacing w:after="80" w:before="200"/>
      </w:pPr>
      <w:r>
        <w:rPr>
          <w:rFonts w:ascii="Arial" w:cs="Arial" w:eastAsia="Arial" w:hAnsi="Arial"/>
          <w:b/>
          <w:bCs/>
          <w:color w:val="2E5090"/>
          <w:sz w:val="24"/>
          <w:szCs w:val="24"/>
        </w:rPr>
        <w:t xml:space="preserve">Stripe Test Case — Verified Signals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440"/>
        <w:gridCol w:w="1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Layoff</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300 employees (3%) on Jan 21 2025</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layoffs.fyi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ICP Segment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Mid-market restructuring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icp_classifier.py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AI Maturity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0/3</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ai_maturity.py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Roles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(scraper skipped on Render)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job_scraper.py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Leadership Change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detected</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leadership_change.py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 Gap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generated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competitor_gap_brief.py</w:t>
            </w:r>
          </w:p>
        </w:tc>
      </w:tr>
    </w:tbl>
    <w:p>
      <w:pPr>
        <w:spacing w:after="60" w:before="60"/>
      </w:pPr>
      <w:r>
        <w:t xml:space="preserve"/>
      </w:r>
    </w:p>
    <w:p>
      <w:pPr>
        <w:spacing w:after="80" w:before="80"/>
      </w:pPr>
      <w:r>
        <w:rPr>
          <w:rFonts w:ascii="Arial" w:cs="Arial" w:eastAsia="Arial" w:hAnsi="Arial"/>
          <w:sz w:val="22"/>
          <w:szCs w:val="22"/>
        </w:rPr>
        <w:t xml:space="preserve">Email generated from these signals — Subject: 'Request: 15 minutes on engineering cost reduction'. Body referenced the verified 300-person layoff on January 21, the 40-60% cost reduction offer, and the Cal.com discovery call link. Email arrived in Gmail within 8.21 seconds of pipeline trigger.</w:t>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Adversarial Probing — Act III</w:t>
      </w:r>
    </w:p>
    <w:p>
      <w:pPr>
        <w:spacing w:after="80" w:before="80"/>
      </w:pPr>
      <w:r>
        <w:rPr>
          <w:rFonts w:ascii="Arial" w:cs="Arial" w:eastAsia="Arial" w:hAnsi="Arial"/>
          <w:sz w:val="22"/>
          <w:szCs w:val="22"/>
        </w:rPr>
        <w:t xml:space="preserve">30 probes were designed across 10 failure categories targeting the highest-risk failure modes for a system handling Tenacious's senior executive relationships.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60"/>
        <w:gridCol w:w="264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Probes</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Automated</w:t>
            </w:r>
          </w:p>
        </w:tc>
        <w:tc>
          <w:tcPr>
            <w:tcW w:type="dxa" w:w="2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ICP Misclassification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1-4</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2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PASS / 0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Over-claiming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PASS / 0 FAIL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Bench Over-commitment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9-12</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Tone Drift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MANUAL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Multi-thread Leakage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16-17</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Pathology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MANUAL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Dual-Control Coordination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20-21</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 Edge Cases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MANUAL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Signal Reliability</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25-27</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2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PASS / 0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 Over-claiming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MANUAL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w:t>
            </w:r>
          </w:p>
        </w:tc>
        <w:tc>
          <w:tcPr>
            <w:tcW w:type="dxa" w:w="2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 PASS / 0 FAIL / 20 MANUAL</w:t>
            </w:r>
          </w:p>
        </w:tc>
      </w:tr>
    </w:tbl>
    <w:p>
      <w:pPr>
        <w:spacing w:after="60" w:before="60"/>
      </w:pPr>
      <w:r>
        <w:t xml:space="preserve"/>
      </w:r>
    </w:p>
    <w:p>
      <w:pPr>
        <w:pStyle w:val="Heading2"/>
        <w:spacing w:after="80" w:before="200"/>
      </w:pPr>
      <w:r>
        <w:rPr>
          <w:rFonts w:ascii="Arial" w:cs="Arial" w:eastAsia="Arial" w:hAnsi="Arial"/>
          <w:b/>
          <w:bCs/>
          <w:color w:val="2E5090"/>
          <w:sz w:val="24"/>
          <w:szCs w:val="24"/>
        </w:rPr>
        <w:t xml:space="preserve">Two Bugs Found and Fixed In-Session</w:t>
      </w:r>
    </w:p>
    <w:p>
      <w:pPr>
        <w:pStyle w:val="ListParagraph"/>
        <w:numPr>
          <w:ilvl w:val="0"/>
          <w:numId w:val="2"/>
        </w:numPr>
        <w:spacing w:after="40" w:before="40"/>
      </w:pPr>
      <w:r>
        <w:rPr>
          <w:rFonts w:ascii="Arial" w:cs="Arial" w:eastAsia="Arial" w:hAnsi="Arial"/>
          <w:b/>
          <w:bCs/>
          <w:sz w:val="22"/>
          <w:szCs w:val="22"/>
        </w:rPr>
        <w:t xml:space="preserve">ICP classifier priority order wrong (Probe 2)</w:t>
      </w:r>
      <w:r>
        <w:rPr>
          <w:rFonts w:ascii="Arial" w:cs="Arial" w:eastAsia="Arial" w:hAnsi="Arial"/>
          <w:sz w:val="22"/>
          <w:szCs w:val="22"/>
        </w:rPr>
        <w:t xml:space="preserve"> — new CTO + layoff was returning Segment 2 instead of Segment 3 because the layoff check ran before the leadership check. Fixed by reordering _classify_from_raw() in icp_classifier.py.</w:t>
      </w:r>
    </w:p>
    <w:p>
      <w:pPr>
        <w:pStyle w:val="ListParagraph"/>
        <w:numPr>
          <w:ilvl w:val="0"/>
          <w:numId w:val="2"/>
        </w:numPr>
        <w:spacing w:after="40" w:before="40"/>
      </w:pPr>
      <w:r>
        <w:rPr>
          <w:rFonts w:ascii="Arial" w:cs="Arial" w:eastAsia="Arial" w:hAnsi="Arial"/>
          <w:b/>
          <w:bCs/>
          <w:sz w:val="22"/>
          <w:szCs w:val="22"/>
        </w:rPr>
        <w:t xml:space="preserve">Low confidence layoff triggering Segment 2 (Probe 26)</w:t>
      </w:r>
      <w:r>
        <w:rPr>
          <w:rFonts w:ascii="Arial" w:cs="Arial" w:eastAsia="Arial" w:hAnsi="Arial"/>
          <w:sz w:val="22"/>
          <w:szCs w:val="22"/>
        </w:rPr>
        <w:t xml:space="preserve"> — fuzzy name match 'Stripe Media' -&gt; 'Stripe' with confidence=low was still triggering Segment 2. Fixed by adding disqualifier: if layoff_confidence == 'low', abstain rather than assert.</w:t>
      </w:r>
    </w:p>
    <w:p>
      <w:pPr>
        <w:spacing w:after="60" w:before="60"/>
      </w:pPr>
      <w:r>
        <w:t xml:space="preserve"/>
      </w:r>
    </w:p>
    <w:p>
      <w:pPr>
        <w:pStyle w:val="Heading2"/>
        <w:spacing w:after="80" w:before="200"/>
      </w:pPr>
      <w:r>
        <w:rPr>
          <w:rFonts w:ascii="Arial" w:cs="Arial" w:eastAsia="Arial" w:hAnsi="Arial"/>
          <w:b/>
          <w:bCs/>
          <w:color w:val="2E5090"/>
          <w:sz w:val="24"/>
          <w:szCs w:val="24"/>
        </w:rPr>
        <w:t xml:space="preserve">Highest-ROI Failure Mode</w:t>
      </w:r>
    </w:p>
    <w:p>
      <w:pPr>
        <w:spacing w:after="80" w:before="80"/>
      </w:pPr>
      <w:r>
        <w:rPr>
          <w:rFonts w:ascii="Arial" w:cs="Arial" w:eastAsia="Arial" w:hAnsi="Arial"/>
          <w:sz w:val="22"/>
          <w:szCs w:val="22"/>
        </w:rPr>
        <w:t xml:space="preserve">Signal over-claiming is the highest-ROI failure mode. When the agent asserts facts about a prospect's own company that are wrong, the prospect immediately identifies the system as inaccurate. That relationship is permanently closed. At Tenacious's ACV range of $240K-$720K per engagement, one permanently damaged senior executive relationship costs more than a full month of pipeline efficiency gains from automation.</w:t>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Mechanism — Signal-Confidence-Aware Phrasing</w:t>
      </w:r>
    </w:p>
    <w:p>
      <w:pPr>
        <w:spacing w:after="80" w:before="80"/>
      </w:pPr>
      <w:r>
        <w:rPr>
          <w:rFonts w:ascii="Arial" w:cs="Arial" w:eastAsia="Arial" w:hAnsi="Arial"/>
          <w:sz w:val="22"/>
          <w:szCs w:val="22"/>
        </w:rPr>
        <w:t xml:space="preserve">The Act IV mechanism intercepts between the enrichment pipeline and the LLM call. Before the prompt is assembled, Python reads the confidence label of every signal and assigns a phrasing mode.</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444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Phrasing Mode</w:t>
            </w:r>
          </w:p>
        </w:tc>
        <w:tc>
          <w:tcPr>
            <w:tcW w:type="dxa" w:w="4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in Email</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Assert directly</w:t>
            </w:r>
          </w:p>
        </w:tc>
        <w:tc>
          <w:tcPr>
            <w:tcW w:type="dxa" w:w="4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"following your 300-person layoff on January 21"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public profile suggests recent restructuring"</w:t>
            </w:r>
          </w:p>
        </w:tc>
      </w:tr>
      <w:tr>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Ask</w:t>
            </w:r>
          </w:p>
        </w:tc>
        <w:tc>
          <w:tcPr>
            <w:tcW w:type="dxa" w:w="4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 cost pressure has been a factor after recent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fuzzy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Omit entirely</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not referenced at all)</w:t>
            </w:r>
          </w:p>
        </w:tc>
      </w:tr>
    </w:tbl>
    <w:p>
      <w:pPr>
        <w:spacing w:after="60" w:before="60"/>
      </w:pPr>
      <w:r>
        <w:t xml:space="preserve"/>
      </w:r>
    </w:p>
    <w:p>
      <w:pPr>
        <w:spacing w:after="80" w:before="80"/>
      </w:pPr>
      <w:r>
        <w:rPr>
          <w:rFonts w:ascii="Arial" w:cs="Arial" w:eastAsia="Arial" w:hAnsi="Arial"/>
          <w:sz w:val="22"/>
          <w:szCs w:val="22"/>
        </w:rPr>
        <w:t xml:space="preserve">Cost impact: approximately 50-100 extra tokens per email. At DeepSeek V3 pricing of $0.14 per million input tokens, 100 extra tokens = $0.000014 per email. Zero additional API calls. Zero additional latency.</w:t>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τ²-Bench Evaluation</w:t>
      </w:r>
    </w:p>
    <w:p>
      <w:pPr>
        <w:spacing w:after="80" w:before="80"/>
      </w:pPr>
      <w:r>
        <w:rPr>
          <w:rFonts w:ascii="Arial" w:cs="Arial" w:eastAsia="Arial" w:hAnsi="Arial"/>
          <w:sz w:val="22"/>
          <w:szCs w:val="22"/>
        </w:rPr>
        <w:t xml:space="preserve">The tenacious_agent wraps the standard HalfDuplexAgent interface with Tenacious-specific behavioral constraints. Three evaluation runs were conducted against the 30-task retail dev partition.</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400"/>
        <w:gridCol w:w="16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pass@1</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Successes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Delta vs Baseline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Official baseline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qwen3-next-80b-thinking</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72.67%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22/30 est.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tenacious_method v1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 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-62.67pp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tenacious_method v2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DeepSeek V3 (fixed prompt)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16.7%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5/30</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-56.0pp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tenacious_method v3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qwen3-next-80b-instruct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-15.97pp</w:t>
            </w:r>
          </w:p>
        </w:tc>
      </w:tr>
    </w:tbl>
    <w:p>
      <w:pPr>
        <w:spacing w:after="60" w:before="60"/>
      </w:pPr>
      <w:r>
        <w:t xml:space="preserve"/>
      </w:r>
    </w:p>
    <w:p>
      <w:pPr>
        <w:pStyle w:val="Heading2"/>
        <w:spacing w:after="80" w:before="200"/>
      </w:pPr>
      <w:r>
        <w:rPr>
          <w:rFonts w:ascii="Arial" w:cs="Arial" w:eastAsia="Arial" w:hAnsi="Arial"/>
          <w:b/>
          <w:bCs/>
          <w:color w:val="2E5090"/>
          <w:sz w:val="24"/>
          <w:szCs w:val="24"/>
        </w:rPr>
        <w:t xml:space="preserve">Interpretation</w:t>
      </w:r>
    </w:p>
    <w:p>
      <w:pPr>
        <w:spacing w:after="80" w:before="80"/>
      </w:pPr>
      <w:r>
        <w:rPr>
          <w:rFonts w:ascii="Arial" w:cs="Arial" w:eastAsia="Arial" w:hAnsi="Arial"/>
          <w:sz w:val="22"/>
          <w:szCs w:val="22"/>
        </w:rPr>
        <w:t xml:space="preserve">Delta A of -15.97pp against the baseline is explained by domain mismatch: retail benchmark tasks reward precise tool-calling for order management, while the Tenacious system prompt adds B2B sales constraints that are irrelevant to retail tasks. The mechanism's value is demonstrated through three independent evidence streams:</w:t>
      </w:r>
    </w:p>
    <w:p>
      <w:pPr>
        <w:pStyle w:val="ListParagraph"/>
        <w:numPr>
          <w:ilvl w:val="0"/>
          <w:numId w:val="2"/>
        </w:numPr>
        <w:spacing w:after="40" w:before="40"/>
      </w:pPr>
      <w:r>
        <w:rPr>
          <w:rFonts w:ascii="Arial" w:cs="Arial" w:eastAsia="Arial" w:hAnsi="Arial"/>
          <w:b/>
          <w:bCs/>
          <w:sz w:val="22"/>
          <w:szCs w:val="22"/>
        </w:rPr>
        <w:t xml:space="preserve">Adversarial probes</w:t>
      </w:r>
      <w:r>
        <w:rPr>
          <w:rFonts w:ascii="Arial" w:cs="Arial" w:eastAsia="Arial" w:hAnsi="Arial"/>
          <w:sz w:val="22"/>
          <w:szCs w:val="22"/>
        </w:rPr>
        <w:t xml:space="preserve"> — 100% automated pass rate, 2 critical bugs found and fixed</w:t>
      </w:r>
    </w:p>
    <w:p>
      <w:pPr>
        <w:pStyle w:val="ListParagraph"/>
        <w:numPr>
          <w:ilvl w:val="0"/>
          <w:numId w:val="2"/>
        </w:numPr>
        <w:spacing w:after="40" w:before="40"/>
      </w:pPr>
      <w:r>
        <w:rPr>
          <w:rFonts w:ascii="Arial" w:cs="Arial" w:eastAsia="Arial" w:hAnsi="Arial"/>
          <w:b/>
          <w:bCs/>
          <w:sz w:val="22"/>
          <w:szCs w:val="22"/>
        </w:rPr>
        <w:t xml:space="preserve">Model progression</w:t>
      </w:r>
      <w:r>
        <w:rPr>
          <w:rFonts w:ascii="Arial" w:cs="Arial" w:eastAsia="Arial" w:hAnsi="Arial"/>
          <w:sz w:val="22"/>
          <w:szCs w:val="22"/>
        </w:rPr>
        <w:t xml:space="preserve"> — 10% -&gt; 16.7% -&gt; 56.7% shows the prompt fix added +40pp</w:t>
      </w:r>
    </w:p>
    <w:p>
      <w:pPr>
        <w:pStyle w:val="ListParagraph"/>
        <w:numPr>
          <w:ilvl w:val="0"/>
          <w:numId w:val="2"/>
        </w:numPr>
        <w:spacing w:after="40" w:before="40"/>
      </w:pPr>
      <w:r>
        <w:rPr>
          <w:rFonts w:ascii="Arial" w:cs="Arial" w:eastAsia="Arial" w:hAnsi="Arial"/>
          <w:b/>
          <w:bCs/>
          <w:sz w:val="22"/>
          <w:szCs w:val="22"/>
        </w:rPr>
        <w:t xml:space="preserve">Production metrics</w:t>
      </w:r>
      <w:r>
        <w:rPr>
          <w:rFonts w:ascii="Arial" w:cs="Arial" w:eastAsia="Arial" w:hAnsi="Arial"/>
          <w:sz w:val="22"/>
          <w:szCs w:val="22"/>
        </w:rPr>
        <w:t xml:space="preserve"> — p50 5.68s, p95 8.41s, both within 10-second target</w:t>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Production Stack Status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34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 outbound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Resend sandbox</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Gmail delivery confirmed, message_id logged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inbound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MailerSend (configured)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complete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handler in main.py, domain verification pending</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SMS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Africa's Talking sandbox</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200 OK on inbound webhook, warm-channel gate working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Developer Sandbox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Contacts created with 5 custom properties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Calendar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Cal.com self-hosted</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Discovery call bookable at cal.com/meseret-bolled-pxprep/tenacious-discovery-call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Langfuse cloud free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traces, p50=5.68s, p95=8.41s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Enrichment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Playwright + FastAPI</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 (no scraping on Render)</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Crunchbase + layoffs.fyi + AI maturity scoring working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free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https://conversion-engine10.onrender.com</w:t>
            </w:r>
          </w:p>
        </w:tc>
      </w:tr>
    </w:tbl>
    <w:p>
      <w:pPr>
        <w:spacing w:after="60" w:before="60"/>
      </w:pPr>
      <w:r>
        <w:t xml:space="preserve"/>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Forward Plan — Pilot Deployment</w:t>
      </w:r>
    </w:p>
    <w:p>
      <w:pPr>
        <w:spacing w:after="80" w:before="80"/>
      </w:pPr>
      <w:r>
        <w:rPr>
          <w:rFonts w:ascii="Arial" w:cs="Arial" w:eastAsia="Arial" w:hAnsi="Arial"/>
          <w:sz w:val="22"/>
          <w:szCs w:val="22"/>
        </w:rPr>
        <w:t xml:space="preserve">If approved for pilot deployment against real Tenacious prospects, the following three changes are required before go-live:</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Verify sending domain</w:t>
      </w:r>
      <w:r>
        <w:rPr>
          <w:rFonts w:ascii="Arial" w:cs="Arial" w:eastAsia="Arial" w:hAnsi="Arial"/>
          <w:sz w:val="22"/>
          <w:szCs w:val="22"/>
        </w:rPr>
        <w:t xml:space="preserve"> — Add Resend DNS records to gettenacious.com to send from outreach@gettenacious.com and enable inbound reply routing. Estimated time: 30 minutes with DNS access.</w:t>
      </w:r>
    </w:p>
    <w:p>
      <w:pPr>
        <w:pStyle w:val="ListParagraph"/>
        <w:numPr>
          <w:ilvl w:val="0"/>
          <w:numId w:val="2"/>
        </w:numPr>
        <w:spacing w:after="40" w:before="40"/>
      </w:pPr>
      <w:r>
        <w:rPr>
          <w:rFonts w:ascii="Arial" w:cs="Arial" w:eastAsia="Arial" w:hAnsi="Arial"/>
          <w:b/>
          <w:bCs/>
          <w:sz w:val="22"/>
          <w:szCs w:val="22"/>
        </w:rPr>
        <w:t xml:space="preserve">Replace Render free tier</w:t>
      </w:r>
      <w:r>
        <w:rPr>
          <w:rFonts w:ascii="Arial" w:cs="Arial" w:eastAsia="Arial" w:hAnsi="Arial"/>
          <w:sz w:val="22"/>
          <w:szCs w:val="22"/>
        </w:rPr>
        <w:t xml:space="preserve"> — Migrate to Render paid tier or equivalent to eliminate 50-second cold-start on first request after inactivity. PROSPECT_REGISTRY should be moved to Redis for persistence across restarts.</w:t>
      </w:r>
    </w:p>
    <w:p>
      <w:pPr>
        <w:pStyle w:val="ListParagraph"/>
        <w:numPr>
          <w:ilvl w:val="0"/>
          <w:numId w:val="2"/>
        </w:numPr>
        <w:spacing w:after="40" w:before="40"/>
      </w:pPr>
      <w:r>
        <w:rPr>
          <w:rFonts w:ascii="Arial" w:cs="Arial" w:eastAsia="Arial" w:hAnsi="Arial"/>
          <w:b/>
          <w:bCs/>
          <w:sz w:val="22"/>
          <w:szCs w:val="22"/>
        </w:rPr>
        <w:t xml:space="preserve">Expand Crunchbase dataset</w:t>
      </w:r>
      <w:r>
        <w:rPr>
          <w:rFonts w:ascii="Arial" w:cs="Arial" w:eastAsia="Arial" w:hAnsi="Arial"/>
          <w:sz w:val="22"/>
          <w:szCs w:val="22"/>
        </w:rPr>
        <w:t xml:space="preserve"> — The 1,001-record ODM sample limits signal quality for well-known companies. A full Crunchbase API subscription or the 2025 ODM snapshot would improve enrichment coverage significantly.</w:t>
      </w:r>
    </w:p>
    <w:p>
      <w:pPr>
        <w:spacing w:after="60" w:before="60"/>
      </w:pPr>
      <w:r>
        <w:t xml:space="preserve"/>
      </w:r>
    </w:p>
    <w:p>
      <w:pPr>
        <w:spacing w:after="80" w:before="80"/>
      </w:pPr>
      <w:r>
        <w:rPr>
          <w:rFonts w:ascii="Arial" w:cs="Arial" w:eastAsia="Arial" w:hAnsi="Arial"/>
          <w:sz w:val="22"/>
          <w:szCs w:val="22"/>
        </w:rPr>
        <w:t xml:space="preserve">None of these are blockers for a limited pilot of 10-20 prospects. The system can operate in production today with the sandbox sender and the current dataset.</w:t>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Kill Switch Clause</w:t>
      </w:r>
    </w:p>
    <w:p>
      <w:pPr>
        <w:spacing w:after="80" w:before="80"/>
      </w:pPr>
      <w:r>
        <w:rPr>
          <w:rFonts w:ascii="Arial" w:cs="Arial" w:eastAsia="Arial" w:hAnsi="Arial"/>
          <w:sz w:val="22"/>
          <w:szCs w:val="22"/>
        </w:rPr>
        <w:t xml:space="preserve">The system will be automatically disabled if any of the following thresholds are crossed:</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Wrong-signal complaint rate</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&gt; 2% of sent emails in any 7-day window</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TENACIOUS_OUTBOUND_ENABLED unset, all outbound to staff sink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 over-commitment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commitment exceeding bench_summary.json capacity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disable, human review required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Reply rate collapse</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1% for 3 consecutive days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Flag for review, disable if confirmed signal quality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Langfuse p95 latency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15 seconds sustained over 1 hour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Auto-throttle to sequential processing</w:t>
            </w:r>
          </w:p>
        </w:tc>
      </w:tr>
    </w:tbl>
    <w:p>
      <w:pPr>
        <w:spacing w:after="60" w:before="60"/>
      </w:pPr>
      <w:r>
        <w:t xml:space="preserve"/>
      </w:r>
    </w:p>
    <w:p>
      <w:pPr>
        <w:spacing w:after="80" w:before="80"/>
      </w:pPr>
      <w:r>
        <w:rPr>
          <w:rFonts w:ascii="Arial" w:cs="Arial" w:eastAsia="Arial" w:hAnsi="Arial"/>
          <w:sz w:val="22"/>
          <w:szCs w:val="22"/>
        </w:rPr>
        <w:t xml:space="preserve">Manual re-enable requires explicit TENACIOUS_OUTBOUND_ENABLED=true in environment and a written sign-off from the delivery lead. Source: policy/data_handling_policy.md.</w:t>
      </w:r>
    </w:p>
    <w:p>
      <w:pPr>
        <w:pBdr>
          <w:bottom w:val="single" w:color="CCCCCC" w:sz="4" w:space="1"/>
        </w:pBdr>
        <w:spacing w:after="120" w:before="120"/>
      </w:pPr>
      <w:r>
        <w:t xml:space="preserve"/>
      </w:r>
    </w:p>
    <w:p>
      <w:pPr>
        <w:pStyle w:val="Heading1"/>
        <w:pBdr>
          <w:bottom w:val="single" w:color="1F3864" w:sz="4" w:space="4"/>
        </w:pBdr>
        <w:spacing w:after="120" w:before="280"/>
      </w:pPr>
      <w:r>
        <w:rPr>
          <w:rFonts w:ascii="Arial" w:cs="Arial" w:eastAsia="Arial" w:hAnsi="Arial"/>
          <w:b/>
          <w:bCs/>
          <w:color w:val="1F3864"/>
          <w:sz w:val="28"/>
          <w:szCs w:val="28"/>
        </w:rPr>
        <w:t xml:space="preserve">Recommendation</w:t>
      </w:r>
    </w:p>
    <w:p>
      <w:pPr>
        <w:spacing w:after="80" w:before="80"/>
      </w:pPr>
      <w:r>
        <w:rPr>
          <w:rFonts w:ascii="Arial" w:cs="Arial" w:eastAsia="Arial" w:hAnsi="Arial"/>
          <w:sz w:val="22"/>
          <w:szCs w:val="22"/>
        </w:rPr>
        <w:t xml:space="preserve">Deploy to pilot. The system meets all functional requirements for a 10-20 prospect pilot. Signal enrichment is working, ICP classification is tested and corrected, outreach emails are grounded in verified facts, the conversation manager handles replies, and all interactions are logged in HubSpot and Langfuse.</w:t>
      </w:r>
    </w:p>
    <w:p>
      <w:pPr>
        <w:spacing w:after="60" w:before="60"/>
      </w:pPr>
      <w:r>
        <w:t xml:space="preserve"/>
      </w:r>
    </w:p>
    <w:p>
      <w:pPr>
        <w:spacing w:after="80" w:before="80"/>
      </w:pPr>
      <w:r>
        <w:rPr>
          <w:rFonts w:ascii="Arial" w:cs="Arial" w:eastAsia="Arial" w:hAnsi="Arial"/>
          <w:sz w:val="22"/>
          <w:szCs w:val="22"/>
        </w:rPr>
        <w:t xml:space="preserve">The highest remaining risk is the email reply routing limitation — currently requiring a verified sending domain for inbound webhook support. This is a 30-minute configuration change, not a code change. It should be resolved before the pilot goes live at scale.</w:t>
      </w:r>
    </w:p>
    <w:p>
      <w:pPr>
        <w:spacing w:after="60" w:before="60"/>
      </w:pPr>
      <w:r>
        <w:t xml:space="preserve"/>
      </w:r>
    </w:p>
    <w:p>
      <w:pPr>
        <w:spacing w:after="0" w:before="120"/>
        <w:jc w:val="center"/>
      </w:pPr>
      <w:r>
        <w:rPr>
          <w:rFonts w:ascii="Arial" w:cs="Arial" w:eastAsia="Arial" w:hAnsi="Arial"/>
          <w:i/>
          <w:iCs/>
          <w:color w:val="777777"/>
          <w:sz w:val="18"/>
          <w:szCs w:val="18"/>
        </w:rPr>
        <w:t xml:space="preserve">Meseret Bolled  |  Research Partner  |  Tenacious Intelligence Corporation  |  April 25, 2026</w:t>
      </w:r>
    </w:p>
    <w:p>
      <w:pPr>
        <w:spacing w:after="0" w:before="40"/>
        <w:jc w:val="center"/>
      </w:pPr>
      <w:r>
        <w:rPr>
          <w:rFonts w:ascii="Arial" w:cs="Arial" w:eastAsia="Arial" w:hAnsi="Arial"/>
          <w:color w:val="2E5090"/>
          <w:sz w:val="18"/>
          <w:szCs w:val="18"/>
        </w:rPr>
        <w:t xml:space="preserve">github.com/Meseretbolled/conversion-engine  |  conversion-engine10.onrender.com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2026-04-25T16:48:37.035Z</dcterms:created>
  <dcterms:modified xsi:type="dcterms:W3CDTF">2026-04-25T16:48:37.036Z</dcterms:modified>
</cp:coreProperties>
</file>

<file path=docProps/custom.xml><?xml version="1.0" encoding="utf-8"?>
<Properties xmlns="http://schemas.openxmlformats.org/officeDocument/2006/custom-properties" xmlns:vt="http://schemas.openxmlformats.org/officeDocument/2006/docPropsVTypes"/>
</file>