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BF74A" w14:textId="1BE6A050" w:rsidR="005121C6" w:rsidRPr="00A717AD" w:rsidRDefault="005121C6">
      <w:pPr>
        <w:rPr>
          <w:rFonts w:asciiTheme="majorBidi" w:hAnsiTheme="majorBidi" w:cstheme="majorBidi"/>
          <w:color w:val="000000" w:themeColor="text1"/>
          <w:lang w:val="en-US"/>
        </w:rPr>
      </w:pPr>
      <w:r w:rsidRPr="00A717AD">
        <w:rPr>
          <w:rFonts w:asciiTheme="majorBidi" w:hAnsiTheme="majorBidi" w:cstheme="majorBidi"/>
          <w:color w:val="000000" w:themeColor="text1"/>
          <w:lang w:val="en-US"/>
        </w:rPr>
        <w:t>Development Chapter.</w:t>
      </w:r>
    </w:p>
    <w:p w14:paraId="7FD91D83" w14:textId="516FCAFD" w:rsidR="005121C6" w:rsidRPr="005121C6" w:rsidRDefault="005121C6" w:rsidP="005121C6">
      <w:pPr>
        <w:spacing w:before="100" w:beforeAutospacing="1" w:after="100" w:afterAutospacing="1"/>
        <w:outlineLvl w:val="2"/>
        <w:rPr>
          <w:rFonts w:asciiTheme="majorBidi" w:hAnsiTheme="majorBidi" w:cstheme="majorBidi"/>
          <w:b/>
          <w:bCs/>
          <w:color w:val="000000" w:themeColor="text1"/>
          <w:sz w:val="28"/>
          <w:szCs w:val="28"/>
        </w:rPr>
      </w:pPr>
      <w:r w:rsidRPr="00A717AD">
        <w:rPr>
          <w:rFonts w:asciiTheme="majorBidi" w:hAnsiTheme="majorBidi" w:cstheme="majorBidi"/>
          <w:b/>
          <w:bCs/>
          <w:color w:val="000000" w:themeColor="text1"/>
          <w:sz w:val="28"/>
          <w:szCs w:val="28"/>
        </w:rPr>
        <w:t xml:space="preserve">Programming Languges in </w:t>
      </w:r>
      <w:r w:rsidRPr="005121C6">
        <w:rPr>
          <w:rFonts w:asciiTheme="majorBidi" w:hAnsiTheme="majorBidi" w:cstheme="majorBidi"/>
          <w:b/>
          <w:bCs/>
          <w:color w:val="000000" w:themeColor="text1"/>
          <w:sz w:val="28"/>
          <w:szCs w:val="28"/>
        </w:rPr>
        <w:t>Oil &amp; Gas and Petrochemical industries</w:t>
      </w:r>
    </w:p>
    <w:p w14:paraId="474E3847" w14:textId="77777777" w:rsidR="005121C6" w:rsidRPr="005121C6" w:rsidRDefault="005121C6" w:rsidP="005121C6">
      <w:pPr>
        <w:spacing w:before="100" w:beforeAutospacing="1" w:after="100" w:afterAutospacing="1"/>
        <w:rPr>
          <w:rFonts w:asciiTheme="majorBidi" w:hAnsiTheme="majorBidi" w:cstheme="majorBidi"/>
          <w:color w:val="000000" w:themeColor="text1"/>
        </w:rPr>
      </w:pPr>
      <w:r w:rsidRPr="005121C6">
        <w:rPr>
          <w:rFonts w:asciiTheme="majorBidi" w:hAnsiTheme="majorBidi" w:cstheme="majorBidi"/>
          <w:color w:val="000000" w:themeColor="text1"/>
        </w:rPr>
        <w:t>The programming landscape in the Oil &amp; Gas and Petrochemical industries is bifurcated, relying on both modern, high-level languages for data analysis and enterprise systems, and specialized, legacy languages for core operational technology and control. The most prevalent languages are </w:t>
      </w:r>
      <w:r w:rsidRPr="005121C6">
        <w:rPr>
          <w:rFonts w:asciiTheme="majorBidi" w:hAnsiTheme="majorBidi" w:cstheme="majorBidi"/>
          <w:b/>
          <w:bCs/>
          <w:color w:val="000000" w:themeColor="text1"/>
        </w:rPr>
        <w:t>Python</w:t>
      </w:r>
      <w:r w:rsidRPr="005121C6">
        <w:rPr>
          <w:rFonts w:asciiTheme="majorBidi" w:hAnsiTheme="majorBidi" w:cstheme="majorBidi"/>
          <w:color w:val="000000" w:themeColor="text1"/>
        </w:rPr>
        <w:t> and </w:t>
      </w:r>
      <w:r w:rsidRPr="005121C6">
        <w:rPr>
          <w:rFonts w:asciiTheme="majorBidi" w:hAnsiTheme="majorBidi" w:cstheme="majorBidi"/>
          <w:b/>
          <w:bCs/>
          <w:color w:val="000000" w:themeColor="text1"/>
        </w:rPr>
        <w:t>SQL</w:t>
      </w:r>
      <w:r w:rsidRPr="005121C6">
        <w:rPr>
          <w:rFonts w:asciiTheme="majorBidi" w:hAnsiTheme="majorBidi" w:cstheme="majorBidi"/>
          <w:color w:val="000000" w:themeColor="text1"/>
        </w:rPr>
        <w:t> for data-centric roles (e.g., data science, engineering), </w:t>
      </w:r>
      <w:r w:rsidRPr="005121C6">
        <w:rPr>
          <w:rFonts w:asciiTheme="majorBidi" w:hAnsiTheme="majorBidi" w:cstheme="majorBidi"/>
          <w:b/>
          <w:bCs/>
          <w:color w:val="000000" w:themeColor="text1"/>
        </w:rPr>
        <w:t>C/C++</w:t>
      </w:r>
      <w:r w:rsidRPr="005121C6">
        <w:rPr>
          <w:rFonts w:asciiTheme="majorBidi" w:hAnsiTheme="majorBidi" w:cstheme="majorBidi"/>
          <w:color w:val="000000" w:themeColor="text1"/>
        </w:rPr>
        <w:t> and </w:t>
      </w:r>
      <w:r w:rsidRPr="005121C6">
        <w:rPr>
          <w:rFonts w:asciiTheme="majorBidi" w:hAnsiTheme="majorBidi" w:cstheme="majorBidi"/>
          <w:b/>
          <w:bCs/>
          <w:color w:val="000000" w:themeColor="text1"/>
        </w:rPr>
        <w:t>IEC 61131-3</w:t>
      </w:r>
      <w:r w:rsidRPr="005121C6">
        <w:rPr>
          <w:rFonts w:asciiTheme="majorBidi" w:hAnsiTheme="majorBidi" w:cstheme="majorBidi"/>
          <w:color w:val="000000" w:themeColor="text1"/>
        </w:rPr>
        <w:t> compliant languages for embedded control systems, and </w:t>
      </w:r>
      <w:r w:rsidRPr="005121C6">
        <w:rPr>
          <w:rFonts w:asciiTheme="majorBidi" w:hAnsiTheme="majorBidi" w:cstheme="majorBidi"/>
          <w:b/>
          <w:bCs/>
          <w:color w:val="000000" w:themeColor="text1"/>
        </w:rPr>
        <w:t>Java/C#</w:t>
      </w:r>
      <w:r w:rsidRPr="005121C6">
        <w:rPr>
          <w:rFonts w:asciiTheme="majorBidi" w:hAnsiTheme="majorBidi" w:cstheme="majorBidi"/>
          <w:color w:val="000000" w:themeColor="text1"/>
        </w:rPr>
        <w:t> for large-scale enterprise applications. Despite being legacy, </w:t>
      </w:r>
      <w:r w:rsidRPr="005121C6">
        <w:rPr>
          <w:rFonts w:asciiTheme="majorBidi" w:hAnsiTheme="majorBidi" w:cstheme="majorBidi"/>
          <w:b/>
          <w:bCs/>
          <w:color w:val="000000" w:themeColor="text1"/>
        </w:rPr>
        <w:t>VBA</w:t>
      </w:r>
      <w:r w:rsidRPr="005121C6">
        <w:rPr>
          <w:rFonts w:asciiTheme="majorBidi" w:hAnsiTheme="majorBidi" w:cstheme="majorBidi"/>
          <w:color w:val="000000" w:themeColor="text1"/>
        </w:rPr>
        <w:t> remains widely used for engineering calculations automated within Microsoft Excel.</w:t>
      </w:r>
    </w:p>
    <w:p w14:paraId="1ED1E837" w14:textId="77777777" w:rsidR="005121C6" w:rsidRPr="005121C6" w:rsidRDefault="00423221" w:rsidP="005121C6">
      <w:pPr>
        <w:spacing w:before="480" w:after="480"/>
        <w:rPr>
          <w:rFonts w:asciiTheme="majorBidi" w:hAnsiTheme="majorBidi" w:cstheme="majorBidi"/>
          <w:color w:val="000000" w:themeColor="text1"/>
        </w:rPr>
      </w:pPr>
      <w:r w:rsidRPr="00423221">
        <w:rPr>
          <w:rFonts w:asciiTheme="majorBidi" w:hAnsiTheme="majorBidi" w:cstheme="majorBidi"/>
          <w:noProof/>
          <w:color w:val="000000" w:themeColor="text1"/>
          <w14:ligatures w14:val="standardContextual"/>
        </w:rPr>
        <w:pict w14:anchorId="6CE02CD7">
          <v:rect id="_x0000_i1027" alt="" style="width:468pt;height:.05pt;mso-width-percent:0;mso-height-percent:0;mso-width-percent:0;mso-height-percent:0" o:hralign="center" o:hrstd="t" o:hr="t" fillcolor="#a0a0a0" stroked="f"/>
        </w:pict>
      </w:r>
    </w:p>
    <w:p w14:paraId="75C65973" w14:textId="77777777" w:rsidR="005121C6" w:rsidRPr="005121C6" w:rsidRDefault="005121C6" w:rsidP="005121C6">
      <w:pPr>
        <w:spacing w:before="100" w:beforeAutospacing="1" w:after="100" w:afterAutospacing="1"/>
        <w:outlineLvl w:val="2"/>
        <w:rPr>
          <w:rFonts w:asciiTheme="majorBidi" w:hAnsiTheme="majorBidi" w:cstheme="majorBidi"/>
          <w:b/>
          <w:bCs/>
          <w:color w:val="000000" w:themeColor="text1"/>
          <w:sz w:val="27"/>
          <w:szCs w:val="27"/>
        </w:rPr>
      </w:pPr>
      <w:r w:rsidRPr="005121C6">
        <w:rPr>
          <w:rFonts w:asciiTheme="majorBidi" w:hAnsiTheme="majorBidi" w:cstheme="majorBidi"/>
          <w:b/>
          <w:bCs/>
          <w:color w:val="000000" w:themeColor="text1"/>
          <w:sz w:val="27"/>
          <w:szCs w:val="27"/>
        </w:rPr>
        <w:t>Most Common Programming Languages</w:t>
      </w:r>
    </w:p>
    <w:p w14:paraId="556277F4" w14:textId="77777777" w:rsidR="005121C6" w:rsidRPr="005121C6" w:rsidRDefault="005121C6" w:rsidP="005121C6">
      <w:pPr>
        <w:spacing w:before="100" w:beforeAutospacing="1" w:after="100" w:afterAutospacing="1"/>
        <w:rPr>
          <w:rFonts w:asciiTheme="majorBidi" w:hAnsiTheme="majorBidi" w:cstheme="majorBidi"/>
          <w:color w:val="000000" w:themeColor="text1"/>
        </w:rPr>
      </w:pPr>
      <w:r w:rsidRPr="005121C6">
        <w:rPr>
          <w:rFonts w:asciiTheme="majorBidi" w:hAnsiTheme="majorBidi" w:cstheme="majorBidi"/>
          <w:b/>
          <w:bCs/>
          <w:color w:val="000000" w:themeColor="text1"/>
        </w:rPr>
        <w:t>1. Python</w:t>
      </w:r>
      <w:r w:rsidRPr="005121C6">
        <w:rPr>
          <w:rFonts w:asciiTheme="majorBidi" w:hAnsiTheme="majorBidi" w:cstheme="majorBidi"/>
          <w:color w:val="000000" w:themeColor="text1"/>
        </w:rPr>
        <w:br/>
        <w:t>Python is the dominant language for data analysis, machine learning, and workflow automation due to its extensive libraries and ease of use.</w:t>
      </w:r>
    </w:p>
    <w:p w14:paraId="3DA0AA20" w14:textId="77777777" w:rsidR="005121C6" w:rsidRPr="005121C6" w:rsidRDefault="005121C6" w:rsidP="005121C6">
      <w:pPr>
        <w:numPr>
          <w:ilvl w:val="0"/>
          <w:numId w:val="1"/>
        </w:numPr>
        <w:rPr>
          <w:rFonts w:asciiTheme="majorBidi" w:hAnsiTheme="majorBidi" w:cstheme="majorBidi"/>
          <w:color w:val="000000" w:themeColor="text1"/>
        </w:rPr>
      </w:pPr>
      <w:r w:rsidRPr="005121C6">
        <w:rPr>
          <w:rFonts w:asciiTheme="majorBidi" w:hAnsiTheme="majorBidi" w:cstheme="majorBidi"/>
          <w:b/>
          <w:bCs/>
          <w:color w:val="000000" w:themeColor="text1"/>
        </w:rPr>
        <w:t>Primary Uses:</w:t>
      </w:r>
      <w:r w:rsidRPr="005121C6">
        <w:rPr>
          <w:rFonts w:asciiTheme="majorBidi" w:hAnsiTheme="majorBidi" w:cstheme="majorBidi"/>
          <w:color w:val="000000" w:themeColor="text1"/>
        </w:rPr>
        <w:t> Data science, machine learning (e.g., for predictive maintenance), reservoir simulation support, seismic data analysis, and automating engineering workflows.</w:t>
      </w:r>
    </w:p>
    <w:p w14:paraId="57AB6956" w14:textId="77777777" w:rsidR="005121C6" w:rsidRPr="005121C6" w:rsidRDefault="005121C6" w:rsidP="005121C6">
      <w:pPr>
        <w:numPr>
          <w:ilvl w:val="0"/>
          <w:numId w:val="1"/>
        </w:numPr>
        <w:rPr>
          <w:rFonts w:asciiTheme="majorBidi" w:hAnsiTheme="majorBidi" w:cstheme="majorBidi"/>
          <w:color w:val="000000" w:themeColor="text1"/>
        </w:rPr>
      </w:pPr>
      <w:r w:rsidRPr="005121C6">
        <w:rPr>
          <w:rFonts w:asciiTheme="majorBidi" w:hAnsiTheme="majorBidi" w:cstheme="majorBidi"/>
          <w:b/>
          <w:bCs/>
          <w:color w:val="000000" w:themeColor="text1"/>
        </w:rPr>
        <w:t>Citation:</w:t>
      </w:r>
      <w:r w:rsidRPr="005121C6">
        <w:rPr>
          <w:rFonts w:asciiTheme="majorBidi" w:hAnsiTheme="majorBidi" w:cstheme="majorBidi"/>
          <w:color w:val="000000" w:themeColor="text1"/>
        </w:rPr>
        <w:br/>
        <w:t>Pan, F., &amp; Chen, J. (2021). Data-driven modeling and optimization for petroleum engineering applications: A review. </w:t>
      </w:r>
      <w:r w:rsidRPr="005121C6">
        <w:rPr>
          <w:rFonts w:asciiTheme="majorBidi" w:hAnsiTheme="majorBidi" w:cstheme="majorBidi"/>
          <w:i/>
          <w:iCs/>
          <w:color w:val="000000" w:themeColor="text1"/>
        </w:rPr>
        <w:t>Energy Reports, 7</w:t>
      </w:r>
      <w:r w:rsidRPr="005121C6">
        <w:rPr>
          <w:rFonts w:asciiTheme="majorBidi" w:hAnsiTheme="majorBidi" w:cstheme="majorBidi"/>
          <w:color w:val="000000" w:themeColor="text1"/>
        </w:rPr>
        <w:t>, 1580–1595. </w:t>
      </w:r>
      <w:hyperlink r:id="rId5" w:tgtFrame="_blank" w:history="1">
        <w:r w:rsidRPr="005121C6">
          <w:rPr>
            <w:rFonts w:asciiTheme="majorBidi" w:hAnsiTheme="majorBidi" w:cstheme="majorBidi"/>
            <w:color w:val="000000" w:themeColor="text1"/>
            <w:u w:val="single"/>
          </w:rPr>
          <w:t>https://doi.org/10.1016/j.egyr.2021.03.021</w:t>
        </w:r>
      </w:hyperlink>
    </w:p>
    <w:p w14:paraId="65F4EEAB" w14:textId="77777777" w:rsidR="005121C6" w:rsidRPr="005121C6" w:rsidRDefault="005121C6" w:rsidP="005121C6">
      <w:pPr>
        <w:spacing w:before="100" w:beforeAutospacing="1" w:after="100" w:afterAutospacing="1"/>
        <w:rPr>
          <w:rFonts w:asciiTheme="majorBidi" w:hAnsiTheme="majorBidi" w:cstheme="majorBidi"/>
          <w:color w:val="000000" w:themeColor="text1"/>
        </w:rPr>
      </w:pPr>
      <w:r w:rsidRPr="005121C6">
        <w:rPr>
          <w:rFonts w:asciiTheme="majorBidi" w:hAnsiTheme="majorBidi" w:cstheme="majorBidi"/>
          <w:b/>
          <w:bCs/>
          <w:color w:val="000000" w:themeColor="text1"/>
        </w:rPr>
        <w:t>2. SQL (Structured Query Language)</w:t>
      </w:r>
      <w:r w:rsidRPr="005121C6">
        <w:rPr>
          <w:rFonts w:asciiTheme="majorBidi" w:hAnsiTheme="majorBidi" w:cstheme="majorBidi"/>
          <w:color w:val="000000" w:themeColor="text1"/>
        </w:rPr>
        <w:br/>
        <w:t>SQL is the fundamental language for interacting with the vast relational databases that store operational, production, and financial data.</w:t>
      </w:r>
    </w:p>
    <w:p w14:paraId="0074FB94" w14:textId="77777777" w:rsidR="005121C6" w:rsidRPr="005121C6" w:rsidRDefault="005121C6" w:rsidP="005121C6">
      <w:pPr>
        <w:numPr>
          <w:ilvl w:val="0"/>
          <w:numId w:val="2"/>
        </w:numPr>
        <w:rPr>
          <w:rFonts w:asciiTheme="majorBidi" w:hAnsiTheme="majorBidi" w:cstheme="majorBidi"/>
          <w:color w:val="000000" w:themeColor="text1"/>
        </w:rPr>
      </w:pPr>
      <w:r w:rsidRPr="005121C6">
        <w:rPr>
          <w:rFonts w:asciiTheme="majorBidi" w:hAnsiTheme="majorBidi" w:cstheme="majorBidi"/>
          <w:b/>
          <w:bCs/>
          <w:color w:val="000000" w:themeColor="text1"/>
        </w:rPr>
        <w:t>Primary Uses:</w:t>
      </w:r>
      <w:r w:rsidRPr="005121C6">
        <w:rPr>
          <w:rFonts w:asciiTheme="majorBidi" w:hAnsiTheme="majorBidi" w:cstheme="majorBidi"/>
          <w:color w:val="000000" w:themeColor="text1"/>
        </w:rPr>
        <w:t> Querying production databases, generating operational and financial reports, and data management for enterprise resource planning (ERP) systems.</w:t>
      </w:r>
    </w:p>
    <w:p w14:paraId="22E40DFF" w14:textId="77777777" w:rsidR="005121C6" w:rsidRPr="005121C6" w:rsidRDefault="005121C6" w:rsidP="005121C6">
      <w:pPr>
        <w:numPr>
          <w:ilvl w:val="0"/>
          <w:numId w:val="2"/>
        </w:numPr>
        <w:rPr>
          <w:rFonts w:asciiTheme="majorBidi" w:hAnsiTheme="majorBidi" w:cstheme="majorBidi"/>
          <w:color w:val="000000" w:themeColor="text1"/>
        </w:rPr>
      </w:pPr>
      <w:r w:rsidRPr="005121C6">
        <w:rPr>
          <w:rFonts w:asciiTheme="majorBidi" w:hAnsiTheme="majorBidi" w:cstheme="majorBidi"/>
          <w:b/>
          <w:bCs/>
          <w:color w:val="000000" w:themeColor="text1"/>
        </w:rPr>
        <w:t>Citation:</w:t>
      </w:r>
      <w:r w:rsidRPr="005121C6">
        <w:rPr>
          <w:rFonts w:asciiTheme="majorBidi" w:hAnsiTheme="majorBidi" w:cstheme="majorBidi"/>
          <w:color w:val="000000" w:themeColor="text1"/>
        </w:rPr>
        <w:br/>
        <w:t>Mohaghegh, S. D. (2017). </w:t>
      </w:r>
      <w:r w:rsidRPr="005121C6">
        <w:rPr>
          <w:rFonts w:asciiTheme="majorBidi" w:hAnsiTheme="majorBidi" w:cstheme="majorBidi"/>
          <w:i/>
          <w:iCs/>
          <w:color w:val="000000" w:themeColor="text1"/>
        </w:rPr>
        <w:t>Data analytics in the oil and gas industry: A comprehensive guide to using data.</w:t>
      </w:r>
      <w:r w:rsidRPr="005121C6">
        <w:rPr>
          <w:rFonts w:asciiTheme="majorBidi" w:hAnsiTheme="majorBidi" w:cstheme="majorBidi"/>
          <w:color w:val="000000" w:themeColor="text1"/>
        </w:rPr>
        <w:t> PennWell Books. (pp. 45-60).</w:t>
      </w:r>
    </w:p>
    <w:p w14:paraId="21F9B014" w14:textId="77777777" w:rsidR="005121C6" w:rsidRPr="005121C6" w:rsidRDefault="005121C6" w:rsidP="005121C6">
      <w:pPr>
        <w:spacing w:before="100" w:beforeAutospacing="1" w:after="100" w:afterAutospacing="1"/>
        <w:rPr>
          <w:rFonts w:asciiTheme="majorBidi" w:hAnsiTheme="majorBidi" w:cstheme="majorBidi"/>
          <w:color w:val="000000" w:themeColor="text1"/>
        </w:rPr>
      </w:pPr>
      <w:r w:rsidRPr="005121C6">
        <w:rPr>
          <w:rFonts w:asciiTheme="majorBidi" w:hAnsiTheme="majorBidi" w:cstheme="majorBidi"/>
          <w:b/>
          <w:bCs/>
          <w:color w:val="000000" w:themeColor="text1"/>
        </w:rPr>
        <w:t>3. C/C++</w:t>
      </w:r>
      <w:r w:rsidRPr="005121C6">
        <w:rPr>
          <w:rFonts w:asciiTheme="majorBidi" w:hAnsiTheme="majorBidi" w:cstheme="majorBidi"/>
          <w:color w:val="000000" w:themeColor="text1"/>
        </w:rPr>
        <w:br/>
        <w:t>C and C++ are critical for high-performance computing and low-level system control where processing speed and hardware interaction are paramount.</w:t>
      </w:r>
    </w:p>
    <w:p w14:paraId="02E4B657" w14:textId="77777777" w:rsidR="005121C6" w:rsidRPr="005121C6" w:rsidRDefault="005121C6" w:rsidP="005121C6">
      <w:pPr>
        <w:numPr>
          <w:ilvl w:val="0"/>
          <w:numId w:val="3"/>
        </w:numPr>
        <w:rPr>
          <w:rFonts w:asciiTheme="majorBidi" w:hAnsiTheme="majorBidi" w:cstheme="majorBidi"/>
          <w:color w:val="000000" w:themeColor="text1"/>
        </w:rPr>
      </w:pPr>
      <w:r w:rsidRPr="005121C6">
        <w:rPr>
          <w:rFonts w:asciiTheme="majorBidi" w:hAnsiTheme="majorBidi" w:cstheme="majorBidi"/>
          <w:b/>
          <w:bCs/>
          <w:color w:val="000000" w:themeColor="text1"/>
        </w:rPr>
        <w:t>Primary Uses:</w:t>
      </w:r>
      <w:r w:rsidRPr="005121C6">
        <w:rPr>
          <w:rFonts w:asciiTheme="majorBidi" w:hAnsiTheme="majorBidi" w:cstheme="majorBidi"/>
          <w:color w:val="000000" w:themeColor="text1"/>
        </w:rPr>
        <w:t> The computational core of high-fidelity reservoir simulators, real-time operating systems for drilling rigs, and embedded software for downhole tools and sensors.</w:t>
      </w:r>
    </w:p>
    <w:p w14:paraId="1B33D2E1" w14:textId="77777777" w:rsidR="005121C6" w:rsidRPr="005121C6" w:rsidRDefault="005121C6" w:rsidP="005121C6">
      <w:pPr>
        <w:numPr>
          <w:ilvl w:val="0"/>
          <w:numId w:val="3"/>
        </w:numPr>
        <w:rPr>
          <w:rFonts w:asciiTheme="majorBidi" w:hAnsiTheme="majorBidi" w:cstheme="majorBidi"/>
          <w:color w:val="000000" w:themeColor="text1"/>
        </w:rPr>
      </w:pPr>
      <w:r w:rsidRPr="005121C6">
        <w:rPr>
          <w:rFonts w:asciiTheme="majorBidi" w:hAnsiTheme="majorBidi" w:cstheme="majorBidi"/>
          <w:b/>
          <w:bCs/>
          <w:color w:val="000000" w:themeColor="text1"/>
        </w:rPr>
        <w:lastRenderedPageBreak/>
        <w:t>Citation:</w:t>
      </w:r>
      <w:r w:rsidRPr="005121C6">
        <w:rPr>
          <w:rFonts w:asciiTheme="majorBidi" w:hAnsiTheme="majorBidi" w:cstheme="majorBidi"/>
          <w:color w:val="000000" w:themeColor="text1"/>
        </w:rPr>
        <w:br/>
        <w:t>Chen, Z., Huan, G., &amp; Ma, Y. (2006). </w:t>
      </w:r>
      <w:r w:rsidRPr="005121C6">
        <w:rPr>
          <w:rFonts w:asciiTheme="majorBidi" w:hAnsiTheme="majorBidi" w:cstheme="majorBidi"/>
          <w:i/>
          <w:iCs/>
          <w:color w:val="000000" w:themeColor="text1"/>
        </w:rPr>
        <w:t>Computational methods for multiphase flows in porous media.</w:t>
      </w:r>
      <w:r w:rsidRPr="005121C6">
        <w:rPr>
          <w:rFonts w:asciiTheme="majorBidi" w:hAnsiTheme="majorBidi" w:cstheme="majorBidi"/>
          <w:color w:val="000000" w:themeColor="text1"/>
        </w:rPr>
        <w:t>Society for Industrial and Applied Mathematics. (pp. 20-25).</w:t>
      </w:r>
    </w:p>
    <w:p w14:paraId="2E2DC477" w14:textId="77777777" w:rsidR="005121C6" w:rsidRPr="005121C6" w:rsidRDefault="005121C6" w:rsidP="005121C6">
      <w:pPr>
        <w:spacing w:before="100" w:beforeAutospacing="1" w:after="100" w:afterAutospacing="1"/>
        <w:rPr>
          <w:rFonts w:asciiTheme="majorBidi" w:hAnsiTheme="majorBidi" w:cstheme="majorBidi"/>
          <w:color w:val="000000" w:themeColor="text1"/>
        </w:rPr>
      </w:pPr>
      <w:r w:rsidRPr="005121C6">
        <w:rPr>
          <w:rFonts w:asciiTheme="majorBidi" w:hAnsiTheme="majorBidi" w:cstheme="majorBidi"/>
          <w:b/>
          <w:bCs/>
          <w:color w:val="000000" w:themeColor="text1"/>
        </w:rPr>
        <w:t>4. IEC 61131-3 Standard Languages (e.g., Structured Text, Ladder Logic)</w:t>
      </w:r>
      <w:r w:rsidRPr="005121C6">
        <w:rPr>
          <w:rFonts w:asciiTheme="majorBidi" w:hAnsiTheme="majorBidi" w:cstheme="majorBidi"/>
          <w:color w:val="000000" w:themeColor="text1"/>
        </w:rPr>
        <w:br/>
        <w:t>This international standard defines the languages used to program Programmable Logic Controllers (PLCs) and Distributed Control Systems (DCSs), which are the backbone of all automated process control in refineries, chemical plants, and pipelines.</w:t>
      </w:r>
    </w:p>
    <w:p w14:paraId="2CD6DD57" w14:textId="77777777" w:rsidR="005121C6" w:rsidRPr="005121C6" w:rsidRDefault="005121C6" w:rsidP="005121C6">
      <w:pPr>
        <w:numPr>
          <w:ilvl w:val="0"/>
          <w:numId w:val="4"/>
        </w:numPr>
        <w:rPr>
          <w:rFonts w:asciiTheme="majorBidi" w:hAnsiTheme="majorBidi" w:cstheme="majorBidi"/>
          <w:color w:val="000000" w:themeColor="text1"/>
        </w:rPr>
      </w:pPr>
      <w:r w:rsidRPr="005121C6">
        <w:rPr>
          <w:rFonts w:asciiTheme="majorBidi" w:hAnsiTheme="majorBidi" w:cstheme="majorBidi"/>
          <w:b/>
          <w:bCs/>
          <w:color w:val="000000" w:themeColor="text1"/>
        </w:rPr>
        <w:t>Primary Uses:</w:t>
      </w:r>
      <w:r w:rsidRPr="005121C6">
        <w:rPr>
          <w:rFonts w:asciiTheme="majorBidi" w:hAnsiTheme="majorBidi" w:cstheme="majorBidi"/>
          <w:color w:val="000000" w:themeColor="text1"/>
        </w:rPr>
        <w:t> Programming the logic that controls physical processes like valve sequencing, pump control, safety shutdown systems, and reactor temperature control.</w:t>
      </w:r>
    </w:p>
    <w:p w14:paraId="49F6151B" w14:textId="77777777" w:rsidR="005121C6" w:rsidRPr="005121C6" w:rsidRDefault="005121C6" w:rsidP="005121C6">
      <w:pPr>
        <w:numPr>
          <w:ilvl w:val="0"/>
          <w:numId w:val="4"/>
        </w:numPr>
        <w:rPr>
          <w:rFonts w:asciiTheme="majorBidi" w:hAnsiTheme="majorBidi" w:cstheme="majorBidi"/>
          <w:color w:val="000000" w:themeColor="text1"/>
        </w:rPr>
      </w:pPr>
      <w:r w:rsidRPr="005121C6">
        <w:rPr>
          <w:rFonts w:asciiTheme="majorBidi" w:hAnsiTheme="majorBidi" w:cstheme="majorBidi"/>
          <w:b/>
          <w:bCs/>
          <w:color w:val="000000" w:themeColor="text1"/>
        </w:rPr>
        <w:t>Citation:</w:t>
      </w:r>
      <w:r w:rsidRPr="005121C6">
        <w:rPr>
          <w:rFonts w:asciiTheme="majorBidi" w:hAnsiTheme="majorBidi" w:cstheme="majorBidi"/>
          <w:color w:val="000000" w:themeColor="text1"/>
        </w:rPr>
        <w:br/>
        <w:t>International Electrotechnical Commission. (2013). *IEC 61131-3:2013 Programmable controllers - Part 3: Programming languages* (3rd ed.). Geneva, Switzerland: Author.</w:t>
      </w:r>
    </w:p>
    <w:p w14:paraId="00947B60" w14:textId="77777777" w:rsidR="005121C6" w:rsidRPr="005121C6" w:rsidRDefault="005121C6" w:rsidP="005121C6">
      <w:pPr>
        <w:spacing w:before="100" w:beforeAutospacing="1" w:after="100" w:afterAutospacing="1"/>
        <w:rPr>
          <w:rFonts w:asciiTheme="majorBidi" w:hAnsiTheme="majorBidi" w:cstheme="majorBidi"/>
          <w:color w:val="000000" w:themeColor="text1"/>
        </w:rPr>
      </w:pPr>
      <w:r w:rsidRPr="005121C6">
        <w:rPr>
          <w:rFonts w:asciiTheme="majorBidi" w:hAnsiTheme="majorBidi" w:cstheme="majorBidi"/>
          <w:b/>
          <w:bCs/>
          <w:color w:val="000000" w:themeColor="text1"/>
        </w:rPr>
        <w:t>5. VBA (Visual Basic for Applications)</w:t>
      </w:r>
      <w:r w:rsidRPr="005121C6">
        <w:rPr>
          <w:rFonts w:asciiTheme="majorBidi" w:hAnsiTheme="majorBidi" w:cstheme="majorBidi"/>
          <w:color w:val="000000" w:themeColor="text1"/>
        </w:rPr>
        <w:br/>
        <w:t>Despite its age, VBA remains deeply embedded in engineering workflows due to the industry's historical reliance on Microsoft Excel for calculations and data manipulation.</w:t>
      </w:r>
    </w:p>
    <w:p w14:paraId="5B4DC37A" w14:textId="77777777" w:rsidR="005121C6" w:rsidRPr="005121C6" w:rsidRDefault="005121C6" w:rsidP="005121C6">
      <w:pPr>
        <w:numPr>
          <w:ilvl w:val="0"/>
          <w:numId w:val="5"/>
        </w:numPr>
        <w:rPr>
          <w:rFonts w:asciiTheme="majorBidi" w:hAnsiTheme="majorBidi" w:cstheme="majorBidi"/>
          <w:color w:val="000000" w:themeColor="text1"/>
        </w:rPr>
      </w:pPr>
      <w:r w:rsidRPr="005121C6">
        <w:rPr>
          <w:rFonts w:asciiTheme="majorBidi" w:hAnsiTheme="majorBidi" w:cstheme="majorBidi"/>
          <w:b/>
          <w:bCs/>
          <w:color w:val="000000" w:themeColor="text1"/>
        </w:rPr>
        <w:t>Primary Uses:</w:t>
      </w:r>
      <w:r w:rsidRPr="005121C6">
        <w:rPr>
          <w:rFonts w:asciiTheme="majorBidi" w:hAnsiTheme="majorBidi" w:cstheme="majorBidi"/>
          <w:color w:val="000000" w:themeColor="text1"/>
        </w:rPr>
        <w:t> Automating custom calculations in spreadsheets, creating user forms for data entry, and generating quick reports and charts.</w:t>
      </w:r>
    </w:p>
    <w:p w14:paraId="5151029A" w14:textId="77777777" w:rsidR="005121C6" w:rsidRPr="005121C6" w:rsidRDefault="005121C6" w:rsidP="005121C6">
      <w:pPr>
        <w:numPr>
          <w:ilvl w:val="0"/>
          <w:numId w:val="5"/>
        </w:numPr>
        <w:rPr>
          <w:rFonts w:asciiTheme="majorBidi" w:hAnsiTheme="majorBidi" w:cstheme="majorBidi"/>
          <w:color w:val="000000" w:themeColor="text1"/>
        </w:rPr>
      </w:pPr>
      <w:r w:rsidRPr="005121C6">
        <w:rPr>
          <w:rFonts w:asciiTheme="majorBidi" w:hAnsiTheme="majorBidi" w:cstheme="majorBidi"/>
          <w:b/>
          <w:bCs/>
          <w:color w:val="000000" w:themeColor="text1"/>
        </w:rPr>
        <w:t>Citation:</w:t>
      </w:r>
      <w:r w:rsidRPr="005121C6">
        <w:rPr>
          <w:rFonts w:asciiTheme="majorBidi" w:hAnsiTheme="majorBidi" w:cstheme="majorBidi"/>
          <w:color w:val="000000" w:themeColor="text1"/>
        </w:rPr>
        <w:br/>
        <w:t>Cullick, A. S., &amp; Johnson, J. (2018). Digital transformation and the challenge of legacy technical workflows in upstream oil and gas. In </w:t>
      </w:r>
      <w:r w:rsidRPr="005121C6">
        <w:rPr>
          <w:rFonts w:asciiTheme="majorBidi" w:hAnsiTheme="majorBidi" w:cstheme="majorBidi"/>
          <w:i/>
          <w:iCs/>
          <w:color w:val="000000" w:themeColor="text1"/>
        </w:rPr>
        <w:t>SPE Annual Technical Conference and Exhibition</w:t>
      </w:r>
      <w:r w:rsidRPr="005121C6">
        <w:rPr>
          <w:rFonts w:asciiTheme="majorBidi" w:hAnsiTheme="majorBidi" w:cstheme="majorBidi"/>
          <w:color w:val="000000" w:themeColor="text1"/>
        </w:rPr>
        <w:t>. Society of Petroleum Engineers. SPE-191537-MS. </w:t>
      </w:r>
      <w:hyperlink r:id="rId6" w:tgtFrame="_blank" w:history="1">
        <w:r w:rsidRPr="005121C6">
          <w:rPr>
            <w:rFonts w:asciiTheme="majorBidi" w:hAnsiTheme="majorBidi" w:cstheme="majorBidi"/>
            <w:color w:val="000000" w:themeColor="text1"/>
            <w:u w:val="single"/>
          </w:rPr>
          <w:t>https://doi.org/10.2118/191537-MS</w:t>
        </w:r>
      </w:hyperlink>
    </w:p>
    <w:p w14:paraId="2BDDA6BD" w14:textId="77777777" w:rsidR="005121C6" w:rsidRPr="005121C6" w:rsidRDefault="005121C6" w:rsidP="005121C6">
      <w:pPr>
        <w:spacing w:before="100" w:beforeAutospacing="1" w:after="100" w:afterAutospacing="1"/>
        <w:rPr>
          <w:rFonts w:asciiTheme="majorBidi" w:hAnsiTheme="majorBidi" w:cstheme="majorBidi"/>
          <w:color w:val="000000" w:themeColor="text1"/>
        </w:rPr>
      </w:pPr>
      <w:r w:rsidRPr="005121C6">
        <w:rPr>
          <w:rFonts w:asciiTheme="majorBidi" w:hAnsiTheme="majorBidi" w:cstheme="majorBidi"/>
          <w:b/>
          <w:bCs/>
          <w:color w:val="000000" w:themeColor="text1"/>
        </w:rPr>
        <w:t>6. Java &amp; C#</w:t>
      </w:r>
      <w:r w:rsidRPr="005121C6">
        <w:rPr>
          <w:rFonts w:asciiTheme="majorBidi" w:hAnsiTheme="majorBidi" w:cstheme="majorBidi"/>
          <w:color w:val="000000" w:themeColor="text1"/>
        </w:rPr>
        <w:br/>
        <w:t>These object-oriented languages are staples for building robust, scalable enterprise-level applications and web services.</w:t>
      </w:r>
    </w:p>
    <w:p w14:paraId="71525D80" w14:textId="77777777" w:rsidR="005121C6" w:rsidRPr="005121C6" w:rsidRDefault="005121C6" w:rsidP="005121C6">
      <w:pPr>
        <w:numPr>
          <w:ilvl w:val="0"/>
          <w:numId w:val="6"/>
        </w:numPr>
        <w:rPr>
          <w:rFonts w:asciiTheme="majorBidi" w:hAnsiTheme="majorBidi" w:cstheme="majorBidi"/>
          <w:color w:val="000000" w:themeColor="text1"/>
        </w:rPr>
      </w:pPr>
      <w:r w:rsidRPr="005121C6">
        <w:rPr>
          <w:rFonts w:asciiTheme="majorBidi" w:hAnsiTheme="majorBidi" w:cstheme="majorBidi"/>
          <w:b/>
          <w:bCs/>
          <w:color w:val="000000" w:themeColor="text1"/>
        </w:rPr>
        <w:t>Primary Uses:</w:t>
      </w:r>
      <w:r w:rsidRPr="005121C6">
        <w:rPr>
          <w:rFonts w:asciiTheme="majorBidi" w:hAnsiTheme="majorBidi" w:cstheme="majorBidi"/>
          <w:color w:val="000000" w:themeColor="text1"/>
        </w:rPr>
        <w:t> Developing large-scale applications for asset management, supply chain logistics, and web-based portals for data visualization and reporting.</w:t>
      </w:r>
    </w:p>
    <w:p w14:paraId="7FD9E438" w14:textId="77777777" w:rsidR="005121C6" w:rsidRPr="005121C6" w:rsidRDefault="005121C6" w:rsidP="005121C6">
      <w:pPr>
        <w:numPr>
          <w:ilvl w:val="0"/>
          <w:numId w:val="6"/>
        </w:numPr>
        <w:rPr>
          <w:rFonts w:asciiTheme="majorBidi" w:hAnsiTheme="majorBidi" w:cstheme="majorBidi"/>
          <w:color w:val="000000" w:themeColor="text1"/>
        </w:rPr>
      </w:pPr>
      <w:r w:rsidRPr="005121C6">
        <w:rPr>
          <w:rFonts w:asciiTheme="majorBidi" w:hAnsiTheme="majorBidi" w:cstheme="majorBidi"/>
          <w:b/>
          <w:bCs/>
          <w:color w:val="000000" w:themeColor="text1"/>
        </w:rPr>
        <w:t>Citation:</w:t>
      </w:r>
      <w:r w:rsidRPr="005121C6">
        <w:rPr>
          <w:rFonts w:asciiTheme="majorBidi" w:hAnsiTheme="majorBidi" w:cstheme="majorBidi"/>
          <w:color w:val="000000" w:themeColor="text1"/>
        </w:rPr>
        <w:br/>
        <w:t>Ershaghi, I. (2019). The digital transformation of the oil and gas industry. </w:t>
      </w:r>
      <w:r w:rsidRPr="005121C6">
        <w:rPr>
          <w:rFonts w:asciiTheme="majorBidi" w:hAnsiTheme="majorBidi" w:cstheme="majorBidi"/>
          <w:i/>
          <w:iCs/>
          <w:color w:val="000000" w:themeColor="text1"/>
        </w:rPr>
        <w:t>The Journal of Petroleum Technology, 71</w:t>
      </w:r>
      <w:r w:rsidRPr="005121C6">
        <w:rPr>
          <w:rFonts w:asciiTheme="majorBidi" w:hAnsiTheme="majorBidi" w:cstheme="majorBidi"/>
          <w:color w:val="000000" w:themeColor="text1"/>
        </w:rPr>
        <w:t>(11), 38–41. </w:t>
      </w:r>
      <w:hyperlink r:id="rId7" w:tgtFrame="_blank" w:history="1">
        <w:r w:rsidRPr="005121C6">
          <w:rPr>
            <w:rFonts w:asciiTheme="majorBidi" w:hAnsiTheme="majorBidi" w:cstheme="majorBidi"/>
            <w:color w:val="000000" w:themeColor="text1"/>
            <w:u w:val="single"/>
          </w:rPr>
          <w:t>https://doi.org/10.2118/1119-0038-JPT</w:t>
        </w:r>
      </w:hyperlink>
    </w:p>
    <w:p w14:paraId="651527C3" w14:textId="77777777" w:rsidR="005121C6" w:rsidRPr="005121C6" w:rsidRDefault="00423221" w:rsidP="005121C6">
      <w:pPr>
        <w:spacing w:before="480" w:after="480"/>
        <w:rPr>
          <w:rFonts w:asciiTheme="majorBidi" w:hAnsiTheme="majorBidi" w:cstheme="majorBidi"/>
          <w:color w:val="000000" w:themeColor="text1"/>
        </w:rPr>
      </w:pPr>
      <w:r w:rsidRPr="00423221">
        <w:rPr>
          <w:rFonts w:asciiTheme="majorBidi" w:hAnsiTheme="majorBidi" w:cstheme="majorBidi"/>
          <w:noProof/>
          <w:color w:val="000000" w:themeColor="text1"/>
          <w14:ligatures w14:val="standardContextual"/>
        </w:rPr>
        <w:pict w14:anchorId="6F252A6A">
          <v:rect id="_x0000_i1026" alt="" style="width:468pt;height:.05pt;mso-width-percent:0;mso-height-percent:0;mso-width-percent:0;mso-height-percent:0" o:hralign="center" o:hrstd="t" o:hr="t" fillcolor="#a0a0a0" stroked="f"/>
        </w:pict>
      </w:r>
    </w:p>
    <w:p w14:paraId="3ECF0A46" w14:textId="77777777" w:rsidR="00A717AD" w:rsidRPr="00A717AD" w:rsidRDefault="00A717AD" w:rsidP="00A717AD">
      <w:pPr>
        <w:spacing w:before="100" w:beforeAutospacing="1" w:after="100" w:afterAutospacing="1"/>
        <w:outlineLvl w:val="2"/>
        <w:rPr>
          <w:rFonts w:asciiTheme="majorBidi" w:hAnsiTheme="majorBidi" w:cstheme="majorBidi"/>
          <w:b/>
          <w:bCs/>
          <w:color w:val="000000" w:themeColor="text1"/>
          <w:sz w:val="27"/>
          <w:szCs w:val="27"/>
        </w:rPr>
      </w:pPr>
      <w:r w:rsidRPr="00A717AD">
        <w:rPr>
          <w:rFonts w:asciiTheme="majorBidi" w:hAnsiTheme="majorBidi" w:cstheme="majorBidi"/>
          <w:b/>
          <w:bCs/>
          <w:color w:val="000000" w:themeColor="text1"/>
          <w:sz w:val="27"/>
          <w:szCs w:val="27"/>
        </w:rPr>
        <w:t>Summary Table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8"/>
        <w:gridCol w:w="2043"/>
        <w:gridCol w:w="5949"/>
      </w:tblGrid>
      <w:tr w:rsidR="00A717AD" w:rsidRPr="00A717AD" w14:paraId="338A2C0D" w14:textId="77777777" w:rsidTr="00A717AD">
        <w:trPr>
          <w:tblHeader/>
          <w:jc w:val="center"/>
        </w:trPr>
        <w:tc>
          <w:tcPr>
            <w:tcW w:w="0" w:type="auto"/>
            <w:tcMar>
              <w:top w:w="150" w:type="dxa"/>
              <w:left w:w="0" w:type="dxa"/>
              <w:bottom w:w="150" w:type="dxa"/>
              <w:right w:w="150" w:type="dxa"/>
            </w:tcMar>
            <w:vAlign w:val="center"/>
            <w:hideMark/>
          </w:tcPr>
          <w:p w14:paraId="27C9F12E" w14:textId="77777777" w:rsidR="00A717AD" w:rsidRPr="00A717AD" w:rsidRDefault="00A717AD" w:rsidP="00A717AD">
            <w:pPr>
              <w:jc w:val="center"/>
              <w:rPr>
                <w:rFonts w:asciiTheme="majorBidi" w:hAnsiTheme="majorBidi" w:cstheme="majorBidi"/>
                <w:b/>
                <w:bCs/>
                <w:color w:val="000000" w:themeColor="text1"/>
                <w:sz w:val="23"/>
                <w:szCs w:val="23"/>
              </w:rPr>
            </w:pPr>
            <w:r w:rsidRPr="00A717AD">
              <w:rPr>
                <w:rFonts w:asciiTheme="majorBidi" w:hAnsiTheme="majorBidi" w:cstheme="majorBidi"/>
                <w:b/>
                <w:bCs/>
                <w:color w:val="000000" w:themeColor="text1"/>
                <w:sz w:val="23"/>
                <w:szCs w:val="23"/>
              </w:rPr>
              <w:lastRenderedPageBreak/>
              <w:t>Language</w:t>
            </w:r>
          </w:p>
        </w:tc>
        <w:tc>
          <w:tcPr>
            <w:tcW w:w="0" w:type="auto"/>
            <w:tcMar>
              <w:top w:w="150" w:type="dxa"/>
              <w:left w:w="150" w:type="dxa"/>
              <w:bottom w:w="150" w:type="dxa"/>
              <w:right w:w="150" w:type="dxa"/>
            </w:tcMar>
            <w:vAlign w:val="center"/>
            <w:hideMark/>
          </w:tcPr>
          <w:p w14:paraId="09362BB6" w14:textId="77777777" w:rsidR="00A717AD" w:rsidRPr="00A717AD" w:rsidRDefault="00A717AD" w:rsidP="00A717AD">
            <w:pPr>
              <w:jc w:val="center"/>
              <w:rPr>
                <w:rFonts w:asciiTheme="majorBidi" w:hAnsiTheme="majorBidi" w:cstheme="majorBidi"/>
                <w:b/>
                <w:bCs/>
                <w:color w:val="000000" w:themeColor="text1"/>
                <w:sz w:val="23"/>
                <w:szCs w:val="23"/>
              </w:rPr>
            </w:pPr>
            <w:r w:rsidRPr="00A717AD">
              <w:rPr>
                <w:rFonts w:asciiTheme="majorBidi" w:hAnsiTheme="majorBidi" w:cstheme="majorBidi"/>
                <w:b/>
                <w:bCs/>
                <w:color w:val="000000" w:themeColor="text1"/>
                <w:sz w:val="23"/>
                <w:szCs w:val="23"/>
              </w:rPr>
              <w:t>Primary Domain</w:t>
            </w:r>
          </w:p>
        </w:tc>
        <w:tc>
          <w:tcPr>
            <w:tcW w:w="0" w:type="auto"/>
            <w:tcMar>
              <w:top w:w="150" w:type="dxa"/>
              <w:left w:w="150" w:type="dxa"/>
              <w:bottom w:w="150" w:type="dxa"/>
              <w:right w:w="150" w:type="dxa"/>
            </w:tcMar>
            <w:vAlign w:val="center"/>
            <w:hideMark/>
          </w:tcPr>
          <w:p w14:paraId="7E3788DB" w14:textId="77777777" w:rsidR="00A717AD" w:rsidRPr="00A717AD" w:rsidRDefault="00A717AD" w:rsidP="00A717AD">
            <w:pPr>
              <w:jc w:val="center"/>
              <w:rPr>
                <w:rFonts w:asciiTheme="majorBidi" w:hAnsiTheme="majorBidi" w:cstheme="majorBidi"/>
                <w:b/>
                <w:bCs/>
                <w:color w:val="000000" w:themeColor="text1"/>
                <w:sz w:val="23"/>
                <w:szCs w:val="23"/>
              </w:rPr>
            </w:pPr>
            <w:r w:rsidRPr="00A717AD">
              <w:rPr>
                <w:rFonts w:asciiTheme="majorBidi" w:hAnsiTheme="majorBidi" w:cstheme="majorBidi"/>
                <w:b/>
                <w:bCs/>
                <w:color w:val="000000" w:themeColor="text1"/>
                <w:sz w:val="23"/>
                <w:szCs w:val="23"/>
              </w:rPr>
              <w:t>Typical Use Cases in Oil &amp; Gas</w:t>
            </w:r>
          </w:p>
        </w:tc>
      </w:tr>
      <w:tr w:rsidR="00A717AD" w:rsidRPr="00A717AD" w14:paraId="7650F771" w14:textId="77777777" w:rsidTr="00A717AD">
        <w:trPr>
          <w:jc w:val="center"/>
        </w:trPr>
        <w:tc>
          <w:tcPr>
            <w:tcW w:w="0" w:type="auto"/>
            <w:tcMar>
              <w:top w:w="150" w:type="dxa"/>
              <w:left w:w="0" w:type="dxa"/>
              <w:bottom w:w="150" w:type="dxa"/>
              <w:right w:w="150" w:type="dxa"/>
            </w:tcMar>
            <w:vAlign w:val="center"/>
            <w:hideMark/>
          </w:tcPr>
          <w:p w14:paraId="56C8B72D" w14:textId="77777777" w:rsidR="00A717AD" w:rsidRPr="00A717AD" w:rsidRDefault="00A717AD" w:rsidP="00A717AD">
            <w:pPr>
              <w:jc w:val="center"/>
              <w:rPr>
                <w:rFonts w:asciiTheme="majorBidi" w:hAnsiTheme="majorBidi" w:cstheme="majorBidi"/>
                <w:color w:val="000000" w:themeColor="text1"/>
                <w:sz w:val="23"/>
                <w:szCs w:val="23"/>
              </w:rPr>
            </w:pPr>
            <w:r w:rsidRPr="00A717AD">
              <w:rPr>
                <w:rFonts w:asciiTheme="majorBidi" w:hAnsiTheme="majorBidi" w:cstheme="majorBidi"/>
                <w:b/>
                <w:bCs/>
                <w:color w:val="000000" w:themeColor="text1"/>
                <w:sz w:val="23"/>
                <w:szCs w:val="23"/>
              </w:rPr>
              <w:t>Python</w:t>
            </w:r>
          </w:p>
        </w:tc>
        <w:tc>
          <w:tcPr>
            <w:tcW w:w="0" w:type="auto"/>
            <w:tcMar>
              <w:top w:w="150" w:type="dxa"/>
              <w:left w:w="150" w:type="dxa"/>
              <w:bottom w:w="150" w:type="dxa"/>
              <w:right w:w="150" w:type="dxa"/>
            </w:tcMar>
            <w:vAlign w:val="center"/>
            <w:hideMark/>
          </w:tcPr>
          <w:p w14:paraId="6D282BFC" w14:textId="77777777" w:rsidR="00A717AD" w:rsidRPr="00A717AD" w:rsidRDefault="00A717AD" w:rsidP="00A717AD">
            <w:pPr>
              <w:jc w:val="center"/>
              <w:rPr>
                <w:rFonts w:asciiTheme="majorBidi" w:hAnsiTheme="majorBidi" w:cstheme="majorBidi"/>
                <w:color w:val="000000" w:themeColor="text1"/>
                <w:sz w:val="23"/>
                <w:szCs w:val="23"/>
              </w:rPr>
            </w:pPr>
            <w:r w:rsidRPr="00A717AD">
              <w:rPr>
                <w:rFonts w:asciiTheme="majorBidi" w:hAnsiTheme="majorBidi" w:cstheme="majorBidi"/>
                <w:color w:val="000000" w:themeColor="text1"/>
                <w:sz w:val="23"/>
                <w:szCs w:val="23"/>
              </w:rPr>
              <w:t>IT / Data Science</w:t>
            </w:r>
          </w:p>
        </w:tc>
        <w:tc>
          <w:tcPr>
            <w:tcW w:w="0" w:type="auto"/>
            <w:tcMar>
              <w:top w:w="150" w:type="dxa"/>
              <w:left w:w="150" w:type="dxa"/>
              <w:bottom w:w="150" w:type="dxa"/>
              <w:right w:w="150" w:type="dxa"/>
            </w:tcMar>
            <w:vAlign w:val="center"/>
            <w:hideMark/>
          </w:tcPr>
          <w:p w14:paraId="392C5F4E" w14:textId="77777777" w:rsidR="00A717AD" w:rsidRPr="00A717AD" w:rsidRDefault="00A717AD" w:rsidP="00A717AD">
            <w:pPr>
              <w:jc w:val="center"/>
              <w:rPr>
                <w:rFonts w:asciiTheme="majorBidi" w:hAnsiTheme="majorBidi" w:cstheme="majorBidi"/>
                <w:color w:val="000000" w:themeColor="text1"/>
                <w:sz w:val="23"/>
                <w:szCs w:val="23"/>
              </w:rPr>
            </w:pPr>
            <w:r w:rsidRPr="00A717AD">
              <w:rPr>
                <w:rFonts w:asciiTheme="majorBidi" w:hAnsiTheme="majorBidi" w:cstheme="majorBidi"/>
                <w:color w:val="000000" w:themeColor="text1"/>
                <w:sz w:val="23"/>
                <w:szCs w:val="23"/>
              </w:rPr>
              <w:t>Data analytics, machine learning, process automation, geoscience</w:t>
            </w:r>
          </w:p>
        </w:tc>
      </w:tr>
      <w:tr w:rsidR="00A717AD" w:rsidRPr="00A717AD" w14:paraId="46B9326D" w14:textId="77777777" w:rsidTr="00A717AD">
        <w:trPr>
          <w:jc w:val="center"/>
        </w:trPr>
        <w:tc>
          <w:tcPr>
            <w:tcW w:w="0" w:type="auto"/>
            <w:tcMar>
              <w:top w:w="150" w:type="dxa"/>
              <w:left w:w="0" w:type="dxa"/>
              <w:bottom w:w="150" w:type="dxa"/>
              <w:right w:w="150" w:type="dxa"/>
            </w:tcMar>
            <w:vAlign w:val="center"/>
            <w:hideMark/>
          </w:tcPr>
          <w:p w14:paraId="1B31AE87" w14:textId="77777777" w:rsidR="00A717AD" w:rsidRPr="00A717AD" w:rsidRDefault="00A717AD" w:rsidP="00A717AD">
            <w:pPr>
              <w:jc w:val="center"/>
              <w:rPr>
                <w:rFonts w:asciiTheme="majorBidi" w:hAnsiTheme="majorBidi" w:cstheme="majorBidi"/>
                <w:color w:val="000000" w:themeColor="text1"/>
                <w:sz w:val="23"/>
                <w:szCs w:val="23"/>
              </w:rPr>
            </w:pPr>
            <w:r w:rsidRPr="00A717AD">
              <w:rPr>
                <w:rFonts w:asciiTheme="majorBidi" w:hAnsiTheme="majorBidi" w:cstheme="majorBidi"/>
                <w:b/>
                <w:bCs/>
                <w:color w:val="000000" w:themeColor="text1"/>
                <w:sz w:val="23"/>
                <w:szCs w:val="23"/>
              </w:rPr>
              <w:t>SQL</w:t>
            </w:r>
          </w:p>
        </w:tc>
        <w:tc>
          <w:tcPr>
            <w:tcW w:w="0" w:type="auto"/>
            <w:tcMar>
              <w:top w:w="150" w:type="dxa"/>
              <w:left w:w="150" w:type="dxa"/>
              <w:bottom w:w="150" w:type="dxa"/>
              <w:right w:w="150" w:type="dxa"/>
            </w:tcMar>
            <w:vAlign w:val="center"/>
            <w:hideMark/>
          </w:tcPr>
          <w:p w14:paraId="5C0129EA" w14:textId="77777777" w:rsidR="00A717AD" w:rsidRPr="00A717AD" w:rsidRDefault="00A717AD" w:rsidP="00A717AD">
            <w:pPr>
              <w:jc w:val="center"/>
              <w:rPr>
                <w:rFonts w:asciiTheme="majorBidi" w:hAnsiTheme="majorBidi" w:cstheme="majorBidi"/>
                <w:color w:val="000000" w:themeColor="text1"/>
                <w:sz w:val="23"/>
                <w:szCs w:val="23"/>
              </w:rPr>
            </w:pPr>
            <w:r w:rsidRPr="00A717AD">
              <w:rPr>
                <w:rFonts w:asciiTheme="majorBidi" w:hAnsiTheme="majorBidi" w:cstheme="majorBidi"/>
                <w:color w:val="000000" w:themeColor="text1"/>
                <w:sz w:val="23"/>
                <w:szCs w:val="23"/>
              </w:rPr>
              <w:t>IT / Data</w:t>
            </w:r>
          </w:p>
        </w:tc>
        <w:tc>
          <w:tcPr>
            <w:tcW w:w="0" w:type="auto"/>
            <w:tcMar>
              <w:top w:w="150" w:type="dxa"/>
              <w:left w:w="150" w:type="dxa"/>
              <w:bottom w:w="150" w:type="dxa"/>
              <w:right w:w="150" w:type="dxa"/>
            </w:tcMar>
            <w:vAlign w:val="center"/>
            <w:hideMark/>
          </w:tcPr>
          <w:p w14:paraId="33B1CAAE" w14:textId="77777777" w:rsidR="00A717AD" w:rsidRPr="00A717AD" w:rsidRDefault="00A717AD" w:rsidP="00A717AD">
            <w:pPr>
              <w:jc w:val="center"/>
              <w:rPr>
                <w:rFonts w:asciiTheme="majorBidi" w:hAnsiTheme="majorBidi" w:cstheme="majorBidi"/>
                <w:color w:val="000000" w:themeColor="text1"/>
                <w:sz w:val="23"/>
                <w:szCs w:val="23"/>
              </w:rPr>
            </w:pPr>
            <w:r w:rsidRPr="00A717AD">
              <w:rPr>
                <w:rFonts w:asciiTheme="majorBidi" w:hAnsiTheme="majorBidi" w:cstheme="majorBidi"/>
                <w:color w:val="000000" w:themeColor="text1"/>
                <w:sz w:val="23"/>
                <w:szCs w:val="23"/>
              </w:rPr>
              <w:t>Database querying, reporting, data extraction</w:t>
            </w:r>
          </w:p>
        </w:tc>
      </w:tr>
      <w:tr w:rsidR="00A717AD" w:rsidRPr="00A717AD" w14:paraId="288AB45B" w14:textId="77777777" w:rsidTr="00A717AD">
        <w:trPr>
          <w:jc w:val="center"/>
        </w:trPr>
        <w:tc>
          <w:tcPr>
            <w:tcW w:w="0" w:type="auto"/>
            <w:tcMar>
              <w:top w:w="150" w:type="dxa"/>
              <w:left w:w="0" w:type="dxa"/>
              <w:bottom w:w="150" w:type="dxa"/>
              <w:right w:w="150" w:type="dxa"/>
            </w:tcMar>
            <w:vAlign w:val="center"/>
            <w:hideMark/>
          </w:tcPr>
          <w:p w14:paraId="49D068CC" w14:textId="77777777" w:rsidR="00A717AD" w:rsidRPr="00A717AD" w:rsidRDefault="00A717AD" w:rsidP="00A717AD">
            <w:pPr>
              <w:jc w:val="center"/>
              <w:rPr>
                <w:rFonts w:asciiTheme="majorBidi" w:hAnsiTheme="majorBidi" w:cstheme="majorBidi"/>
                <w:color w:val="000000" w:themeColor="text1"/>
                <w:sz w:val="23"/>
                <w:szCs w:val="23"/>
              </w:rPr>
            </w:pPr>
            <w:r w:rsidRPr="00A717AD">
              <w:rPr>
                <w:rFonts w:asciiTheme="majorBidi" w:hAnsiTheme="majorBidi" w:cstheme="majorBidi"/>
                <w:b/>
                <w:bCs/>
                <w:color w:val="000000" w:themeColor="text1"/>
                <w:sz w:val="23"/>
                <w:szCs w:val="23"/>
              </w:rPr>
              <w:t>C/C++</w:t>
            </w:r>
          </w:p>
        </w:tc>
        <w:tc>
          <w:tcPr>
            <w:tcW w:w="0" w:type="auto"/>
            <w:tcMar>
              <w:top w:w="150" w:type="dxa"/>
              <w:left w:w="150" w:type="dxa"/>
              <w:bottom w:w="150" w:type="dxa"/>
              <w:right w:w="150" w:type="dxa"/>
            </w:tcMar>
            <w:vAlign w:val="center"/>
            <w:hideMark/>
          </w:tcPr>
          <w:p w14:paraId="5B5134D9" w14:textId="77777777" w:rsidR="00A717AD" w:rsidRPr="00A717AD" w:rsidRDefault="00A717AD" w:rsidP="00A717AD">
            <w:pPr>
              <w:jc w:val="center"/>
              <w:rPr>
                <w:rFonts w:asciiTheme="majorBidi" w:hAnsiTheme="majorBidi" w:cstheme="majorBidi"/>
                <w:color w:val="000000" w:themeColor="text1"/>
                <w:sz w:val="23"/>
                <w:szCs w:val="23"/>
              </w:rPr>
            </w:pPr>
            <w:r w:rsidRPr="00A717AD">
              <w:rPr>
                <w:rFonts w:asciiTheme="majorBidi" w:hAnsiTheme="majorBidi" w:cstheme="majorBidi"/>
                <w:color w:val="000000" w:themeColor="text1"/>
                <w:sz w:val="23"/>
                <w:szCs w:val="23"/>
              </w:rPr>
              <w:t>OT / Embedded</w:t>
            </w:r>
          </w:p>
        </w:tc>
        <w:tc>
          <w:tcPr>
            <w:tcW w:w="0" w:type="auto"/>
            <w:tcMar>
              <w:top w:w="150" w:type="dxa"/>
              <w:left w:w="150" w:type="dxa"/>
              <w:bottom w:w="150" w:type="dxa"/>
              <w:right w:w="150" w:type="dxa"/>
            </w:tcMar>
            <w:vAlign w:val="center"/>
            <w:hideMark/>
          </w:tcPr>
          <w:p w14:paraId="55654165" w14:textId="77777777" w:rsidR="00A717AD" w:rsidRPr="00A717AD" w:rsidRDefault="00A717AD" w:rsidP="00A717AD">
            <w:pPr>
              <w:jc w:val="center"/>
              <w:rPr>
                <w:rFonts w:asciiTheme="majorBidi" w:hAnsiTheme="majorBidi" w:cstheme="majorBidi"/>
                <w:color w:val="000000" w:themeColor="text1"/>
                <w:sz w:val="23"/>
                <w:szCs w:val="23"/>
              </w:rPr>
            </w:pPr>
            <w:r w:rsidRPr="00A717AD">
              <w:rPr>
                <w:rFonts w:asciiTheme="majorBidi" w:hAnsiTheme="majorBidi" w:cstheme="majorBidi"/>
                <w:color w:val="000000" w:themeColor="text1"/>
                <w:sz w:val="23"/>
                <w:szCs w:val="23"/>
              </w:rPr>
              <w:t>Reservoir simulators, real-time control systems, equipment software</w:t>
            </w:r>
          </w:p>
        </w:tc>
      </w:tr>
      <w:tr w:rsidR="00A717AD" w:rsidRPr="00A717AD" w14:paraId="77316CB2" w14:textId="77777777" w:rsidTr="00A717AD">
        <w:trPr>
          <w:jc w:val="center"/>
        </w:trPr>
        <w:tc>
          <w:tcPr>
            <w:tcW w:w="0" w:type="auto"/>
            <w:tcMar>
              <w:top w:w="150" w:type="dxa"/>
              <w:left w:w="0" w:type="dxa"/>
              <w:bottom w:w="150" w:type="dxa"/>
              <w:right w:w="150" w:type="dxa"/>
            </w:tcMar>
            <w:vAlign w:val="center"/>
            <w:hideMark/>
          </w:tcPr>
          <w:p w14:paraId="6C35D9C7" w14:textId="77777777" w:rsidR="00A717AD" w:rsidRPr="00A717AD" w:rsidRDefault="00A717AD" w:rsidP="00A717AD">
            <w:pPr>
              <w:jc w:val="center"/>
              <w:rPr>
                <w:rFonts w:asciiTheme="majorBidi" w:hAnsiTheme="majorBidi" w:cstheme="majorBidi"/>
                <w:color w:val="000000" w:themeColor="text1"/>
                <w:sz w:val="23"/>
                <w:szCs w:val="23"/>
              </w:rPr>
            </w:pPr>
            <w:r w:rsidRPr="00A717AD">
              <w:rPr>
                <w:rFonts w:asciiTheme="majorBidi" w:hAnsiTheme="majorBidi" w:cstheme="majorBidi"/>
                <w:b/>
                <w:bCs/>
                <w:color w:val="000000" w:themeColor="text1"/>
                <w:sz w:val="23"/>
                <w:szCs w:val="23"/>
              </w:rPr>
              <w:t>VBA</w:t>
            </w:r>
          </w:p>
        </w:tc>
        <w:tc>
          <w:tcPr>
            <w:tcW w:w="0" w:type="auto"/>
            <w:tcMar>
              <w:top w:w="150" w:type="dxa"/>
              <w:left w:w="150" w:type="dxa"/>
              <w:bottom w:w="150" w:type="dxa"/>
              <w:right w:w="150" w:type="dxa"/>
            </w:tcMar>
            <w:vAlign w:val="center"/>
            <w:hideMark/>
          </w:tcPr>
          <w:p w14:paraId="68F09583" w14:textId="77777777" w:rsidR="00A717AD" w:rsidRPr="00A717AD" w:rsidRDefault="00A717AD" w:rsidP="00A717AD">
            <w:pPr>
              <w:jc w:val="center"/>
              <w:rPr>
                <w:rFonts w:asciiTheme="majorBidi" w:hAnsiTheme="majorBidi" w:cstheme="majorBidi"/>
                <w:color w:val="000000" w:themeColor="text1"/>
                <w:sz w:val="23"/>
                <w:szCs w:val="23"/>
              </w:rPr>
            </w:pPr>
            <w:r w:rsidRPr="00A717AD">
              <w:rPr>
                <w:rFonts w:asciiTheme="majorBidi" w:hAnsiTheme="majorBidi" w:cstheme="majorBidi"/>
                <w:color w:val="000000" w:themeColor="text1"/>
                <w:sz w:val="23"/>
                <w:szCs w:val="23"/>
              </w:rPr>
              <w:t>OT / Engineering</w:t>
            </w:r>
          </w:p>
        </w:tc>
        <w:tc>
          <w:tcPr>
            <w:tcW w:w="0" w:type="auto"/>
            <w:tcMar>
              <w:top w:w="150" w:type="dxa"/>
              <w:left w:w="150" w:type="dxa"/>
              <w:bottom w:w="150" w:type="dxa"/>
              <w:right w:w="150" w:type="dxa"/>
            </w:tcMar>
            <w:vAlign w:val="center"/>
            <w:hideMark/>
          </w:tcPr>
          <w:p w14:paraId="70A4A3EB" w14:textId="77777777" w:rsidR="00A717AD" w:rsidRPr="00A717AD" w:rsidRDefault="00A717AD" w:rsidP="00A717AD">
            <w:pPr>
              <w:jc w:val="center"/>
              <w:rPr>
                <w:rFonts w:asciiTheme="majorBidi" w:hAnsiTheme="majorBidi" w:cstheme="majorBidi"/>
                <w:color w:val="000000" w:themeColor="text1"/>
                <w:sz w:val="23"/>
                <w:szCs w:val="23"/>
              </w:rPr>
            </w:pPr>
            <w:r w:rsidRPr="00A717AD">
              <w:rPr>
                <w:rFonts w:asciiTheme="majorBidi" w:hAnsiTheme="majorBidi" w:cstheme="majorBidi"/>
                <w:color w:val="000000" w:themeColor="text1"/>
                <w:sz w:val="23"/>
                <w:szCs w:val="23"/>
              </w:rPr>
              <w:t>Excel automation, custom engineering calculators, quick macros</w:t>
            </w:r>
          </w:p>
        </w:tc>
      </w:tr>
      <w:tr w:rsidR="00A717AD" w:rsidRPr="00A717AD" w14:paraId="7F9E1B5F" w14:textId="77777777" w:rsidTr="00A717AD">
        <w:trPr>
          <w:jc w:val="center"/>
        </w:trPr>
        <w:tc>
          <w:tcPr>
            <w:tcW w:w="0" w:type="auto"/>
            <w:tcMar>
              <w:top w:w="150" w:type="dxa"/>
              <w:left w:w="0" w:type="dxa"/>
              <w:bottom w:w="150" w:type="dxa"/>
              <w:right w:w="150" w:type="dxa"/>
            </w:tcMar>
            <w:vAlign w:val="center"/>
            <w:hideMark/>
          </w:tcPr>
          <w:p w14:paraId="3E23F24F" w14:textId="77777777" w:rsidR="00A717AD" w:rsidRPr="00A717AD" w:rsidRDefault="00A717AD" w:rsidP="00A717AD">
            <w:pPr>
              <w:jc w:val="center"/>
              <w:rPr>
                <w:rFonts w:asciiTheme="majorBidi" w:hAnsiTheme="majorBidi" w:cstheme="majorBidi"/>
                <w:color w:val="000000" w:themeColor="text1"/>
                <w:sz w:val="23"/>
                <w:szCs w:val="23"/>
              </w:rPr>
            </w:pPr>
            <w:r w:rsidRPr="00A717AD">
              <w:rPr>
                <w:rFonts w:asciiTheme="majorBidi" w:hAnsiTheme="majorBidi" w:cstheme="majorBidi"/>
                <w:b/>
                <w:bCs/>
                <w:color w:val="000000" w:themeColor="text1"/>
                <w:sz w:val="23"/>
                <w:szCs w:val="23"/>
              </w:rPr>
              <w:t>Java / C#</w:t>
            </w:r>
          </w:p>
        </w:tc>
        <w:tc>
          <w:tcPr>
            <w:tcW w:w="0" w:type="auto"/>
            <w:tcMar>
              <w:top w:w="150" w:type="dxa"/>
              <w:left w:w="150" w:type="dxa"/>
              <w:bottom w:w="150" w:type="dxa"/>
              <w:right w:w="150" w:type="dxa"/>
            </w:tcMar>
            <w:vAlign w:val="center"/>
            <w:hideMark/>
          </w:tcPr>
          <w:p w14:paraId="04138E1B" w14:textId="77777777" w:rsidR="00A717AD" w:rsidRPr="00A717AD" w:rsidRDefault="00A717AD" w:rsidP="00A717AD">
            <w:pPr>
              <w:jc w:val="center"/>
              <w:rPr>
                <w:rFonts w:asciiTheme="majorBidi" w:hAnsiTheme="majorBidi" w:cstheme="majorBidi"/>
                <w:color w:val="000000" w:themeColor="text1"/>
                <w:sz w:val="23"/>
                <w:szCs w:val="23"/>
              </w:rPr>
            </w:pPr>
            <w:r w:rsidRPr="00A717AD">
              <w:rPr>
                <w:rFonts w:asciiTheme="majorBidi" w:hAnsiTheme="majorBidi" w:cstheme="majorBidi"/>
                <w:color w:val="000000" w:themeColor="text1"/>
                <w:sz w:val="23"/>
                <w:szCs w:val="23"/>
              </w:rPr>
              <w:t>IT / Enterprise</w:t>
            </w:r>
          </w:p>
        </w:tc>
        <w:tc>
          <w:tcPr>
            <w:tcW w:w="0" w:type="auto"/>
            <w:tcMar>
              <w:top w:w="150" w:type="dxa"/>
              <w:left w:w="150" w:type="dxa"/>
              <w:bottom w:w="150" w:type="dxa"/>
              <w:right w:w="150" w:type="dxa"/>
            </w:tcMar>
            <w:vAlign w:val="center"/>
            <w:hideMark/>
          </w:tcPr>
          <w:p w14:paraId="7D3F4745" w14:textId="77777777" w:rsidR="00A717AD" w:rsidRPr="00A717AD" w:rsidRDefault="00A717AD" w:rsidP="00A717AD">
            <w:pPr>
              <w:jc w:val="center"/>
              <w:rPr>
                <w:rFonts w:asciiTheme="majorBidi" w:hAnsiTheme="majorBidi" w:cstheme="majorBidi"/>
                <w:color w:val="000000" w:themeColor="text1"/>
                <w:sz w:val="23"/>
                <w:szCs w:val="23"/>
              </w:rPr>
            </w:pPr>
            <w:r w:rsidRPr="00A717AD">
              <w:rPr>
                <w:rFonts w:asciiTheme="majorBidi" w:hAnsiTheme="majorBidi" w:cstheme="majorBidi"/>
                <w:color w:val="000000" w:themeColor="text1"/>
                <w:sz w:val="23"/>
                <w:szCs w:val="23"/>
              </w:rPr>
              <w:t>Large-scale enterprise applications, web services, internal tools</w:t>
            </w:r>
          </w:p>
        </w:tc>
      </w:tr>
      <w:tr w:rsidR="00A717AD" w:rsidRPr="00A717AD" w14:paraId="6320400B" w14:textId="77777777" w:rsidTr="00A717AD">
        <w:trPr>
          <w:jc w:val="center"/>
        </w:trPr>
        <w:tc>
          <w:tcPr>
            <w:tcW w:w="0" w:type="auto"/>
            <w:tcMar>
              <w:top w:w="150" w:type="dxa"/>
              <w:left w:w="0" w:type="dxa"/>
              <w:bottom w:w="150" w:type="dxa"/>
              <w:right w:w="150" w:type="dxa"/>
            </w:tcMar>
            <w:vAlign w:val="center"/>
            <w:hideMark/>
          </w:tcPr>
          <w:p w14:paraId="6F8D0EB5" w14:textId="77777777" w:rsidR="00A717AD" w:rsidRPr="00A717AD" w:rsidRDefault="00A717AD" w:rsidP="00A717AD">
            <w:pPr>
              <w:jc w:val="center"/>
              <w:rPr>
                <w:rFonts w:asciiTheme="majorBidi" w:hAnsiTheme="majorBidi" w:cstheme="majorBidi"/>
                <w:color w:val="000000" w:themeColor="text1"/>
                <w:sz w:val="23"/>
                <w:szCs w:val="23"/>
              </w:rPr>
            </w:pPr>
            <w:r w:rsidRPr="00A717AD">
              <w:rPr>
                <w:rFonts w:asciiTheme="majorBidi" w:hAnsiTheme="majorBidi" w:cstheme="majorBidi"/>
                <w:b/>
                <w:bCs/>
                <w:color w:val="000000" w:themeColor="text1"/>
                <w:sz w:val="23"/>
                <w:szCs w:val="23"/>
              </w:rPr>
              <w:t>JavaScript</w:t>
            </w:r>
          </w:p>
        </w:tc>
        <w:tc>
          <w:tcPr>
            <w:tcW w:w="0" w:type="auto"/>
            <w:tcMar>
              <w:top w:w="150" w:type="dxa"/>
              <w:left w:w="150" w:type="dxa"/>
              <w:bottom w:w="150" w:type="dxa"/>
              <w:right w:w="150" w:type="dxa"/>
            </w:tcMar>
            <w:vAlign w:val="center"/>
            <w:hideMark/>
          </w:tcPr>
          <w:p w14:paraId="117A380F" w14:textId="77777777" w:rsidR="00A717AD" w:rsidRPr="00A717AD" w:rsidRDefault="00A717AD" w:rsidP="00A717AD">
            <w:pPr>
              <w:jc w:val="center"/>
              <w:rPr>
                <w:rFonts w:asciiTheme="majorBidi" w:hAnsiTheme="majorBidi" w:cstheme="majorBidi"/>
                <w:color w:val="000000" w:themeColor="text1"/>
                <w:sz w:val="23"/>
                <w:szCs w:val="23"/>
              </w:rPr>
            </w:pPr>
            <w:r w:rsidRPr="00A717AD">
              <w:rPr>
                <w:rFonts w:asciiTheme="majorBidi" w:hAnsiTheme="majorBidi" w:cstheme="majorBidi"/>
                <w:color w:val="000000" w:themeColor="text1"/>
                <w:sz w:val="23"/>
                <w:szCs w:val="23"/>
              </w:rPr>
              <w:t>IT / Web</w:t>
            </w:r>
          </w:p>
        </w:tc>
        <w:tc>
          <w:tcPr>
            <w:tcW w:w="0" w:type="auto"/>
            <w:tcMar>
              <w:top w:w="150" w:type="dxa"/>
              <w:left w:w="150" w:type="dxa"/>
              <w:bottom w:w="150" w:type="dxa"/>
              <w:right w:w="150" w:type="dxa"/>
            </w:tcMar>
            <w:vAlign w:val="center"/>
            <w:hideMark/>
          </w:tcPr>
          <w:p w14:paraId="18C54622" w14:textId="77777777" w:rsidR="00A717AD" w:rsidRPr="00A717AD" w:rsidRDefault="00A717AD" w:rsidP="00A717AD">
            <w:pPr>
              <w:jc w:val="center"/>
              <w:rPr>
                <w:rFonts w:asciiTheme="majorBidi" w:hAnsiTheme="majorBidi" w:cstheme="majorBidi"/>
                <w:color w:val="000000" w:themeColor="text1"/>
                <w:sz w:val="23"/>
                <w:szCs w:val="23"/>
              </w:rPr>
            </w:pPr>
            <w:r w:rsidRPr="00A717AD">
              <w:rPr>
                <w:rFonts w:asciiTheme="majorBidi" w:hAnsiTheme="majorBidi" w:cstheme="majorBidi"/>
                <w:color w:val="000000" w:themeColor="text1"/>
                <w:sz w:val="23"/>
                <w:szCs w:val="23"/>
              </w:rPr>
              <w:t>Interactive dashboards, web UIs for digital twins, data visualization</w:t>
            </w:r>
          </w:p>
        </w:tc>
      </w:tr>
      <w:tr w:rsidR="00A717AD" w:rsidRPr="00A717AD" w14:paraId="2F8DA47B" w14:textId="77777777" w:rsidTr="00A717AD">
        <w:trPr>
          <w:jc w:val="center"/>
        </w:trPr>
        <w:tc>
          <w:tcPr>
            <w:tcW w:w="0" w:type="auto"/>
            <w:tcMar>
              <w:top w:w="150" w:type="dxa"/>
              <w:left w:w="0" w:type="dxa"/>
              <w:bottom w:w="150" w:type="dxa"/>
              <w:right w:w="150" w:type="dxa"/>
            </w:tcMar>
            <w:vAlign w:val="center"/>
            <w:hideMark/>
          </w:tcPr>
          <w:p w14:paraId="6745E0F4" w14:textId="77777777" w:rsidR="00A717AD" w:rsidRPr="00A717AD" w:rsidRDefault="00A717AD" w:rsidP="00A717AD">
            <w:pPr>
              <w:jc w:val="center"/>
              <w:rPr>
                <w:rFonts w:asciiTheme="majorBidi" w:hAnsiTheme="majorBidi" w:cstheme="majorBidi"/>
                <w:color w:val="000000" w:themeColor="text1"/>
                <w:sz w:val="23"/>
                <w:szCs w:val="23"/>
              </w:rPr>
            </w:pPr>
            <w:r w:rsidRPr="00A717AD">
              <w:rPr>
                <w:rFonts w:asciiTheme="majorBidi" w:hAnsiTheme="majorBidi" w:cstheme="majorBidi"/>
                <w:b/>
                <w:bCs/>
                <w:color w:val="000000" w:themeColor="text1"/>
                <w:sz w:val="23"/>
                <w:szCs w:val="23"/>
              </w:rPr>
              <w:t>R</w:t>
            </w:r>
          </w:p>
        </w:tc>
        <w:tc>
          <w:tcPr>
            <w:tcW w:w="0" w:type="auto"/>
            <w:tcMar>
              <w:top w:w="150" w:type="dxa"/>
              <w:left w:w="150" w:type="dxa"/>
              <w:bottom w:w="150" w:type="dxa"/>
              <w:right w:w="150" w:type="dxa"/>
            </w:tcMar>
            <w:vAlign w:val="center"/>
            <w:hideMark/>
          </w:tcPr>
          <w:p w14:paraId="7ED3CD40" w14:textId="77777777" w:rsidR="00A717AD" w:rsidRPr="00A717AD" w:rsidRDefault="00A717AD" w:rsidP="00A717AD">
            <w:pPr>
              <w:jc w:val="center"/>
              <w:rPr>
                <w:rFonts w:asciiTheme="majorBidi" w:hAnsiTheme="majorBidi" w:cstheme="majorBidi"/>
                <w:color w:val="000000" w:themeColor="text1"/>
                <w:sz w:val="23"/>
                <w:szCs w:val="23"/>
              </w:rPr>
            </w:pPr>
            <w:r w:rsidRPr="00A717AD">
              <w:rPr>
                <w:rFonts w:asciiTheme="majorBidi" w:hAnsiTheme="majorBidi" w:cstheme="majorBidi"/>
                <w:color w:val="000000" w:themeColor="text1"/>
                <w:sz w:val="23"/>
                <w:szCs w:val="23"/>
              </w:rPr>
              <w:t>Data Science</w:t>
            </w:r>
          </w:p>
        </w:tc>
        <w:tc>
          <w:tcPr>
            <w:tcW w:w="0" w:type="auto"/>
            <w:tcMar>
              <w:top w:w="150" w:type="dxa"/>
              <w:left w:w="150" w:type="dxa"/>
              <w:bottom w:w="150" w:type="dxa"/>
              <w:right w:w="150" w:type="dxa"/>
            </w:tcMar>
            <w:vAlign w:val="center"/>
            <w:hideMark/>
          </w:tcPr>
          <w:p w14:paraId="1E75FD93" w14:textId="77777777" w:rsidR="00A717AD" w:rsidRPr="00A717AD" w:rsidRDefault="00A717AD" w:rsidP="00A717AD">
            <w:pPr>
              <w:jc w:val="center"/>
              <w:rPr>
                <w:rFonts w:asciiTheme="majorBidi" w:hAnsiTheme="majorBidi" w:cstheme="majorBidi"/>
                <w:color w:val="000000" w:themeColor="text1"/>
                <w:sz w:val="23"/>
                <w:szCs w:val="23"/>
              </w:rPr>
            </w:pPr>
            <w:r w:rsidRPr="00A717AD">
              <w:rPr>
                <w:rFonts w:asciiTheme="majorBidi" w:hAnsiTheme="majorBidi" w:cstheme="majorBidi"/>
                <w:color w:val="000000" w:themeColor="text1"/>
                <w:sz w:val="23"/>
                <w:szCs w:val="23"/>
              </w:rPr>
              <w:t>Statistical analysis, geostatistics, advanced modeling</w:t>
            </w:r>
          </w:p>
        </w:tc>
      </w:tr>
      <w:tr w:rsidR="00A717AD" w:rsidRPr="00A717AD" w14:paraId="298D5B58" w14:textId="77777777" w:rsidTr="00A717AD">
        <w:trPr>
          <w:jc w:val="center"/>
        </w:trPr>
        <w:tc>
          <w:tcPr>
            <w:tcW w:w="0" w:type="auto"/>
            <w:tcMar>
              <w:top w:w="150" w:type="dxa"/>
              <w:left w:w="0" w:type="dxa"/>
              <w:bottom w:w="150" w:type="dxa"/>
              <w:right w:w="150" w:type="dxa"/>
            </w:tcMar>
            <w:vAlign w:val="center"/>
            <w:hideMark/>
          </w:tcPr>
          <w:p w14:paraId="67EBBF60" w14:textId="77777777" w:rsidR="00A717AD" w:rsidRPr="00A717AD" w:rsidRDefault="00A717AD" w:rsidP="00A717AD">
            <w:pPr>
              <w:jc w:val="center"/>
              <w:rPr>
                <w:rFonts w:asciiTheme="majorBidi" w:hAnsiTheme="majorBidi" w:cstheme="majorBidi"/>
                <w:color w:val="000000" w:themeColor="text1"/>
                <w:sz w:val="23"/>
                <w:szCs w:val="23"/>
              </w:rPr>
            </w:pPr>
            <w:r w:rsidRPr="00A717AD">
              <w:rPr>
                <w:rFonts w:asciiTheme="majorBidi" w:hAnsiTheme="majorBidi" w:cstheme="majorBidi"/>
                <w:b/>
                <w:bCs/>
                <w:color w:val="000000" w:themeColor="text1"/>
                <w:sz w:val="23"/>
                <w:szCs w:val="23"/>
              </w:rPr>
              <w:t>IEC 61131-3</w:t>
            </w:r>
          </w:p>
        </w:tc>
        <w:tc>
          <w:tcPr>
            <w:tcW w:w="0" w:type="auto"/>
            <w:tcMar>
              <w:top w:w="150" w:type="dxa"/>
              <w:left w:w="150" w:type="dxa"/>
              <w:bottom w:w="150" w:type="dxa"/>
              <w:right w:w="150" w:type="dxa"/>
            </w:tcMar>
            <w:vAlign w:val="center"/>
            <w:hideMark/>
          </w:tcPr>
          <w:p w14:paraId="5A19A4A8" w14:textId="77777777" w:rsidR="00A717AD" w:rsidRPr="00A717AD" w:rsidRDefault="00A717AD" w:rsidP="00A717AD">
            <w:pPr>
              <w:jc w:val="center"/>
              <w:rPr>
                <w:rFonts w:asciiTheme="majorBidi" w:hAnsiTheme="majorBidi" w:cstheme="majorBidi"/>
                <w:color w:val="000000" w:themeColor="text1"/>
                <w:sz w:val="23"/>
                <w:szCs w:val="23"/>
              </w:rPr>
            </w:pPr>
            <w:r w:rsidRPr="00A717AD">
              <w:rPr>
                <w:rFonts w:asciiTheme="majorBidi" w:hAnsiTheme="majorBidi" w:cstheme="majorBidi"/>
                <w:b/>
                <w:bCs/>
                <w:color w:val="000000" w:themeColor="text1"/>
                <w:sz w:val="23"/>
                <w:szCs w:val="23"/>
              </w:rPr>
              <w:t>OT (Core Control)</w:t>
            </w:r>
          </w:p>
        </w:tc>
        <w:tc>
          <w:tcPr>
            <w:tcW w:w="0" w:type="auto"/>
            <w:tcMar>
              <w:top w:w="150" w:type="dxa"/>
              <w:left w:w="150" w:type="dxa"/>
              <w:bottom w:w="150" w:type="dxa"/>
              <w:right w:w="150" w:type="dxa"/>
            </w:tcMar>
            <w:vAlign w:val="center"/>
            <w:hideMark/>
          </w:tcPr>
          <w:p w14:paraId="24CEB89E" w14:textId="77777777" w:rsidR="00A717AD" w:rsidRPr="00A717AD" w:rsidRDefault="00A717AD" w:rsidP="00A717AD">
            <w:pPr>
              <w:jc w:val="center"/>
              <w:rPr>
                <w:rFonts w:asciiTheme="majorBidi" w:hAnsiTheme="majorBidi" w:cstheme="majorBidi"/>
                <w:color w:val="000000" w:themeColor="text1"/>
                <w:sz w:val="23"/>
                <w:szCs w:val="23"/>
              </w:rPr>
            </w:pPr>
            <w:r w:rsidRPr="00A717AD">
              <w:rPr>
                <w:rFonts w:asciiTheme="majorBidi" w:hAnsiTheme="majorBidi" w:cstheme="majorBidi"/>
                <w:color w:val="000000" w:themeColor="text1"/>
                <w:sz w:val="23"/>
                <w:szCs w:val="23"/>
              </w:rPr>
              <w:t>Programming PLCs &amp; DCSs for refinery/plant/pipeline control</w:t>
            </w:r>
          </w:p>
        </w:tc>
      </w:tr>
    </w:tbl>
    <w:p w14:paraId="77A34192" w14:textId="797F22E4" w:rsidR="005121C6" w:rsidRPr="005121C6" w:rsidRDefault="005121C6" w:rsidP="005121C6">
      <w:pPr>
        <w:spacing w:before="100" w:beforeAutospacing="1" w:after="100" w:afterAutospacing="1"/>
        <w:outlineLvl w:val="2"/>
        <w:rPr>
          <w:rFonts w:asciiTheme="majorBidi" w:hAnsiTheme="majorBidi" w:cstheme="majorBidi"/>
          <w:b/>
          <w:bCs/>
          <w:color w:val="000000" w:themeColor="text1"/>
          <w:sz w:val="27"/>
          <w:szCs w:val="27"/>
        </w:rPr>
      </w:pPr>
      <w:r w:rsidRPr="005121C6">
        <w:rPr>
          <w:rFonts w:asciiTheme="majorBidi" w:hAnsiTheme="majorBidi" w:cstheme="majorBidi"/>
          <w:b/>
          <w:bCs/>
          <w:color w:val="000000" w:themeColor="text1"/>
          <w:sz w:val="27"/>
          <w:szCs w:val="27"/>
        </w:rPr>
        <w:t>References</w:t>
      </w:r>
    </w:p>
    <w:p w14:paraId="4D178728" w14:textId="77777777" w:rsidR="005121C6" w:rsidRPr="005121C6" w:rsidRDefault="005121C6" w:rsidP="005121C6">
      <w:pPr>
        <w:numPr>
          <w:ilvl w:val="0"/>
          <w:numId w:val="7"/>
        </w:numPr>
        <w:rPr>
          <w:rFonts w:asciiTheme="majorBidi" w:hAnsiTheme="majorBidi" w:cstheme="majorBidi"/>
          <w:color w:val="000000" w:themeColor="text1"/>
        </w:rPr>
      </w:pPr>
      <w:r w:rsidRPr="005121C6">
        <w:rPr>
          <w:rFonts w:asciiTheme="majorBidi" w:hAnsiTheme="majorBidi" w:cstheme="majorBidi"/>
          <w:color w:val="000000" w:themeColor="text1"/>
        </w:rPr>
        <w:t>Chen, Z., Huan, G., &amp; Ma, Y. (2006). </w:t>
      </w:r>
      <w:r w:rsidRPr="005121C6">
        <w:rPr>
          <w:rFonts w:asciiTheme="majorBidi" w:hAnsiTheme="majorBidi" w:cstheme="majorBidi"/>
          <w:i/>
          <w:iCs/>
          <w:color w:val="000000" w:themeColor="text1"/>
        </w:rPr>
        <w:t>Computational methods for multiphase flows in porous media.</w:t>
      </w:r>
      <w:r w:rsidRPr="005121C6">
        <w:rPr>
          <w:rFonts w:asciiTheme="majorBidi" w:hAnsiTheme="majorBidi" w:cstheme="majorBidi"/>
          <w:color w:val="000000" w:themeColor="text1"/>
        </w:rPr>
        <w:t>Society for Industrial and Applied Mathematics.</w:t>
      </w:r>
    </w:p>
    <w:p w14:paraId="1AA8F2CF" w14:textId="77777777" w:rsidR="005121C6" w:rsidRPr="005121C6" w:rsidRDefault="005121C6" w:rsidP="005121C6">
      <w:pPr>
        <w:numPr>
          <w:ilvl w:val="0"/>
          <w:numId w:val="7"/>
        </w:numPr>
        <w:rPr>
          <w:rFonts w:asciiTheme="majorBidi" w:hAnsiTheme="majorBidi" w:cstheme="majorBidi"/>
          <w:color w:val="000000" w:themeColor="text1"/>
        </w:rPr>
      </w:pPr>
      <w:r w:rsidRPr="005121C6">
        <w:rPr>
          <w:rFonts w:asciiTheme="majorBidi" w:hAnsiTheme="majorBidi" w:cstheme="majorBidi"/>
          <w:color w:val="000000" w:themeColor="text1"/>
        </w:rPr>
        <w:t>Cullick, A. S., &amp; Johnson, J. (2018). Digital transformation and the challenge of legacy technical workflows in upstream oil and gas. In </w:t>
      </w:r>
      <w:r w:rsidRPr="005121C6">
        <w:rPr>
          <w:rFonts w:asciiTheme="majorBidi" w:hAnsiTheme="majorBidi" w:cstheme="majorBidi"/>
          <w:i/>
          <w:iCs/>
          <w:color w:val="000000" w:themeColor="text1"/>
        </w:rPr>
        <w:t>SPE Annual Technical Conference and Exhibition</w:t>
      </w:r>
      <w:r w:rsidRPr="005121C6">
        <w:rPr>
          <w:rFonts w:asciiTheme="majorBidi" w:hAnsiTheme="majorBidi" w:cstheme="majorBidi"/>
          <w:color w:val="000000" w:themeColor="text1"/>
        </w:rPr>
        <w:t>. Society of Petroleum Engineers. SPE-191537-MS. </w:t>
      </w:r>
      <w:hyperlink r:id="rId8" w:tgtFrame="_blank" w:history="1">
        <w:r w:rsidRPr="005121C6">
          <w:rPr>
            <w:rFonts w:asciiTheme="majorBidi" w:hAnsiTheme="majorBidi" w:cstheme="majorBidi"/>
            <w:color w:val="000000" w:themeColor="text1"/>
            <w:u w:val="single"/>
          </w:rPr>
          <w:t>https://doi.org/10.2118/191537-MS</w:t>
        </w:r>
      </w:hyperlink>
    </w:p>
    <w:p w14:paraId="5E77AA8A" w14:textId="77777777" w:rsidR="005121C6" w:rsidRPr="005121C6" w:rsidRDefault="005121C6" w:rsidP="005121C6">
      <w:pPr>
        <w:numPr>
          <w:ilvl w:val="0"/>
          <w:numId w:val="7"/>
        </w:numPr>
        <w:rPr>
          <w:rFonts w:asciiTheme="majorBidi" w:hAnsiTheme="majorBidi" w:cstheme="majorBidi"/>
          <w:color w:val="000000" w:themeColor="text1"/>
        </w:rPr>
      </w:pPr>
      <w:r w:rsidRPr="005121C6">
        <w:rPr>
          <w:rFonts w:asciiTheme="majorBidi" w:hAnsiTheme="majorBidi" w:cstheme="majorBidi"/>
          <w:color w:val="000000" w:themeColor="text1"/>
        </w:rPr>
        <w:t>Ershaghi, I. (2019). The digital transformation of the oil and gas industry. </w:t>
      </w:r>
      <w:r w:rsidRPr="005121C6">
        <w:rPr>
          <w:rFonts w:asciiTheme="majorBidi" w:hAnsiTheme="majorBidi" w:cstheme="majorBidi"/>
          <w:i/>
          <w:iCs/>
          <w:color w:val="000000" w:themeColor="text1"/>
        </w:rPr>
        <w:t>The Journal of Petroleum Technology, 71</w:t>
      </w:r>
      <w:r w:rsidRPr="005121C6">
        <w:rPr>
          <w:rFonts w:asciiTheme="majorBidi" w:hAnsiTheme="majorBidi" w:cstheme="majorBidi"/>
          <w:color w:val="000000" w:themeColor="text1"/>
        </w:rPr>
        <w:t>(11), 38–41. </w:t>
      </w:r>
      <w:hyperlink r:id="rId9" w:tgtFrame="_blank" w:history="1">
        <w:r w:rsidRPr="005121C6">
          <w:rPr>
            <w:rFonts w:asciiTheme="majorBidi" w:hAnsiTheme="majorBidi" w:cstheme="majorBidi"/>
            <w:color w:val="000000" w:themeColor="text1"/>
            <w:u w:val="single"/>
          </w:rPr>
          <w:t>https://doi.org/10.2118/1119-0038-JPT</w:t>
        </w:r>
      </w:hyperlink>
    </w:p>
    <w:p w14:paraId="2FD66AF1" w14:textId="77777777" w:rsidR="005121C6" w:rsidRPr="005121C6" w:rsidRDefault="005121C6" w:rsidP="005121C6">
      <w:pPr>
        <w:numPr>
          <w:ilvl w:val="0"/>
          <w:numId w:val="7"/>
        </w:numPr>
        <w:rPr>
          <w:rFonts w:asciiTheme="majorBidi" w:hAnsiTheme="majorBidi" w:cstheme="majorBidi"/>
          <w:color w:val="000000" w:themeColor="text1"/>
        </w:rPr>
      </w:pPr>
      <w:r w:rsidRPr="005121C6">
        <w:rPr>
          <w:rFonts w:asciiTheme="majorBidi" w:hAnsiTheme="majorBidi" w:cstheme="majorBidi"/>
          <w:color w:val="000000" w:themeColor="text1"/>
        </w:rPr>
        <w:t>International Electrotechnical Commission. (2013). *IEC 61131-3:2013 Programmable controllers - Part 3: Programming languages* (3rd ed.).</w:t>
      </w:r>
    </w:p>
    <w:p w14:paraId="4FD16E3A" w14:textId="77777777" w:rsidR="005121C6" w:rsidRPr="005121C6" w:rsidRDefault="005121C6" w:rsidP="005121C6">
      <w:pPr>
        <w:numPr>
          <w:ilvl w:val="0"/>
          <w:numId w:val="7"/>
        </w:numPr>
        <w:rPr>
          <w:rFonts w:asciiTheme="majorBidi" w:hAnsiTheme="majorBidi" w:cstheme="majorBidi"/>
          <w:color w:val="000000" w:themeColor="text1"/>
        </w:rPr>
      </w:pPr>
      <w:r w:rsidRPr="005121C6">
        <w:rPr>
          <w:rFonts w:asciiTheme="majorBidi" w:hAnsiTheme="majorBidi" w:cstheme="majorBidi"/>
          <w:color w:val="000000" w:themeColor="text1"/>
        </w:rPr>
        <w:t>Mohaghegh, S. D. (2017). </w:t>
      </w:r>
      <w:r w:rsidRPr="005121C6">
        <w:rPr>
          <w:rFonts w:asciiTheme="majorBidi" w:hAnsiTheme="majorBidi" w:cstheme="majorBidi"/>
          <w:i/>
          <w:iCs/>
          <w:color w:val="000000" w:themeColor="text1"/>
        </w:rPr>
        <w:t>Data analytics in the oil and gas industry: A comprehensive guide to using data.</w:t>
      </w:r>
      <w:r w:rsidRPr="005121C6">
        <w:rPr>
          <w:rFonts w:asciiTheme="majorBidi" w:hAnsiTheme="majorBidi" w:cstheme="majorBidi"/>
          <w:color w:val="000000" w:themeColor="text1"/>
        </w:rPr>
        <w:t> PennWell Books.</w:t>
      </w:r>
    </w:p>
    <w:p w14:paraId="307E7645" w14:textId="77777777" w:rsidR="005121C6" w:rsidRPr="005121C6" w:rsidRDefault="005121C6" w:rsidP="005121C6">
      <w:pPr>
        <w:numPr>
          <w:ilvl w:val="0"/>
          <w:numId w:val="7"/>
        </w:numPr>
        <w:rPr>
          <w:rFonts w:asciiTheme="majorBidi" w:hAnsiTheme="majorBidi" w:cstheme="majorBidi"/>
          <w:color w:val="000000" w:themeColor="text1"/>
        </w:rPr>
      </w:pPr>
      <w:r w:rsidRPr="005121C6">
        <w:rPr>
          <w:rFonts w:asciiTheme="majorBidi" w:hAnsiTheme="majorBidi" w:cstheme="majorBidi"/>
          <w:color w:val="000000" w:themeColor="text1"/>
        </w:rPr>
        <w:t>Pan, F., &amp; Chen, J. (2021). Data-driven modeling and optimization for petroleum engineering applications: A review. </w:t>
      </w:r>
      <w:r w:rsidRPr="005121C6">
        <w:rPr>
          <w:rFonts w:asciiTheme="majorBidi" w:hAnsiTheme="majorBidi" w:cstheme="majorBidi"/>
          <w:i/>
          <w:iCs/>
          <w:color w:val="000000" w:themeColor="text1"/>
        </w:rPr>
        <w:t>Energy Reports, 7</w:t>
      </w:r>
      <w:r w:rsidRPr="005121C6">
        <w:rPr>
          <w:rFonts w:asciiTheme="majorBidi" w:hAnsiTheme="majorBidi" w:cstheme="majorBidi"/>
          <w:color w:val="000000" w:themeColor="text1"/>
        </w:rPr>
        <w:t>, 1580–1595. </w:t>
      </w:r>
      <w:hyperlink r:id="rId10" w:tgtFrame="_blank" w:history="1">
        <w:r w:rsidRPr="005121C6">
          <w:rPr>
            <w:rFonts w:asciiTheme="majorBidi" w:hAnsiTheme="majorBidi" w:cstheme="majorBidi"/>
            <w:color w:val="000000" w:themeColor="text1"/>
            <w:u w:val="single"/>
          </w:rPr>
          <w:t>https://doi.org/10.1016/j.egyr.2021.03.021</w:t>
        </w:r>
      </w:hyperlink>
    </w:p>
    <w:p w14:paraId="2DE23C77" w14:textId="77777777" w:rsidR="005121C6" w:rsidRPr="00A717AD" w:rsidRDefault="005121C6">
      <w:pPr>
        <w:pBdr>
          <w:bottom w:val="single" w:sz="6" w:space="1" w:color="auto"/>
        </w:pBdr>
        <w:rPr>
          <w:rFonts w:asciiTheme="majorBidi" w:hAnsiTheme="majorBidi" w:cstheme="majorBidi"/>
          <w:color w:val="000000" w:themeColor="text1"/>
        </w:rPr>
      </w:pPr>
    </w:p>
    <w:p w14:paraId="07341E7D" w14:textId="77777777" w:rsidR="00A717AD" w:rsidRPr="00A717AD" w:rsidRDefault="00A717AD">
      <w:pPr>
        <w:rPr>
          <w:rFonts w:asciiTheme="majorBidi" w:hAnsiTheme="majorBidi" w:cstheme="majorBidi"/>
          <w:color w:val="000000" w:themeColor="text1"/>
        </w:rPr>
      </w:pPr>
    </w:p>
    <w:p w14:paraId="61160246" w14:textId="77777777" w:rsidR="00791F6E" w:rsidRDefault="00791F6E" w:rsidP="00A717AD">
      <w:pPr>
        <w:spacing w:after="100" w:afterAutospacing="1"/>
        <w:rPr>
          <w:rFonts w:ascii="Segoe UI" w:hAnsi="Segoe UI" w:cs="Segoe UI"/>
          <w:color w:val="000000" w:themeColor="text1"/>
        </w:rPr>
      </w:pPr>
    </w:p>
    <w:p w14:paraId="18810E9C" w14:textId="3305EACC" w:rsidR="00791F6E" w:rsidRDefault="00791F6E" w:rsidP="00A717AD">
      <w:pPr>
        <w:spacing w:after="100" w:afterAutospacing="1"/>
        <w:rPr>
          <w:rFonts w:ascii="Segoe UI" w:hAnsi="Segoe UI" w:cs="Segoe UI"/>
          <w:color w:val="000000" w:themeColor="text1"/>
        </w:rPr>
      </w:pPr>
      <w:r w:rsidRPr="00A717AD">
        <w:rPr>
          <w:rFonts w:ascii="Segoe UI" w:hAnsi="Segoe UI" w:cs="Segoe UI"/>
          <w:b/>
          <w:bCs/>
          <w:color w:val="000000" w:themeColor="text1"/>
        </w:rPr>
        <w:lastRenderedPageBreak/>
        <w:t>Industrial Internet of Things (IIoT)</w:t>
      </w:r>
      <w:r>
        <w:rPr>
          <w:rFonts w:ascii="Segoe UI" w:hAnsi="Segoe UI" w:cs="Segoe UI"/>
          <w:b/>
          <w:bCs/>
          <w:color w:val="000000" w:themeColor="text1"/>
        </w:rPr>
        <w:t xml:space="preserve"> and Data Pipline</w:t>
      </w:r>
    </w:p>
    <w:p w14:paraId="42ABC89E" w14:textId="67573B0B" w:rsidR="00A717AD" w:rsidRPr="00A717AD" w:rsidRDefault="00A717AD" w:rsidP="00A717AD">
      <w:pPr>
        <w:spacing w:after="100" w:afterAutospacing="1"/>
        <w:rPr>
          <w:rFonts w:ascii="Segoe UI" w:hAnsi="Segoe UI" w:cs="Segoe UI"/>
          <w:color w:val="000000" w:themeColor="text1"/>
        </w:rPr>
      </w:pPr>
      <w:r w:rsidRPr="00A717AD">
        <w:rPr>
          <w:rFonts w:ascii="Segoe UI" w:hAnsi="Segoe UI" w:cs="Segoe UI"/>
          <w:color w:val="000000" w:themeColor="text1"/>
        </w:rPr>
        <w:t>a very specific and critical part of the industry's data pipeline: the </w:t>
      </w:r>
      <w:r w:rsidRPr="00A717AD">
        <w:rPr>
          <w:rFonts w:ascii="Segoe UI" w:hAnsi="Segoe UI" w:cs="Segoe UI"/>
          <w:b/>
          <w:bCs/>
          <w:color w:val="000000" w:themeColor="text1"/>
        </w:rPr>
        <w:t>Industrial Internet of Things (IIoT)</w:t>
      </w:r>
      <w:r w:rsidRPr="00A717AD">
        <w:rPr>
          <w:rFonts w:ascii="Segoe UI" w:hAnsi="Segoe UI" w:cs="Segoe UI"/>
          <w:color w:val="000000" w:themeColor="text1"/>
        </w:rPr>
        <w:t> and data infrastructure. The "languages" here are less about traditional programming and more about </w:t>
      </w:r>
      <w:r w:rsidRPr="00A717AD">
        <w:rPr>
          <w:rFonts w:ascii="Segoe UI" w:hAnsi="Segoe UI" w:cs="Segoe UI"/>
          <w:b/>
          <w:bCs/>
          <w:color w:val="000000" w:themeColor="text1"/>
        </w:rPr>
        <w:t>communication protocols, data serialization formats, and API interfaces</w:t>
      </w:r>
      <w:r w:rsidRPr="00A717AD">
        <w:rPr>
          <w:rFonts w:ascii="Segoe UI" w:hAnsi="Segoe UI" w:cs="Segoe UI"/>
          <w:color w:val="000000" w:themeColor="text1"/>
        </w:rPr>
        <w:t> that allow sensors, systems, and applications to talk to each other.</w:t>
      </w:r>
    </w:p>
    <w:p w14:paraId="533C3DC6" w14:textId="77777777" w:rsidR="00A717AD" w:rsidRPr="00A717AD" w:rsidRDefault="00A717AD" w:rsidP="00A717AD">
      <w:pPr>
        <w:spacing w:before="100" w:beforeAutospacing="1" w:after="100" w:afterAutospacing="1"/>
        <w:rPr>
          <w:rFonts w:ascii="Segoe UI" w:hAnsi="Segoe UI" w:cs="Segoe UI"/>
          <w:color w:val="000000" w:themeColor="text1"/>
        </w:rPr>
      </w:pPr>
      <w:r w:rsidRPr="00A717AD">
        <w:rPr>
          <w:rFonts w:ascii="Segoe UI" w:hAnsi="Segoe UI" w:cs="Segoe UI"/>
          <w:color w:val="000000" w:themeColor="text1"/>
        </w:rPr>
        <w:t>Here is a breakdown of the "languages" and technologies at each stage of the pipeline you described, resourced and cited in APA format.</w:t>
      </w:r>
    </w:p>
    <w:p w14:paraId="491AAFBE" w14:textId="77777777" w:rsidR="00A717AD" w:rsidRPr="00A717AD" w:rsidRDefault="00A717AD" w:rsidP="00A717AD">
      <w:pPr>
        <w:spacing w:before="100" w:beforeAutospacing="1" w:after="100" w:afterAutospacing="1"/>
        <w:outlineLvl w:val="2"/>
        <w:rPr>
          <w:rFonts w:ascii="Segoe UI" w:hAnsi="Segoe UI" w:cs="Segoe UI"/>
          <w:b/>
          <w:bCs/>
          <w:color w:val="000000" w:themeColor="text1"/>
          <w:sz w:val="27"/>
          <w:szCs w:val="27"/>
        </w:rPr>
      </w:pPr>
      <w:r w:rsidRPr="00A717AD">
        <w:rPr>
          <w:rFonts w:ascii="Segoe UI" w:hAnsi="Segoe UI" w:cs="Segoe UI"/>
          <w:b/>
          <w:bCs/>
          <w:color w:val="000000" w:themeColor="text1"/>
          <w:sz w:val="27"/>
          <w:szCs w:val="27"/>
        </w:rPr>
        <w:t>The Data Pipeline: From Sensor to Dashboard</w:t>
      </w:r>
    </w:p>
    <w:p w14:paraId="1FD4EB8F" w14:textId="77777777" w:rsidR="00A717AD" w:rsidRPr="00A717AD" w:rsidRDefault="00A717AD" w:rsidP="00A717AD">
      <w:pPr>
        <w:spacing w:before="100" w:beforeAutospacing="1" w:after="100" w:afterAutospacing="1"/>
        <w:rPr>
          <w:rFonts w:ascii="Segoe UI" w:hAnsi="Segoe UI" w:cs="Segoe UI"/>
          <w:color w:val="000000" w:themeColor="text1"/>
        </w:rPr>
      </w:pPr>
      <w:r w:rsidRPr="00A717AD">
        <w:rPr>
          <w:rFonts w:ascii="Segoe UI" w:hAnsi="Segoe UI" w:cs="Segoe UI"/>
          <w:color w:val="000000" w:themeColor="text1"/>
        </w:rPr>
        <w:t>Your description accurately outlines the modern data flow:</w:t>
      </w:r>
    </w:p>
    <w:p w14:paraId="465D9721" w14:textId="77777777" w:rsidR="00A717AD" w:rsidRPr="00A717AD" w:rsidRDefault="00A717AD" w:rsidP="00A717AD">
      <w:pPr>
        <w:numPr>
          <w:ilvl w:val="0"/>
          <w:numId w:val="8"/>
        </w:numPr>
        <w:rPr>
          <w:rFonts w:ascii="Segoe UI" w:hAnsi="Segoe UI" w:cs="Segoe UI"/>
          <w:color w:val="000000" w:themeColor="text1"/>
        </w:rPr>
      </w:pPr>
      <w:r w:rsidRPr="00A717AD">
        <w:rPr>
          <w:rFonts w:ascii="Segoe UI" w:hAnsi="Segoe UI" w:cs="Segoe UI"/>
          <w:b/>
          <w:bCs/>
          <w:color w:val="000000" w:themeColor="text1"/>
        </w:rPr>
        <w:t>Sensors &amp; Instruments:</w:t>
      </w:r>
      <w:r w:rsidRPr="00A717AD">
        <w:rPr>
          <w:rFonts w:ascii="Segoe UI" w:hAnsi="Segoe UI" w:cs="Segoe UI"/>
          <w:color w:val="000000" w:themeColor="text1"/>
        </w:rPr>
        <w:t> Generate raw data (e.g., pressure, temperature).</w:t>
      </w:r>
    </w:p>
    <w:p w14:paraId="0F7BA016" w14:textId="77777777" w:rsidR="00A717AD" w:rsidRPr="00A717AD" w:rsidRDefault="00A717AD" w:rsidP="00A717AD">
      <w:pPr>
        <w:numPr>
          <w:ilvl w:val="0"/>
          <w:numId w:val="8"/>
        </w:numPr>
        <w:rPr>
          <w:rFonts w:ascii="Segoe UI" w:hAnsi="Segoe UI" w:cs="Segoe UI"/>
          <w:color w:val="000000" w:themeColor="text1"/>
        </w:rPr>
      </w:pPr>
      <w:r w:rsidRPr="00A717AD">
        <w:rPr>
          <w:rFonts w:ascii="Segoe UI" w:hAnsi="Segoe UI" w:cs="Segoe UI"/>
          <w:b/>
          <w:bCs/>
          <w:color w:val="000000" w:themeColor="text1"/>
        </w:rPr>
        <w:t>Edge Devices/PLCs:</w:t>
      </w:r>
      <w:r w:rsidRPr="00A717AD">
        <w:rPr>
          <w:rFonts w:ascii="Segoe UI" w:hAnsi="Segoe UI" w:cs="Segoe UI"/>
          <w:color w:val="000000" w:themeColor="text1"/>
        </w:rPr>
        <w:t> Collect and sometimes pre-process this data.</w:t>
      </w:r>
    </w:p>
    <w:p w14:paraId="14B93054" w14:textId="77777777" w:rsidR="00A717AD" w:rsidRPr="00A717AD" w:rsidRDefault="00A717AD" w:rsidP="00A717AD">
      <w:pPr>
        <w:numPr>
          <w:ilvl w:val="0"/>
          <w:numId w:val="8"/>
        </w:numPr>
        <w:rPr>
          <w:rFonts w:ascii="Segoe UI" w:hAnsi="Segoe UI" w:cs="Segoe UI"/>
          <w:color w:val="000000" w:themeColor="text1"/>
        </w:rPr>
      </w:pPr>
      <w:r w:rsidRPr="00A717AD">
        <w:rPr>
          <w:rFonts w:ascii="Segoe UI" w:hAnsi="Segoe UI" w:cs="Segoe UI"/>
          <w:b/>
          <w:bCs/>
          <w:color w:val="000000" w:themeColor="text1"/>
        </w:rPr>
        <w:t>Protocol Gateway:</w:t>
      </w:r>
      <w:r w:rsidRPr="00A717AD">
        <w:rPr>
          <w:rFonts w:ascii="Segoe UI" w:hAnsi="Segoe UI" w:cs="Segoe UI"/>
          <w:color w:val="000000" w:themeColor="text1"/>
        </w:rPr>
        <w:t> Translates proprietary industrial protocols into a network-friendly format.</w:t>
      </w:r>
    </w:p>
    <w:p w14:paraId="1F7FD32B" w14:textId="77777777" w:rsidR="00A717AD" w:rsidRPr="00A717AD" w:rsidRDefault="00A717AD" w:rsidP="00A717AD">
      <w:pPr>
        <w:numPr>
          <w:ilvl w:val="0"/>
          <w:numId w:val="8"/>
        </w:numPr>
        <w:rPr>
          <w:rFonts w:ascii="Segoe UI" w:hAnsi="Segoe UI" w:cs="Segoe UI"/>
          <w:color w:val="000000" w:themeColor="text1"/>
        </w:rPr>
      </w:pPr>
      <w:r w:rsidRPr="00A717AD">
        <w:rPr>
          <w:rFonts w:ascii="Segoe UI" w:hAnsi="Segoe UI" w:cs="Segoe UI"/>
          <w:b/>
          <w:bCs/>
          <w:color w:val="000000" w:themeColor="text1"/>
        </w:rPr>
        <w:t>Data Ingestion Platform (e.g., NiFi):</w:t>
      </w:r>
      <w:r w:rsidRPr="00A717AD">
        <w:rPr>
          <w:rFonts w:ascii="Segoe UI" w:hAnsi="Segoe UI" w:cs="Segoe UI"/>
          <w:color w:val="000000" w:themeColor="text1"/>
        </w:rPr>
        <w:t> Streams the data into a data lake or platform.</w:t>
      </w:r>
    </w:p>
    <w:p w14:paraId="05D4EB7F" w14:textId="77777777" w:rsidR="00A717AD" w:rsidRPr="00A717AD" w:rsidRDefault="00A717AD" w:rsidP="00A717AD">
      <w:pPr>
        <w:numPr>
          <w:ilvl w:val="0"/>
          <w:numId w:val="8"/>
        </w:numPr>
        <w:rPr>
          <w:rFonts w:ascii="Segoe UI" w:hAnsi="Segoe UI" w:cs="Segoe UI"/>
          <w:color w:val="000000" w:themeColor="text1"/>
        </w:rPr>
      </w:pPr>
      <w:r w:rsidRPr="00A717AD">
        <w:rPr>
          <w:rFonts w:ascii="Segoe UI" w:hAnsi="Segoe UI" w:cs="Segoe UI"/>
          <w:b/>
          <w:bCs/>
          <w:color w:val="000000" w:themeColor="text1"/>
        </w:rPr>
        <w:t>Data Processing/Storage (e.g., Hive, Spark):</w:t>
      </w:r>
      <w:r w:rsidRPr="00A717AD">
        <w:rPr>
          <w:rFonts w:ascii="Segoe UI" w:hAnsi="Segoe UI" w:cs="Segoe UI"/>
          <w:color w:val="000000" w:themeColor="text1"/>
        </w:rPr>
        <w:t> Where large-scale processing and structuring happens.</w:t>
      </w:r>
    </w:p>
    <w:p w14:paraId="545B1691" w14:textId="77777777" w:rsidR="00A717AD" w:rsidRPr="00A717AD" w:rsidRDefault="00A717AD" w:rsidP="00A717AD">
      <w:pPr>
        <w:numPr>
          <w:ilvl w:val="0"/>
          <w:numId w:val="8"/>
        </w:numPr>
        <w:rPr>
          <w:rFonts w:ascii="Segoe UI" w:hAnsi="Segoe UI" w:cs="Segoe UI"/>
          <w:color w:val="000000" w:themeColor="text1"/>
        </w:rPr>
      </w:pPr>
      <w:r w:rsidRPr="00A717AD">
        <w:rPr>
          <w:rFonts w:ascii="Segoe UI" w:hAnsi="Segoe UI" w:cs="Segoe UI"/>
          <w:b/>
          <w:bCs/>
          <w:color w:val="000000" w:themeColor="text1"/>
        </w:rPr>
        <w:t>Enterprise Systems (e.g., SAP):</w:t>
      </w:r>
      <w:r w:rsidRPr="00A717AD">
        <w:rPr>
          <w:rFonts w:ascii="Segoe UI" w:hAnsi="Segoe UI" w:cs="Segoe UI"/>
          <w:color w:val="000000" w:themeColor="text1"/>
        </w:rPr>
        <w:t> Receives processed data for business context.</w:t>
      </w:r>
    </w:p>
    <w:p w14:paraId="457D91B1" w14:textId="77777777" w:rsidR="00A717AD" w:rsidRPr="00A717AD" w:rsidRDefault="00A717AD" w:rsidP="00A717AD">
      <w:pPr>
        <w:numPr>
          <w:ilvl w:val="0"/>
          <w:numId w:val="8"/>
        </w:numPr>
        <w:rPr>
          <w:rFonts w:ascii="Segoe UI" w:hAnsi="Segoe UI" w:cs="Segoe UI"/>
          <w:color w:val="000000" w:themeColor="text1"/>
        </w:rPr>
      </w:pPr>
      <w:r w:rsidRPr="00A717AD">
        <w:rPr>
          <w:rFonts w:ascii="Segoe UI" w:hAnsi="Segoe UI" w:cs="Segoe UI"/>
          <w:b/>
          <w:bCs/>
          <w:color w:val="000000" w:themeColor="text1"/>
        </w:rPr>
        <w:t>Analytics &amp; Visualization (e.g., Power BI, OSIsoft PI):</w:t>
      </w:r>
      <w:r w:rsidRPr="00A717AD">
        <w:rPr>
          <w:rFonts w:ascii="Segoe UI" w:hAnsi="Segoe UI" w:cs="Segoe UI"/>
          <w:color w:val="000000" w:themeColor="text1"/>
        </w:rPr>
        <w:t> Where data is consumed by humans.</w:t>
      </w:r>
    </w:p>
    <w:p w14:paraId="7D4B050B" w14:textId="77777777" w:rsidR="00A717AD" w:rsidRPr="00A717AD" w:rsidRDefault="00423221" w:rsidP="00A717AD">
      <w:pPr>
        <w:spacing w:before="480" w:after="480"/>
        <w:rPr>
          <w:rFonts w:ascii="Segoe UI" w:hAnsi="Segoe UI" w:cs="Segoe UI"/>
          <w:color w:val="000000" w:themeColor="text1"/>
        </w:rPr>
      </w:pPr>
      <w:r w:rsidRPr="00423221">
        <w:rPr>
          <w:noProof/>
          <w:color w:val="000000" w:themeColor="text1"/>
          <w14:ligatures w14:val="standardContextual"/>
        </w:rPr>
        <w:pict w14:anchorId="1FC77A4E">
          <v:rect id="_x0000_i1025" alt="" style="width:468pt;height:.05pt;mso-width-percent:0;mso-height-percent:0;mso-width-percent:0;mso-height-percent:0" o:hralign="center" o:hrstd="t" o:hr="t" fillcolor="#a0a0a0" stroked="f"/>
        </w:pict>
      </w:r>
    </w:p>
    <w:p w14:paraId="420D7DB8" w14:textId="77777777" w:rsidR="00A717AD" w:rsidRPr="00A717AD" w:rsidRDefault="00A717AD" w:rsidP="00A717AD">
      <w:pPr>
        <w:spacing w:before="100" w:beforeAutospacing="1" w:after="100" w:afterAutospacing="1"/>
        <w:outlineLvl w:val="2"/>
        <w:rPr>
          <w:rFonts w:ascii="Segoe UI" w:hAnsi="Segoe UI" w:cs="Segoe UI"/>
          <w:b/>
          <w:bCs/>
          <w:color w:val="000000" w:themeColor="text1"/>
          <w:sz w:val="27"/>
          <w:szCs w:val="27"/>
        </w:rPr>
      </w:pPr>
      <w:r w:rsidRPr="00A717AD">
        <w:rPr>
          <w:rFonts w:ascii="Segoe UI" w:hAnsi="Segoe UI" w:cs="Segoe UI"/>
          <w:b/>
          <w:bCs/>
          <w:color w:val="000000" w:themeColor="text1"/>
          <w:sz w:val="27"/>
          <w:szCs w:val="27"/>
        </w:rPr>
        <w:t>The "Languages" at Each Stage</w:t>
      </w:r>
    </w:p>
    <w:p w14:paraId="1A9CC5F3" w14:textId="77777777" w:rsidR="00A717AD" w:rsidRPr="00A717AD" w:rsidRDefault="00A717AD" w:rsidP="00A717AD">
      <w:pPr>
        <w:spacing w:before="100" w:beforeAutospacing="1" w:after="100" w:afterAutospacing="1"/>
        <w:outlineLvl w:val="3"/>
        <w:rPr>
          <w:rFonts w:ascii="Segoe UI" w:hAnsi="Segoe UI" w:cs="Segoe UI"/>
          <w:b/>
          <w:bCs/>
          <w:color w:val="000000" w:themeColor="text1"/>
        </w:rPr>
      </w:pPr>
      <w:r w:rsidRPr="00A717AD">
        <w:rPr>
          <w:rFonts w:ascii="Segoe UI" w:hAnsi="Segoe UI" w:cs="Segoe UI"/>
          <w:b/>
          <w:bCs/>
          <w:color w:val="000000" w:themeColor="text1"/>
        </w:rPr>
        <w:t>1. At the Sensor &amp; Control Level (OT - Operational Technology)</w:t>
      </w:r>
    </w:p>
    <w:p w14:paraId="0B62C768" w14:textId="77777777" w:rsidR="00A717AD" w:rsidRPr="00A717AD" w:rsidRDefault="00A717AD" w:rsidP="00A717AD">
      <w:pPr>
        <w:spacing w:before="100" w:beforeAutospacing="1" w:after="100" w:afterAutospacing="1"/>
        <w:rPr>
          <w:rFonts w:ascii="Segoe UI" w:hAnsi="Segoe UI" w:cs="Segoe UI"/>
          <w:color w:val="000000" w:themeColor="text1"/>
        </w:rPr>
      </w:pPr>
      <w:r w:rsidRPr="00A717AD">
        <w:rPr>
          <w:rFonts w:ascii="Segoe UI" w:hAnsi="Segoe UI" w:cs="Segoe UI"/>
          <w:color w:val="000000" w:themeColor="text1"/>
        </w:rPr>
        <w:t>This is where the physical measurement happens. Sensors themselves don't "speak" high-level languages; they communicate via electrical signals interpreted by a PLC or controller using standardized </w:t>
      </w:r>
      <w:r w:rsidRPr="00A717AD">
        <w:rPr>
          <w:rFonts w:ascii="Segoe UI" w:hAnsi="Segoe UI" w:cs="Segoe UI"/>
          <w:b/>
          <w:bCs/>
          <w:color w:val="000000" w:themeColor="text1"/>
        </w:rPr>
        <w:t>fieldbus</w:t>
      </w:r>
      <w:r w:rsidRPr="00A717AD">
        <w:rPr>
          <w:rFonts w:ascii="Segoe UI" w:hAnsi="Segoe UI" w:cs="Segoe UI"/>
          <w:color w:val="000000" w:themeColor="text1"/>
        </w:rPr>
        <w:t> or </w:t>
      </w:r>
      <w:r w:rsidRPr="00A717AD">
        <w:rPr>
          <w:rFonts w:ascii="Segoe UI" w:hAnsi="Segoe UI" w:cs="Segoe UI"/>
          <w:b/>
          <w:bCs/>
          <w:color w:val="000000" w:themeColor="text1"/>
        </w:rPr>
        <w:t>industrial Ethernet</w:t>
      </w:r>
      <w:r w:rsidRPr="00A717AD">
        <w:rPr>
          <w:rFonts w:ascii="Segoe UI" w:hAnsi="Segoe UI" w:cs="Segoe UI"/>
          <w:color w:val="000000" w:themeColor="text1"/>
        </w:rPr>
        <w:t> protocols.</w:t>
      </w:r>
    </w:p>
    <w:p w14:paraId="6788A93C" w14:textId="77777777" w:rsidR="00A717AD" w:rsidRPr="00A717AD" w:rsidRDefault="00A717AD" w:rsidP="00A717AD">
      <w:pPr>
        <w:numPr>
          <w:ilvl w:val="0"/>
          <w:numId w:val="9"/>
        </w:numPr>
        <w:spacing w:after="60"/>
        <w:rPr>
          <w:rFonts w:ascii="Segoe UI" w:hAnsi="Segoe UI" w:cs="Segoe UI"/>
          <w:color w:val="000000" w:themeColor="text1"/>
        </w:rPr>
      </w:pPr>
      <w:r w:rsidRPr="00A717AD">
        <w:rPr>
          <w:rFonts w:ascii="Segoe UI" w:hAnsi="Segoe UI" w:cs="Segoe UI"/>
          <w:b/>
          <w:bCs/>
          <w:color w:val="000000" w:themeColor="text1"/>
        </w:rPr>
        <w:t>Primary Protocols/"Languages":</w:t>
      </w:r>
    </w:p>
    <w:p w14:paraId="00D15571" w14:textId="77777777" w:rsidR="00A717AD" w:rsidRPr="00A717AD" w:rsidRDefault="00A717AD" w:rsidP="00A717AD">
      <w:pPr>
        <w:numPr>
          <w:ilvl w:val="1"/>
          <w:numId w:val="9"/>
        </w:numPr>
        <w:rPr>
          <w:rFonts w:ascii="Segoe UI" w:hAnsi="Segoe UI" w:cs="Segoe UI"/>
          <w:color w:val="000000" w:themeColor="text1"/>
        </w:rPr>
      </w:pPr>
      <w:r w:rsidRPr="00A717AD">
        <w:rPr>
          <w:rFonts w:ascii="Segoe UI" w:hAnsi="Segoe UI" w:cs="Segoe UI"/>
          <w:b/>
          <w:bCs/>
          <w:color w:val="000000" w:themeColor="text1"/>
        </w:rPr>
        <w:t>MODBUS (RTU/TCP):</w:t>
      </w:r>
      <w:r w:rsidRPr="00A717AD">
        <w:rPr>
          <w:rFonts w:ascii="Segoe UI" w:hAnsi="Segoe UI" w:cs="Segoe UI"/>
          <w:color w:val="000000" w:themeColor="text1"/>
        </w:rPr>
        <w:t> The oldest and most universally supported protocol. It is a request-response protocol used to send data between devices (e.g., a flow meter sending data to a PLC).</w:t>
      </w:r>
    </w:p>
    <w:p w14:paraId="79C78014" w14:textId="77777777" w:rsidR="00A717AD" w:rsidRPr="00A717AD" w:rsidRDefault="00A717AD" w:rsidP="00A717AD">
      <w:pPr>
        <w:numPr>
          <w:ilvl w:val="1"/>
          <w:numId w:val="9"/>
        </w:numPr>
        <w:rPr>
          <w:rFonts w:ascii="Segoe UI" w:hAnsi="Segoe UI" w:cs="Segoe UI"/>
          <w:color w:val="000000" w:themeColor="text1"/>
        </w:rPr>
      </w:pPr>
      <w:r w:rsidRPr="00A717AD">
        <w:rPr>
          <w:rFonts w:ascii="Segoe UI" w:hAnsi="Segoe UI" w:cs="Segoe UI"/>
          <w:b/>
          <w:bCs/>
          <w:color w:val="000000" w:themeColor="text1"/>
        </w:rPr>
        <w:lastRenderedPageBreak/>
        <w:t>OPC Unified Architecture (OPC UA):</w:t>
      </w:r>
      <w:r w:rsidRPr="00A717AD">
        <w:rPr>
          <w:rFonts w:ascii="Segoe UI" w:hAnsi="Segoe UI" w:cs="Segoe UI"/>
          <w:color w:val="000000" w:themeColor="text1"/>
        </w:rPr>
        <w:t> The modern, secure, and platform-independent standard for industrial communication. It is not just a protocol but a framework for data exchange, semantics, and security. It is the key to IIoT.</w:t>
      </w:r>
    </w:p>
    <w:p w14:paraId="758969A9" w14:textId="77777777" w:rsidR="00A717AD" w:rsidRPr="00A717AD" w:rsidRDefault="00A717AD" w:rsidP="00A717AD">
      <w:pPr>
        <w:numPr>
          <w:ilvl w:val="1"/>
          <w:numId w:val="9"/>
        </w:numPr>
        <w:rPr>
          <w:rFonts w:ascii="Segoe UI" w:hAnsi="Segoe UI" w:cs="Segoe UI"/>
          <w:color w:val="000000" w:themeColor="text1"/>
        </w:rPr>
      </w:pPr>
      <w:r w:rsidRPr="00A717AD">
        <w:rPr>
          <w:rFonts w:ascii="Segoe UI" w:hAnsi="Segoe UI" w:cs="Segoe UI"/>
          <w:b/>
          <w:bCs/>
          <w:color w:val="000000" w:themeColor="text1"/>
        </w:rPr>
        <w:t>HART (Highway Addressable Remote Transducer):</w:t>
      </w:r>
      <w:r w:rsidRPr="00A717AD">
        <w:rPr>
          <w:rFonts w:ascii="Segoe UI" w:hAnsi="Segoe UI" w:cs="Segoe UI"/>
          <w:color w:val="000000" w:themeColor="text1"/>
        </w:rPr>
        <w:t> A protocol that superimposes digital communication on top of the standard 4-20mA analog signal, allowing for both process data and device diagnostics.</w:t>
      </w:r>
    </w:p>
    <w:p w14:paraId="33A78171" w14:textId="77777777" w:rsidR="00A717AD" w:rsidRPr="00A717AD" w:rsidRDefault="00A717AD" w:rsidP="00A717AD">
      <w:pPr>
        <w:numPr>
          <w:ilvl w:val="1"/>
          <w:numId w:val="9"/>
        </w:numPr>
        <w:rPr>
          <w:rFonts w:ascii="Segoe UI" w:hAnsi="Segoe UI" w:cs="Segoe UI"/>
          <w:color w:val="000000" w:themeColor="text1"/>
        </w:rPr>
      </w:pPr>
      <w:r w:rsidRPr="00A717AD">
        <w:rPr>
          <w:rFonts w:ascii="Segoe UI" w:hAnsi="Segoe UI" w:cs="Segoe UI"/>
          <w:b/>
          <w:bCs/>
          <w:color w:val="000000" w:themeColor="text1"/>
        </w:rPr>
        <w:t>PROFIBUS / PROFINET, EtherNet/IP:</w:t>
      </w:r>
      <w:r w:rsidRPr="00A717AD">
        <w:rPr>
          <w:rFonts w:ascii="Segoe UI" w:hAnsi="Segoe UI" w:cs="Segoe UI"/>
          <w:color w:val="000000" w:themeColor="text1"/>
        </w:rPr>
        <w:t> Other common protocols in specific automation vendor ecosystems (e.g., Siemens, Rockwell).</w:t>
      </w:r>
    </w:p>
    <w:p w14:paraId="3C1D8812" w14:textId="77777777" w:rsidR="00A717AD" w:rsidRPr="00A717AD" w:rsidRDefault="00A717AD" w:rsidP="00A717AD">
      <w:pPr>
        <w:numPr>
          <w:ilvl w:val="0"/>
          <w:numId w:val="9"/>
        </w:numPr>
        <w:spacing w:after="60"/>
        <w:rPr>
          <w:rFonts w:ascii="Segoe UI" w:hAnsi="Segoe UI" w:cs="Segoe UI"/>
          <w:color w:val="000000" w:themeColor="text1"/>
        </w:rPr>
      </w:pPr>
      <w:r w:rsidRPr="00A717AD">
        <w:rPr>
          <w:rFonts w:ascii="Segoe UI" w:hAnsi="Segoe UI" w:cs="Segoe UI"/>
          <w:b/>
          <w:bCs/>
          <w:color w:val="000000" w:themeColor="text1"/>
        </w:rPr>
        <w:t>Citation for OPC UA's Importance:</w:t>
      </w:r>
    </w:p>
    <w:p w14:paraId="53F9E0F9" w14:textId="77777777" w:rsidR="00A717AD" w:rsidRPr="00A717AD" w:rsidRDefault="00A717AD" w:rsidP="00A717AD">
      <w:pPr>
        <w:spacing w:before="100" w:beforeAutospacing="1" w:after="100" w:afterAutospacing="1"/>
        <w:ind w:left="720"/>
        <w:rPr>
          <w:rFonts w:ascii="Segoe UI" w:hAnsi="Segoe UI" w:cs="Segoe UI"/>
          <w:color w:val="000000" w:themeColor="text1"/>
        </w:rPr>
      </w:pPr>
      <w:r w:rsidRPr="00A717AD">
        <w:rPr>
          <w:rFonts w:ascii="Segoe UI" w:hAnsi="Segoe UI" w:cs="Segoe UI"/>
          <w:color w:val="000000" w:themeColor="text1"/>
        </w:rPr>
        <w:t>Mahnke, W., Leitner, S., &amp; Damm, M. (2009). </w:t>
      </w:r>
      <w:r w:rsidRPr="00A717AD">
        <w:rPr>
          <w:rFonts w:ascii="Segoe UI" w:hAnsi="Segoe UI" w:cs="Segoe UI"/>
          <w:i/>
          <w:iCs/>
          <w:color w:val="000000" w:themeColor="text1"/>
        </w:rPr>
        <w:t>OPC unified architecture</w:t>
      </w:r>
      <w:r w:rsidRPr="00A717AD">
        <w:rPr>
          <w:rFonts w:ascii="Segoe UI" w:hAnsi="Segoe UI" w:cs="Segoe UI"/>
          <w:color w:val="000000" w:themeColor="text1"/>
        </w:rPr>
        <w:t>. Springer Science &amp; Business Media. </w:t>
      </w:r>
      <w:hyperlink r:id="rId11" w:tgtFrame="_blank" w:history="1">
        <w:r w:rsidRPr="00A717AD">
          <w:rPr>
            <w:rFonts w:ascii="Segoe UI" w:hAnsi="Segoe UI" w:cs="Segoe UI"/>
            <w:color w:val="000000" w:themeColor="text1"/>
            <w:u w:val="single"/>
          </w:rPr>
          <w:t>https://doi.org/10.1007/978-3-540-68899-0</w:t>
        </w:r>
      </w:hyperlink>
    </w:p>
    <w:p w14:paraId="34388068" w14:textId="77777777" w:rsidR="00A717AD" w:rsidRPr="00A717AD" w:rsidRDefault="00A717AD" w:rsidP="00A717AD">
      <w:pPr>
        <w:spacing w:before="100" w:beforeAutospacing="1"/>
        <w:ind w:left="720"/>
        <w:rPr>
          <w:rFonts w:ascii="Segoe UI" w:hAnsi="Segoe UI" w:cs="Segoe UI"/>
          <w:color w:val="000000" w:themeColor="text1"/>
        </w:rPr>
      </w:pPr>
      <w:r w:rsidRPr="00A717AD">
        <w:rPr>
          <w:rFonts w:ascii="Segoe UI" w:hAnsi="Segoe UI" w:cs="Segoe UI"/>
          <w:i/>
          <w:iCs/>
          <w:color w:val="000000" w:themeColor="text1"/>
        </w:rPr>
        <w:t>This book establishes OPC UA as the foundational architecture for secure and reliable data exchange in industrial automation, which is the first step in the pipeline you described.</w:t>
      </w:r>
    </w:p>
    <w:p w14:paraId="76A2E859" w14:textId="77777777" w:rsidR="00A717AD" w:rsidRPr="00A717AD" w:rsidRDefault="00A717AD" w:rsidP="00A717AD">
      <w:pPr>
        <w:spacing w:before="100" w:beforeAutospacing="1" w:after="100" w:afterAutospacing="1"/>
        <w:outlineLvl w:val="3"/>
        <w:rPr>
          <w:rFonts w:ascii="Segoe UI" w:hAnsi="Segoe UI" w:cs="Segoe UI"/>
          <w:b/>
          <w:bCs/>
          <w:color w:val="000000" w:themeColor="text1"/>
        </w:rPr>
      </w:pPr>
      <w:r w:rsidRPr="00A717AD">
        <w:rPr>
          <w:rFonts w:ascii="Segoe UI" w:hAnsi="Segoe UI" w:cs="Segoe UI"/>
          <w:b/>
          <w:bCs/>
          <w:color w:val="000000" w:themeColor="text1"/>
        </w:rPr>
        <w:t>2. Data Ingestion &amp; Streaming (The "NiFi" Stage)</w:t>
      </w:r>
    </w:p>
    <w:p w14:paraId="62B8A4FA" w14:textId="77777777" w:rsidR="00A717AD" w:rsidRPr="00A717AD" w:rsidRDefault="00A717AD" w:rsidP="00A717AD">
      <w:pPr>
        <w:spacing w:before="100" w:beforeAutospacing="1" w:after="100" w:afterAutospacing="1"/>
        <w:rPr>
          <w:rFonts w:ascii="Segoe UI" w:hAnsi="Segoe UI" w:cs="Segoe UI"/>
          <w:color w:val="000000" w:themeColor="text1"/>
        </w:rPr>
      </w:pPr>
      <w:r w:rsidRPr="00A717AD">
        <w:rPr>
          <w:rFonts w:ascii="Segoe UI" w:hAnsi="Segoe UI" w:cs="Segoe UI"/>
          <w:color w:val="000000" w:themeColor="text1"/>
        </w:rPr>
        <w:t>Tools like </w:t>
      </w:r>
      <w:r w:rsidRPr="00A717AD">
        <w:rPr>
          <w:rFonts w:ascii="Segoe UI" w:hAnsi="Segoe UI" w:cs="Segoe UI"/>
          <w:b/>
          <w:bCs/>
          <w:color w:val="000000" w:themeColor="text1"/>
        </w:rPr>
        <w:t>Apache NiFi</w:t>
      </w:r>
      <w:r w:rsidRPr="00A717AD">
        <w:rPr>
          <w:rFonts w:ascii="Segoe UI" w:hAnsi="Segoe UI" w:cs="Segoe UI"/>
          <w:color w:val="000000" w:themeColor="text1"/>
        </w:rPr>
        <w:t> act as protocol brokers. They understand the industrial protocols above and can convert that data into modern </w:t>
      </w:r>
      <w:r w:rsidRPr="00A717AD">
        <w:rPr>
          <w:rFonts w:ascii="Segoe UI" w:hAnsi="Segoe UI" w:cs="Segoe UI"/>
          <w:b/>
          <w:bCs/>
          <w:color w:val="000000" w:themeColor="text1"/>
        </w:rPr>
        <w:t>data serialization formats</w:t>
      </w:r>
      <w:r w:rsidRPr="00A717AD">
        <w:rPr>
          <w:rFonts w:ascii="Segoe UI" w:hAnsi="Segoe UI" w:cs="Segoe UI"/>
          <w:color w:val="000000" w:themeColor="text1"/>
        </w:rPr>
        <w:t> for transport over IT networks.</w:t>
      </w:r>
    </w:p>
    <w:p w14:paraId="609DF465" w14:textId="77777777" w:rsidR="00A717AD" w:rsidRPr="00A717AD" w:rsidRDefault="00A717AD" w:rsidP="00A717AD">
      <w:pPr>
        <w:numPr>
          <w:ilvl w:val="0"/>
          <w:numId w:val="10"/>
        </w:numPr>
        <w:spacing w:after="60"/>
        <w:rPr>
          <w:rFonts w:ascii="Segoe UI" w:hAnsi="Segoe UI" w:cs="Segoe UI"/>
          <w:color w:val="000000" w:themeColor="text1"/>
        </w:rPr>
      </w:pPr>
      <w:r w:rsidRPr="00A717AD">
        <w:rPr>
          <w:rFonts w:ascii="Segoe UI" w:hAnsi="Segoe UI" w:cs="Segoe UI"/>
          <w:b/>
          <w:bCs/>
          <w:color w:val="000000" w:themeColor="text1"/>
        </w:rPr>
        <w:t>Primary Formats/"Languages":</w:t>
      </w:r>
    </w:p>
    <w:p w14:paraId="26B59DE9" w14:textId="77777777" w:rsidR="00A717AD" w:rsidRPr="00A717AD" w:rsidRDefault="00A717AD" w:rsidP="00A717AD">
      <w:pPr>
        <w:numPr>
          <w:ilvl w:val="1"/>
          <w:numId w:val="10"/>
        </w:numPr>
        <w:rPr>
          <w:rFonts w:ascii="Segoe UI" w:hAnsi="Segoe UI" w:cs="Segoe UI"/>
          <w:color w:val="000000" w:themeColor="text1"/>
        </w:rPr>
      </w:pPr>
      <w:r w:rsidRPr="00A717AD">
        <w:rPr>
          <w:rFonts w:ascii="Segoe UI" w:hAnsi="Segoe UI" w:cs="Segoe UI"/>
          <w:b/>
          <w:bCs/>
          <w:color w:val="000000" w:themeColor="text1"/>
        </w:rPr>
        <w:t>JSON (JavaScript Object Notation):</w:t>
      </w:r>
      <w:r w:rsidRPr="00A717AD">
        <w:rPr>
          <w:rFonts w:ascii="Segoe UI" w:hAnsi="Segoe UI" w:cs="Segoe UI"/>
          <w:color w:val="000000" w:themeColor="text1"/>
        </w:rPr>
        <w:t> The most common lightweight data interchange format. Easy for humans to read and write and for machines to parse. A sensor reading might be packaged as </w:t>
      </w:r>
      <w:r w:rsidRPr="00A717AD">
        <w:rPr>
          <w:rFonts w:ascii="var(--ds-font-family-code)" w:hAnsi="var(--ds-font-family-code)" w:cs="Courier New"/>
          <w:color w:val="000000" w:themeColor="text1"/>
          <w:sz w:val="21"/>
          <w:szCs w:val="21"/>
        </w:rPr>
        <w:t>{"tag": "PT-101", "value": 42.5, "timestamp": "2023-10-27T12:34:56Z", "quality": "Good"}</w:t>
      </w:r>
      <w:r w:rsidRPr="00A717AD">
        <w:rPr>
          <w:rFonts w:ascii="Segoe UI" w:hAnsi="Segoe UI" w:cs="Segoe UI"/>
          <w:color w:val="000000" w:themeColor="text1"/>
        </w:rPr>
        <w:t>.</w:t>
      </w:r>
    </w:p>
    <w:p w14:paraId="2077B79B" w14:textId="77777777" w:rsidR="00A717AD" w:rsidRPr="00A717AD" w:rsidRDefault="00A717AD" w:rsidP="00A717AD">
      <w:pPr>
        <w:numPr>
          <w:ilvl w:val="1"/>
          <w:numId w:val="10"/>
        </w:numPr>
        <w:rPr>
          <w:rFonts w:ascii="Segoe UI" w:hAnsi="Segoe UI" w:cs="Segoe UI"/>
          <w:color w:val="000000" w:themeColor="text1"/>
        </w:rPr>
      </w:pPr>
      <w:r w:rsidRPr="00A717AD">
        <w:rPr>
          <w:rFonts w:ascii="Segoe UI" w:hAnsi="Segoe UI" w:cs="Segoe UI"/>
          <w:b/>
          <w:bCs/>
          <w:color w:val="000000" w:themeColor="text1"/>
        </w:rPr>
        <w:t>Apache Avro/Protocol Buffers:</w:t>
      </w:r>
      <w:r w:rsidRPr="00A717AD">
        <w:rPr>
          <w:rFonts w:ascii="Segoe UI" w:hAnsi="Segoe UI" w:cs="Segoe UI"/>
          <w:color w:val="000000" w:themeColor="text1"/>
        </w:rPr>
        <w:t> More efficient binary serialization formats often used in high-volume streaming contexts with technologies like Apache Kafka, which frequently sits alongside NiFi.</w:t>
      </w:r>
    </w:p>
    <w:p w14:paraId="2BCB857C" w14:textId="77777777" w:rsidR="00A717AD" w:rsidRPr="00A717AD" w:rsidRDefault="00A717AD" w:rsidP="00A717AD">
      <w:pPr>
        <w:numPr>
          <w:ilvl w:val="1"/>
          <w:numId w:val="10"/>
        </w:numPr>
        <w:rPr>
          <w:rFonts w:ascii="Segoe UI" w:hAnsi="Segoe UI" w:cs="Segoe UI"/>
          <w:color w:val="000000" w:themeColor="text1"/>
        </w:rPr>
      </w:pPr>
      <w:r w:rsidRPr="00A717AD">
        <w:rPr>
          <w:rFonts w:ascii="Segoe UI" w:hAnsi="Segoe UI" w:cs="Segoe UI"/>
          <w:b/>
          <w:bCs/>
          <w:color w:val="000000" w:themeColor="text1"/>
        </w:rPr>
        <w:t>MQTT:</w:t>
      </w:r>
      <w:r w:rsidRPr="00A717AD">
        <w:rPr>
          <w:rFonts w:ascii="Segoe UI" w:hAnsi="Segoe UI" w:cs="Segoe UI"/>
          <w:color w:val="000000" w:themeColor="text1"/>
        </w:rPr>
        <w:t> A lightweight publish-subscribe network protocol that is ideal for sending messages from many sensors to a central broker with minimal bandwidth. It often carries JSON or binary payloads.</w:t>
      </w:r>
    </w:p>
    <w:p w14:paraId="39CCA729" w14:textId="77777777" w:rsidR="00A717AD" w:rsidRPr="00A717AD" w:rsidRDefault="00A717AD" w:rsidP="00A717AD">
      <w:pPr>
        <w:numPr>
          <w:ilvl w:val="0"/>
          <w:numId w:val="10"/>
        </w:numPr>
        <w:spacing w:after="60"/>
        <w:rPr>
          <w:rFonts w:ascii="Segoe UI" w:hAnsi="Segoe UI" w:cs="Segoe UI"/>
          <w:color w:val="000000" w:themeColor="text1"/>
        </w:rPr>
      </w:pPr>
      <w:r w:rsidRPr="00A717AD">
        <w:rPr>
          <w:rFonts w:ascii="Segoe UI" w:hAnsi="Segoe UI" w:cs="Segoe UI"/>
          <w:b/>
          <w:bCs/>
          <w:color w:val="000000" w:themeColor="text1"/>
        </w:rPr>
        <w:t>Citation for Dataflow Tools in IIoT:</w:t>
      </w:r>
    </w:p>
    <w:p w14:paraId="7B35A3D0" w14:textId="77777777" w:rsidR="00A717AD" w:rsidRPr="00A717AD" w:rsidRDefault="00A717AD" w:rsidP="00A717AD">
      <w:pPr>
        <w:spacing w:before="100" w:beforeAutospacing="1" w:after="100" w:afterAutospacing="1"/>
        <w:ind w:left="720"/>
        <w:rPr>
          <w:rFonts w:ascii="Segoe UI" w:hAnsi="Segoe UI" w:cs="Segoe UI"/>
          <w:color w:val="000000" w:themeColor="text1"/>
        </w:rPr>
      </w:pPr>
      <w:r w:rsidRPr="00A717AD">
        <w:rPr>
          <w:rFonts w:ascii="Segoe UI" w:hAnsi="Segoe UI" w:cs="Segoe UI"/>
          <w:color w:val="000000" w:themeColor="text1"/>
        </w:rPr>
        <w:t>Lockhart, H., &amp; Spivak, A. (2021). </w:t>
      </w:r>
      <w:r w:rsidRPr="00A717AD">
        <w:rPr>
          <w:rFonts w:ascii="Segoe UI" w:hAnsi="Segoe UI" w:cs="Segoe UI"/>
          <w:i/>
          <w:iCs/>
          <w:color w:val="000000" w:themeColor="text1"/>
        </w:rPr>
        <w:t>Data pipelines: Pocket reference</w:t>
      </w:r>
      <w:r w:rsidRPr="00A717AD">
        <w:rPr>
          <w:rFonts w:ascii="Segoe UI" w:hAnsi="Segoe UI" w:cs="Segoe UI"/>
          <w:color w:val="000000" w:themeColor="text1"/>
        </w:rPr>
        <w:t>. O'Reilly Media, Inc.</w:t>
      </w:r>
    </w:p>
    <w:p w14:paraId="53DA4D2F" w14:textId="77777777" w:rsidR="00A717AD" w:rsidRPr="00A717AD" w:rsidRDefault="00A717AD" w:rsidP="00A717AD">
      <w:pPr>
        <w:spacing w:before="100" w:beforeAutospacing="1"/>
        <w:ind w:left="720"/>
        <w:rPr>
          <w:rFonts w:ascii="Segoe UI" w:hAnsi="Segoe UI" w:cs="Segoe UI"/>
          <w:color w:val="000000" w:themeColor="text1"/>
        </w:rPr>
      </w:pPr>
      <w:r w:rsidRPr="00A717AD">
        <w:rPr>
          <w:rFonts w:ascii="Segoe UI" w:hAnsi="Segoe UI" w:cs="Segoe UI"/>
          <w:i/>
          <w:iCs/>
          <w:color w:val="000000" w:themeColor="text1"/>
        </w:rPr>
        <w:lastRenderedPageBreak/>
        <w:t>This reference guide details how tools like NiFi and Kafka are used to ingest data from various sources (including industrial systems) using these formats and transport them to data lakes and processing engines.</w:t>
      </w:r>
    </w:p>
    <w:p w14:paraId="78CFF031" w14:textId="77777777" w:rsidR="00A717AD" w:rsidRPr="00A717AD" w:rsidRDefault="00A717AD" w:rsidP="00A717AD">
      <w:pPr>
        <w:spacing w:before="100" w:beforeAutospacing="1" w:after="100" w:afterAutospacing="1"/>
        <w:outlineLvl w:val="3"/>
        <w:rPr>
          <w:rFonts w:ascii="Segoe UI" w:hAnsi="Segoe UI" w:cs="Segoe UI"/>
          <w:b/>
          <w:bCs/>
          <w:color w:val="000000" w:themeColor="text1"/>
        </w:rPr>
      </w:pPr>
      <w:r w:rsidRPr="00A717AD">
        <w:rPr>
          <w:rFonts w:ascii="Segoe UI" w:hAnsi="Segoe UI" w:cs="Segoe UI"/>
          <w:b/>
          <w:bCs/>
          <w:color w:val="000000" w:themeColor="text1"/>
        </w:rPr>
        <w:t>3. Data Processing &amp; Storage (The "Hive/Spark" Stage)</w:t>
      </w:r>
    </w:p>
    <w:p w14:paraId="5C3E8C1F" w14:textId="77777777" w:rsidR="00A717AD" w:rsidRPr="00A717AD" w:rsidRDefault="00A717AD" w:rsidP="00A717AD">
      <w:pPr>
        <w:spacing w:before="100" w:beforeAutospacing="1" w:after="100" w:afterAutospacing="1"/>
        <w:rPr>
          <w:rFonts w:ascii="Segoe UI" w:hAnsi="Segoe UI" w:cs="Segoe UI"/>
          <w:color w:val="000000" w:themeColor="text1"/>
        </w:rPr>
      </w:pPr>
      <w:r w:rsidRPr="00A717AD">
        <w:rPr>
          <w:rFonts w:ascii="Segoe UI" w:hAnsi="Segoe UI" w:cs="Segoe UI"/>
          <w:color w:val="000000" w:themeColor="text1"/>
        </w:rPr>
        <w:t>Once the data lands in a data lake (e.g., on Hadoop or cloud storage), tools like </w:t>
      </w:r>
      <w:r w:rsidRPr="00A717AD">
        <w:rPr>
          <w:rFonts w:ascii="Segoe UI" w:hAnsi="Segoe UI" w:cs="Segoe UI"/>
          <w:b/>
          <w:bCs/>
          <w:color w:val="000000" w:themeColor="text1"/>
        </w:rPr>
        <w:t>Apache Spark</w:t>
      </w:r>
      <w:r w:rsidRPr="00A717AD">
        <w:rPr>
          <w:rFonts w:ascii="Segoe UI" w:hAnsi="Segoe UI" w:cs="Segoe UI"/>
          <w:color w:val="000000" w:themeColor="text1"/>
        </w:rPr>
        <w:t> and </w:t>
      </w:r>
      <w:r w:rsidRPr="00A717AD">
        <w:rPr>
          <w:rFonts w:ascii="Segoe UI" w:hAnsi="Segoe UI" w:cs="Segoe UI"/>
          <w:b/>
          <w:bCs/>
          <w:color w:val="000000" w:themeColor="text1"/>
        </w:rPr>
        <w:t>Apache Hive</w:t>
      </w:r>
      <w:r w:rsidRPr="00A717AD">
        <w:rPr>
          <w:rFonts w:ascii="Segoe UI" w:hAnsi="Segoe UI" w:cs="Segoe UI"/>
          <w:color w:val="000000" w:themeColor="text1"/>
        </w:rPr>
        <w:t> are used to process it. Their "language" is primarily </w:t>
      </w:r>
      <w:r w:rsidRPr="00A717AD">
        <w:rPr>
          <w:rFonts w:ascii="Segoe UI" w:hAnsi="Segoe UI" w:cs="Segoe UI"/>
          <w:b/>
          <w:bCs/>
          <w:color w:val="000000" w:themeColor="text1"/>
        </w:rPr>
        <w:t>SQL</w:t>
      </w:r>
      <w:r w:rsidRPr="00A717AD">
        <w:rPr>
          <w:rFonts w:ascii="Segoe UI" w:hAnsi="Segoe UI" w:cs="Segoe UI"/>
          <w:color w:val="000000" w:themeColor="text1"/>
        </w:rPr>
        <w:t> (via SparkSQL or HiveQL) for structured data manipulation and </w:t>
      </w:r>
      <w:r w:rsidRPr="00A717AD">
        <w:rPr>
          <w:rFonts w:ascii="Segoe UI" w:hAnsi="Segoe UI" w:cs="Segoe UI"/>
          <w:b/>
          <w:bCs/>
          <w:color w:val="000000" w:themeColor="text1"/>
        </w:rPr>
        <w:t>Python/Scala</w:t>
      </w:r>
      <w:r w:rsidRPr="00A717AD">
        <w:rPr>
          <w:rFonts w:ascii="Segoe UI" w:hAnsi="Segoe UI" w:cs="Segoe UI"/>
          <w:color w:val="000000" w:themeColor="text1"/>
        </w:rPr>
        <w:t> (for Spark) for more complex data engineering and machine learning tasks.</w:t>
      </w:r>
    </w:p>
    <w:p w14:paraId="669278EC" w14:textId="77777777" w:rsidR="00A717AD" w:rsidRPr="00A717AD" w:rsidRDefault="00A717AD" w:rsidP="00A717AD">
      <w:pPr>
        <w:numPr>
          <w:ilvl w:val="0"/>
          <w:numId w:val="11"/>
        </w:numPr>
        <w:spacing w:after="60"/>
        <w:rPr>
          <w:rFonts w:ascii="Segoe UI" w:hAnsi="Segoe UI" w:cs="Segoe UI"/>
          <w:color w:val="000000" w:themeColor="text1"/>
        </w:rPr>
      </w:pPr>
      <w:r w:rsidRPr="00A717AD">
        <w:rPr>
          <w:rFonts w:ascii="Segoe UI" w:hAnsi="Segoe UI" w:cs="Segoe UI"/>
          <w:b/>
          <w:bCs/>
          <w:color w:val="000000" w:themeColor="text1"/>
        </w:rPr>
        <w:t>Citation for Big Data in Oil &amp; Gas:</w:t>
      </w:r>
    </w:p>
    <w:p w14:paraId="1C35D2A6" w14:textId="77777777" w:rsidR="00A717AD" w:rsidRPr="00A717AD" w:rsidRDefault="00A717AD" w:rsidP="00A717AD">
      <w:pPr>
        <w:spacing w:before="100" w:beforeAutospacing="1" w:after="100" w:afterAutospacing="1"/>
        <w:ind w:left="720"/>
        <w:rPr>
          <w:rFonts w:ascii="Segoe UI" w:hAnsi="Segoe UI" w:cs="Segoe UI"/>
          <w:color w:val="000000" w:themeColor="text1"/>
        </w:rPr>
      </w:pPr>
      <w:r w:rsidRPr="00A717AD">
        <w:rPr>
          <w:rFonts w:ascii="Segoe UI" w:hAnsi="Segoe UI" w:cs="Segoe UI"/>
          <w:color w:val="000000" w:themeColor="text1"/>
        </w:rPr>
        <w:t>Mohaghegh, S. D. (2017). </w:t>
      </w:r>
      <w:r w:rsidRPr="00A717AD">
        <w:rPr>
          <w:rFonts w:ascii="Segoe UI" w:hAnsi="Segoe UI" w:cs="Segoe UI"/>
          <w:i/>
          <w:iCs/>
          <w:color w:val="000000" w:themeColor="text1"/>
        </w:rPr>
        <w:t>Data analytics in the oil and gas industry: A comprehensive guide to using data</w:t>
      </w:r>
      <w:r w:rsidRPr="00A717AD">
        <w:rPr>
          <w:rFonts w:ascii="Segoe UI" w:hAnsi="Segoe UI" w:cs="Segoe UI"/>
          <w:color w:val="000000" w:themeColor="text1"/>
        </w:rPr>
        <w:t>. PennWell Books.</w:t>
      </w:r>
    </w:p>
    <w:p w14:paraId="57DEE6C5" w14:textId="77777777" w:rsidR="00A717AD" w:rsidRPr="00A717AD" w:rsidRDefault="00A717AD" w:rsidP="00A717AD">
      <w:pPr>
        <w:spacing w:before="100" w:beforeAutospacing="1"/>
        <w:ind w:left="720"/>
        <w:rPr>
          <w:rFonts w:ascii="Segoe UI" w:hAnsi="Segoe UI" w:cs="Segoe UI"/>
          <w:color w:val="000000" w:themeColor="text1"/>
        </w:rPr>
      </w:pPr>
      <w:r w:rsidRPr="00A717AD">
        <w:rPr>
          <w:rFonts w:ascii="Segoe UI" w:hAnsi="Segoe UI" w:cs="Segoe UI"/>
          <w:i/>
          <w:iCs/>
          <w:color w:val="000000" w:themeColor="text1"/>
        </w:rPr>
        <w:t>Mohaghegh's work details the industry's shift towards big data platforms (Hadoop/Spark) to handle the volume, velocity, and variety of sensor data, moving beyond traditional databases.</w:t>
      </w:r>
    </w:p>
    <w:p w14:paraId="1D4803D0" w14:textId="77777777" w:rsidR="00A717AD" w:rsidRPr="00A717AD" w:rsidRDefault="00A717AD" w:rsidP="00A717AD">
      <w:pPr>
        <w:spacing w:before="100" w:beforeAutospacing="1" w:after="100" w:afterAutospacing="1"/>
        <w:outlineLvl w:val="3"/>
        <w:rPr>
          <w:rFonts w:ascii="Segoe UI" w:hAnsi="Segoe UI" w:cs="Segoe UI"/>
          <w:b/>
          <w:bCs/>
          <w:color w:val="000000" w:themeColor="text1"/>
        </w:rPr>
      </w:pPr>
      <w:r w:rsidRPr="00A717AD">
        <w:rPr>
          <w:rFonts w:ascii="Segoe UI" w:hAnsi="Segoe UI" w:cs="Segoe UI"/>
          <w:b/>
          <w:bCs/>
          <w:color w:val="000000" w:themeColor="text1"/>
        </w:rPr>
        <w:t>4. Enterprise Integration &amp; Visualization (The "SAP &amp; Power BI" Stage)</w:t>
      </w:r>
    </w:p>
    <w:p w14:paraId="6EC6F9C8" w14:textId="77777777" w:rsidR="00A717AD" w:rsidRPr="00A717AD" w:rsidRDefault="00A717AD" w:rsidP="00A717AD">
      <w:pPr>
        <w:numPr>
          <w:ilvl w:val="0"/>
          <w:numId w:val="12"/>
        </w:numPr>
        <w:rPr>
          <w:rFonts w:ascii="Segoe UI" w:hAnsi="Segoe UI" w:cs="Segoe UI"/>
          <w:color w:val="000000" w:themeColor="text1"/>
        </w:rPr>
      </w:pPr>
      <w:r w:rsidRPr="00A717AD">
        <w:rPr>
          <w:rFonts w:ascii="Segoe UI" w:hAnsi="Segoe UI" w:cs="Segoe UI"/>
          <w:b/>
          <w:bCs/>
          <w:color w:val="000000" w:themeColor="text1"/>
        </w:rPr>
        <w:t>SAP Integration:</w:t>
      </w:r>
      <w:r w:rsidRPr="00A717AD">
        <w:rPr>
          <w:rFonts w:ascii="Segoe UI" w:hAnsi="Segoe UI" w:cs="Segoe UI"/>
          <w:color w:val="000000" w:themeColor="text1"/>
        </w:rPr>
        <w:t> Processed data is sent to SAP (e.g., to the ERP or Asset Management module) via </w:t>
      </w:r>
      <w:r w:rsidRPr="00A717AD">
        <w:rPr>
          <w:rFonts w:ascii="Segoe UI" w:hAnsi="Segoe UI" w:cs="Segoe UI"/>
          <w:b/>
          <w:bCs/>
          <w:color w:val="000000" w:themeColor="text1"/>
        </w:rPr>
        <w:t>APIs (Application Programming Interfaces)</w:t>
      </w:r>
      <w:r w:rsidRPr="00A717AD">
        <w:rPr>
          <w:rFonts w:ascii="Segoe UI" w:hAnsi="Segoe UI" w:cs="Segoe UI"/>
          <w:color w:val="000000" w:themeColor="text1"/>
        </w:rPr>
        <w:t>. The most common standard for these web APIs is </w:t>
      </w:r>
      <w:r w:rsidRPr="00A717AD">
        <w:rPr>
          <w:rFonts w:ascii="Segoe UI" w:hAnsi="Segoe UI" w:cs="Segoe UI"/>
          <w:b/>
          <w:bCs/>
          <w:color w:val="000000" w:themeColor="text1"/>
        </w:rPr>
        <w:t>REST</w:t>
      </w:r>
      <w:r w:rsidRPr="00A717AD">
        <w:rPr>
          <w:rFonts w:ascii="Segoe UI" w:hAnsi="Segoe UI" w:cs="Segoe UI"/>
          <w:color w:val="000000" w:themeColor="text1"/>
        </w:rPr>
        <w:t>, which typically uses </w:t>
      </w:r>
      <w:r w:rsidRPr="00A717AD">
        <w:rPr>
          <w:rFonts w:ascii="Segoe UI" w:hAnsi="Segoe UI" w:cs="Segoe UI"/>
          <w:b/>
          <w:bCs/>
          <w:color w:val="000000" w:themeColor="text1"/>
        </w:rPr>
        <w:t>JSON</w:t>
      </w:r>
      <w:r w:rsidRPr="00A717AD">
        <w:rPr>
          <w:rFonts w:ascii="Segoe UI" w:hAnsi="Segoe UI" w:cs="Segoe UI"/>
          <w:color w:val="000000" w:themeColor="text1"/>
        </w:rPr>
        <w:t> or </w:t>
      </w:r>
      <w:r w:rsidRPr="00A717AD">
        <w:rPr>
          <w:rFonts w:ascii="Segoe UI" w:hAnsi="Segoe UI" w:cs="Segoe UI"/>
          <w:b/>
          <w:bCs/>
          <w:color w:val="000000" w:themeColor="text1"/>
        </w:rPr>
        <w:t>XML</w:t>
      </w:r>
      <w:r w:rsidRPr="00A717AD">
        <w:rPr>
          <w:rFonts w:ascii="Segoe UI" w:hAnsi="Segoe UI" w:cs="Segoe UI"/>
          <w:color w:val="000000" w:themeColor="text1"/>
        </w:rPr>
        <w:t> as its data format.</w:t>
      </w:r>
    </w:p>
    <w:p w14:paraId="626968D6" w14:textId="77777777" w:rsidR="00A717AD" w:rsidRPr="00A717AD" w:rsidRDefault="00A717AD" w:rsidP="00A717AD">
      <w:pPr>
        <w:numPr>
          <w:ilvl w:val="0"/>
          <w:numId w:val="12"/>
        </w:numPr>
        <w:spacing w:after="60"/>
        <w:rPr>
          <w:rFonts w:ascii="Segoe UI" w:hAnsi="Segoe UI" w:cs="Segoe UI"/>
          <w:color w:val="000000" w:themeColor="text1"/>
        </w:rPr>
      </w:pPr>
      <w:r w:rsidRPr="00A717AD">
        <w:rPr>
          <w:rFonts w:ascii="Segoe UI" w:hAnsi="Segoe UI" w:cs="Segoe UI"/>
          <w:b/>
          <w:bCs/>
          <w:color w:val="000000" w:themeColor="text1"/>
        </w:rPr>
        <w:t>Visualization (Power BI, OSIsoft PI):</w:t>
      </w:r>
    </w:p>
    <w:p w14:paraId="00E7CB43" w14:textId="77777777" w:rsidR="00A717AD" w:rsidRPr="00A717AD" w:rsidRDefault="00A717AD" w:rsidP="00A717AD">
      <w:pPr>
        <w:numPr>
          <w:ilvl w:val="1"/>
          <w:numId w:val="12"/>
        </w:numPr>
        <w:rPr>
          <w:rFonts w:ascii="Segoe UI" w:hAnsi="Segoe UI" w:cs="Segoe UI"/>
          <w:color w:val="000000" w:themeColor="text1"/>
        </w:rPr>
      </w:pPr>
      <w:r w:rsidRPr="00A717AD">
        <w:rPr>
          <w:rFonts w:ascii="Segoe UI" w:hAnsi="Segoe UI" w:cs="Segoe UI"/>
          <w:b/>
          <w:bCs/>
          <w:color w:val="000000" w:themeColor="text1"/>
        </w:rPr>
        <w:t>Power BI / Tableau / .NET Apps:</w:t>
      </w:r>
      <w:r w:rsidRPr="00A717AD">
        <w:rPr>
          <w:rFonts w:ascii="Segoe UI" w:hAnsi="Segoe UI" w:cs="Segoe UI"/>
          <w:color w:val="000000" w:themeColor="text1"/>
        </w:rPr>
        <w:t> Connect to the processed data (often in a SQL database or data warehouse) primarily using </w:t>
      </w:r>
      <w:r w:rsidRPr="00A717AD">
        <w:rPr>
          <w:rFonts w:ascii="Segoe UI" w:hAnsi="Segoe UI" w:cs="Segoe UI"/>
          <w:b/>
          <w:bCs/>
          <w:color w:val="000000" w:themeColor="text1"/>
        </w:rPr>
        <w:t>SQL</w:t>
      </w:r>
      <w:r w:rsidRPr="00A717AD">
        <w:rPr>
          <w:rFonts w:ascii="Segoe UI" w:hAnsi="Segoe UI" w:cs="Segoe UI"/>
          <w:color w:val="000000" w:themeColor="text1"/>
        </w:rPr>
        <w:t> queries to fetch data for dashboards.</w:t>
      </w:r>
    </w:p>
    <w:p w14:paraId="576D83EF" w14:textId="77777777" w:rsidR="00A717AD" w:rsidRPr="00A717AD" w:rsidRDefault="00A717AD" w:rsidP="00A717AD">
      <w:pPr>
        <w:numPr>
          <w:ilvl w:val="1"/>
          <w:numId w:val="12"/>
        </w:numPr>
        <w:rPr>
          <w:rFonts w:ascii="Segoe UI" w:hAnsi="Segoe UI" w:cs="Segoe UI"/>
          <w:color w:val="000000" w:themeColor="text1"/>
        </w:rPr>
      </w:pPr>
      <w:r w:rsidRPr="00A717AD">
        <w:rPr>
          <w:rFonts w:ascii="Segoe UI" w:hAnsi="Segoe UI" w:cs="Segoe UI"/>
          <w:b/>
          <w:bCs/>
          <w:color w:val="000000" w:themeColor="text1"/>
        </w:rPr>
        <w:t>OSIsoft PI System:</w:t>
      </w:r>
      <w:r w:rsidRPr="00A717AD">
        <w:rPr>
          <w:rFonts w:ascii="Segoe UI" w:hAnsi="Segoe UI" w:cs="Segoe UI"/>
          <w:color w:val="000000" w:themeColor="text1"/>
        </w:rPr>
        <w:t> This is a historical data infrastructure in itself. It uses its own APIs and connectors to ingest data from the control system layer (often via OPC UA) and store it in a time-series database. Tools like PI Vision or third-party tools like Power BI then connect to the PI System via its </w:t>
      </w:r>
      <w:r w:rsidRPr="00A717AD">
        <w:rPr>
          <w:rFonts w:ascii="Segoe UI" w:hAnsi="Segoe UI" w:cs="Segoe UI"/>
          <w:b/>
          <w:bCs/>
          <w:color w:val="000000" w:themeColor="text1"/>
        </w:rPr>
        <w:t>API</w:t>
      </w:r>
      <w:r w:rsidRPr="00A717AD">
        <w:rPr>
          <w:rFonts w:ascii="Segoe UI" w:hAnsi="Segoe UI" w:cs="Segoe UI"/>
          <w:color w:val="000000" w:themeColor="text1"/>
        </w:rPr>
        <w:t> to visualize the data.</w:t>
      </w:r>
    </w:p>
    <w:p w14:paraId="1F6B4351" w14:textId="77777777" w:rsidR="00A717AD" w:rsidRPr="00A717AD" w:rsidRDefault="00A717AD" w:rsidP="00A717AD">
      <w:pPr>
        <w:numPr>
          <w:ilvl w:val="0"/>
          <w:numId w:val="12"/>
        </w:numPr>
        <w:spacing w:after="60"/>
        <w:rPr>
          <w:rFonts w:ascii="Segoe UI" w:hAnsi="Segoe UI" w:cs="Segoe UI"/>
          <w:color w:val="000000" w:themeColor="text1"/>
        </w:rPr>
      </w:pPr>
      <w:r w:rsidRPr="00A717AD">
        <w:rPr>
          <w:rFonts w:ascii="Segoe UI" w:hAnsi="Segoe UI" w:cs="Segoe UI"/>
          <w:b/>
          <w:bCs/>
          <w:color w:val="000000" w:themeColor="text1"/>
        </w:rPr>
        <w:t>Citation for ERP and Analytics Integration:</w:t>
      </w:r>
    </w:p>
    <w:p w14:paraId="7102310C" w14:textId="77777777" w:rsidR="00A717AD" w:rsidRPr="00A717AD" w:rsidRDefault="00A717AD" w:rsidP="00A717AD">
      <w:pPr>
        <w:spacing w:before="100" w:beforeAutospacing="1" w:after="100" w:afterAutospacing="1"/>
        <w:ind w:left="720"/>
        <w:rPr>
          <w:rFonts w:ascii="Segoe UI" w:hAnsi="Segoe UI" w:cs="Segoe UI"/>
          <w:color w:val="000000" w:themeColor="text1"/>
        </w:rPr>
      </w:pPr>
      <w:r w:rsidRPr="00A717AD">
        <w:rPr>
          <w:rFonts w:ascii="Segoe UI" w:hAnsi="Segoe UI" w:cs="Segoe UI"/>
          <w:color w:val="000000" w:themeColor="text1"/>
        </w:rPr>
        <w:t>Barton, D., Court, D., &amp; de Smet, A. (2012). Making advanced analytics work for you. </w:t>
      </w:r>
      <w:r w:rsidRPr="00A717AD">
        <w:rPr>
          <w:rFonts w:ascii="Segoe UI" w:hAnsi="Segoe UI" w:cs="Segoe UI"/>
          <w:i/>
          <w:iCs/>
          <w:color w:val="000000" w:themeColor="text1"/>
        </w:rPr>
        <w:t>Harvard Business Review, 90</w:t>
      </w:r>
      <w:r w:rsidRPr="00A717AD">
        <w:rPr>
          <w:rFonts w:ascii="Segoe UI" w:hAnsi="Segoe UI" w:cs="Segoe UI"/>
          <w:color w:val="000000" w:themeColor="text1"/>
        </w:rPr>
        <w:t>(10), 78-83.</w:t>
      </w:r>
    </w:p>
    <w:p w14:paraId="7C208328" w14:textId="77777777" w:rsidR="00A717AD" w:rsidRPr="00A717AD" w:rsidRDefault="00A717AD" w:rsidP="00A717AD">
      <w:pPr>
        <w:spacing w:before="100" w:beforeAutospacing="1"/>
        <w:ind w:left="720"/>
        <w:rPr>
          <w:rFonts w:ascii="Segoe UI" w:hAnsi="Segoe UI" w:cs="Segoe UI"/>
          <w:color w:val="000000" w:themeColor="text1"/>
        </w:rPr>
      </w:pPr>
      <w:r w:rsidRPr="00A717AD">
        <w:rPr>
          <w:rFonts w:ascii="Segoe UI" w:hAnsi="Segoe UI" w:cs="Segoe UI"/>
          <w:i/>
          <w:iCs/>
          <w:color w:val="000000" w:themeColor="text1"/>
        </w:rPr>
        <w:lastRenderedPageBreak/>
        <w:t>While not oil-specific, this HBR article underscores the critical business need to integrate advanced analytics (from big data platforms) with core enterprise systems (like SAP) to drive decision-making, which is exactly the process you described.</w:t>
      </w:r>
    </w:p>
    <w:p w14:paraId="065481A8" w14:textId="77777777" w:rsidR="00A717AD" w:rsidRPr="00A717AD" w:rsidRDefault="00A717AD" w:rsidP="00A717AD">
      <w:pPr>
        <w:spacing w:before="100" w:beforeAutospacing="1" w:after="100" w:afterAutospacing="1"/>
        <w:outlineLvl w:val="2"/>
        <w:rPr>
          <w:rFonts w:ascii="Segoe UI" w:hAnsi="Segoe UI" w:cs="Segoe UI"/>
          <w:b/>
          <w:bCs/>
          <w:color w:val="000000" w:themeColor="text1"/>
          <w:sz w:val="27"/>
          <w:szCs w:val="27"/>
        </w:rPr>
      </w:pPr>
      <w:r w:rsidRPr="00A717AD">
        <w:rPr>
          <w:rFonts w:ascii="Segoe UI" w:hAnsi="Segoe UI" w:cs="Segoe UI"/>
          <w:b/>
          <w:bCs/>
          <w:color w:val="000000" w:themeColor="text1"/>
          <w:sz w:val="27"/>
          <w:szCs w:val="27"/>
        </w:rPr>
        <w:t>Summary Table of the "Languages"</w:t>
      </w:r>
    </w:p>
    <w:tbl>
      <w:tblPr>
        <w:tblW w:w="0" w:type="auto"/>
        <w:tblCellMar>
          <w:top w:w="15" w:type="dxa"/>
          <w:left w:w="15" w:type="dxa"/>
          <w:bottom w:w="15" w:type="dxa"/>
          <w:right w:w="15" w:type="dxa"/>
        </w:tblCellMar>
        <w:tblLook w:val="04A0" w:firstRow="1" w:lastRow="0" w:firstColumn="1" w:lastColumn="0" w:noHBand="0" w:noVBand="1"/>
      </w:tblPr>
      <w:tblGrid>
        <w:gridCol w:w="1837"/>
        <w:gridCol w:w="3913"/>
        <w:gridCol w:w="3610"/>
      </w:tblGrid>
      <w:tr w:rsidR="00A717AD" w:rsidRPr="00A717AD" w14:paraId="1C0C0A7F" w14:textId="77777777">
        <w:trPr>
          <w:tblHeader/>
        </w:trPr>
        <w:tc>
          <w:tcPr>
            <w:tcW w:w="0" w:type="auto"/>
            <w:tcBorders>
              <w:top w:val="nil"/>
            </w:tcBorders>
            <w:tcMar>
              <w:top w:w="150" w:type="dxa"/>
              <w:left w:w="0" w:type="dxa"/>
              <w:bottom w:w="150" w:type="dxa"/>
              <w:right w:w="150" w:type="dxa"/>
            </w:tcMar>
            <w:vAlign w:val="center"/>
            <w:hideMark/>
          </w:tcPr>
          <w:p w14:paraId="72FEC1B3" w14:textId="77777777" w:rsidR="00A717AD" w:rsidRPr="00A717AD" w:rsidRDefault="00A717AD" w:rsidP="00A717AD">
            <w:pPr>
              <w:rPr>
                <w:b/>
                <w:bCs/>
                <w:color w:val="000000" w:themeColor="text1"/>
                <w:sz w:val="23"/>
                <w:szCs w:val="23"/>
              </w:rPr>
            </w:pPr>
            <w:r w:rsidRPr="00A717AD">
              <w:rPr>
                <w:b/>
                <w:bCs/>
                <w:color w:val="000000" w:themeColor="text1"/>
                <w:sz w:val="23"/>
                <w:szCs w:val="23"/>
              </w:rPr>
              <w:t>Pipeline Stage</w:t>
            </w:r>
          </w:p>
        </w:tc>
        <w:tc>
          <w:tcPr>
            <w:tcW w:w="0" w:type="auto"/>
            <w:tcBorders>
              <w:top w:val="nil"/>
            </w:tcBorders>
            <w:tcMar>
              <w:top w:w="150" w:type="dxa"/>
              <w:left w:w="150" w:type="dxa"/>
              <w:bottom w:w="150" w:type="dxa"/>
              <w:right w:w="150" w:type="dxa"/>
            </w:tcMar>
            <w:vAlign w:val="center"/>
            <w:hideMark/>
          </w:tcPr>
          <w:p w14:paraId="3259EEA8" w14:textId="77777777" w:rsidR="00A717AD" w:rsidRPr="00A717AD" w:rsidRDefault="00A717AD" w:rsidP="00A717AD">
            <w:pPr>
              <w:rPr>
                <w:b/>
                <w:bCs/>
                <w:color w:val="000000" w:themeColor="text1"/>
                <w:sz w:val="23"/>
                <w:szCs w:val="23"/>
              </w:rPr>
            </w:pPr>
            <w:r w:rsidRPr="00A717AD">
              <w:rPr>
                <w:b/>
                <w:bCs/>
                <w:color w:val="000000" w:themeColor="text1"/>
                <w:sz w:val="23"/>
                <w:szCs w:val="23"/>
              </w:rPr>
              <w:t>Primary "Languages" &amp; Technologies</w:t>
            </w:r>
          </w:p>
        </w:tc>
        <w:tc>
          <w:tcPr>
            <w:tcW w:w="0" w:type="auto"/>
            <w:tcBorders>
              <w:top w:val="nil"/>
            </w:tcBorders>
            <w:tcMar>
              <w:top w:w="150" w:type="dxa"/>
              <w:left w:w="150" w:type="dxa"/>
              <w:bottom w:w="150" w:type="dxa"/>
              <w:right w:w="150" w:type="dxa"/>
            </w:tcMar>
            <w:vAlign w:val="center"/>
            <w:hideMark/>
          </w:tcPr>
          <w:p w14:paraId="3F257BD2" w14:textId="77777777" w:rsidR="00A717AD" w:rsidRPr="00A717AD" w:rsidRDefault="00A717AD" w:rsidP="00A717AD">
            <w:pPr>
              <w:rPr>
                <w:b/>
                <w:bCs/>
                <w:color w:val="000000" w:themeColor="text1"/>
                <w:sz w:val="23"/>
                <w:szCs w:val="23"/>
              </w:rPr>
            </w:pPr>
            <w:r w:rsidRPr="00A717AD">
              <w:rPr>
                <w:b/>
                <w:bCs/>
                <w:color w:val="000000" w:themeColor="text1"/>
                <w:sz w:val="23"/>
                <w:szCs w:val="23"/>
              </w:rPr>
              <w:t>Purpose</w:t>
            </w:r>
          </w:p>
        </w:tc>
      </w:tr>
      <w:tr w:rsidR="00A717AD" w:rsidRPr="00A717AD" w14:paraId="63BEAAC3" w14:textId="77777777">
        <w:tc>
          <w:tcPr>
            <w:tcW w:w="0" w:type="auto"/>
            <w:tcMar>
              <w:top w:w="150" w:type="dxa"/>
              <w:left w:w="0" w:type="dxa"/>
              <w:bottom w:w="150" w:type="dxa"/>
              <w:right w:w="150" w:type="dxa"/>
            </w:tcMar>
            <w:vAlign w:val="center"/>
            <w:hideMark/>
          </w:tcPr>
          <w:p w14:paraId="14FB707F" w14:textId="77777777" w:rsidR="00A717AD" w:rsidRPr="00A717AD" w:rsidRDefault="00A717AD" w:rsidP="00A717AD">
            <w:pPr>
              <w:rPr>
                <w:color w:val="000000" w:themeColor="text1"/>
                <w:sz w:val="23"/>
                <w:szCs w:val="23"/>
              </w:rPr>
            </w:pPr>
            <w:r w:rsidRPr="00A717AD">
              <w:rPr>
                <w:b/>
                <w:bCs/>
                <w:color w:val="000000" w:themeColor="text1"/>
                <w:sz w:val="23"/>
                <w:szCs w:val="23"/>
              </w:rPr>
              <w:t>Sensor/Control (OT)</w:t>
            </w:r>
          </w:p>
        </w:tc>
        <w:tc>
          <w:tcPr>
            <w:tcW w:w="0" w:type="auto"/>
            <w:tcMar>
              <w:top w:w="150" w:type="dxa"/>
              <w:left w:w="150" w:type="dxa"/>
              <w:bottom w:w="150" w:type="dxa"/>
              <w:right w:w="150" w:type="dxa"/>
            </w:tcMar>
            <w:vAlign w:val="center"/>
            <w:hideMark/>
          </w:tcPr>
          <w:p w14:paraId="0D17811F" w14:textId="77777777" w:rsidR="00A717AD" w:rsidRPr="00A717AD" w:rsidRDefault="00A717AD" w:rsidP="00A717AD">
            <w:pPr>
              <w:rPr>
                <w:color w:val="000000" w:themeColor="text1"/>
                <w:sz w:val="23"/>
                <w:szCs w:val="23"/>
              </w:rPr>
            </w:pPr>
            <w:r w:rsidRPr="00A717AD">
              <w:rPr>
                <w:color w:val="000000" w:themeColor="text1"/>
                <w:sz w:val="23"/>
                <w:szCs w:val="23"/>
              </w:rPr>
              <w:t>MODBUS, OPC UA, HART, PROFINET</w:t>
            </w:r>
          </w:p>
        </w:tc>
        <w:tc>
          <w:tcPr>
            <w:tcW w:w="0" w:type="auto"/>
            <w:tcMar>
              <w:top w:w="150" w:type="dxa"/>
              <w:left w:w="150" w:type="dxa"/>
              <w:bottom w:w="150" w:type="dxa"/>
              <w:right w:w="150" w:type="dxa"/>
            </w:tcMar>
            <w:vAlign w:val="center"/>
            <w:hideMark/>
          </w:tcPr>
          <w:p w14:paraId="59C13297" w14:textId="77777777" w:rsidR="00A717AD" w:rsidRPr="00A717AD" w:rsidRDefault="00A717AD" w:rsidP="00A717AD">
            <w:pPr>
              <w:rPr>
                <w:color w:val="000000" w:themeColor="text1"/>
                <w:sz w:val="23"/>
                <w:szCs w:val="23"/>
              </w:rPr>
            </w:pPr>
            <w:r w:rsidRPr="00A717AD">
              <w:rPr>
                <w:color w:val="000000" w:themeColor="text1"/>
                <w:sz w:val="23"/>
                <w:szCs w:val="23"/>
              </w:rPr>
              <w:t>Raw device-to-device communication and control</w:t>
            </w:r>
          </w:p>
        </w:tc>
      </w:tr>
      <w:tr w:rsidR="00A717AD" w:rsidRPr="00A717AD" w14:paraId="7B6086E7" w14:textId="77777777">
        <w:tc>
          <w:tcPr>
            <w:tcW w:w="0" w:type="auto"/>
            <w:tcMar>
              <w:top w:w="150" w:type="dxa"/>
              <w:left w:w="0" w:type="dxa"/>
              <w:bottom w:w="150" w:type="dxa"/>
              <w:right w:w="150" w:type="dxa"/>
            </w:tcMar>
            <w:vAlign w:val="center"/>
            <w:hideMark/>
          </w:tcPr>
          <w:p w14:paraId="24A9E7DD" w14:textId="77777777" w:rsidR="00A717AD" w:rsidRPr="00A717AD" w:rsidRDefault="00A717AD" w:rsidP="00A717AD">
            <w:pPr>
              <w:rPr>
                <w:color w:val="000000" w:themeColor="text1"/>
                <w:sz w:val="23"/>
                <w:szCs w:val="23"/>
              </w:rPr>
            </w:pPr>
            <w:r w:rsidRPr="00A717AD">
              <w:rPr>
                <w:b/>
                <w:bCs/>
                <w:color w:val="000000" w:themeColor="text1"/>
                <w:sz w:val="23"/>
                <w:szCs w:val="23"/>
              </w:rPr>
              <w:t>Data Ingestion</w:t>
            </w:r>
          </w:p>
        </w:tc>
        <w:tc>
          <w:tcPr>
            <w:tcW w:w="0" w:type="auto"/>
            <w:tcMar>
              <w:top w:w="150" w:type="dxa"/>
              <w:left w:w="150" w:type="dxa"/>
              <w:bottom w:w="150" w:type="dxa"/>
              <w:right w:w="150" w:type="dxa"/>
            </w:tcMar>
            <w:vAlign w:val="center"/>
            <w:hideMark/>
          </w:tcPr>
          <w:p w14:paraId="2530C7C7" w14:textId="77777777" w:rsidR="00A717AD" w:rsidRPr="00A717AD" w:rsidRDefault="00A717AD" w:rsidP="00A717AD">
            <w:pPr>
              <w:rPr>
                <w:color w:val="000000" w:themeColor="text1"/>
                <w:sz w:val="23"/>
                <w:szCs w:val="23"/>
              </w:rPr>
            </w:pPr>
            <w:r w:rsidRPr="00A717AD">
              <w:rPr>
                <w:color w:val="000000" w:themeColor="text1"/>
                <w:sz w:val="23"/>
                <w:szCs w:val="23"/>
              </w:rPr>
              <w:t>JSON, Avro, MQTT (as a transport)</w:t>
            </w:r>
          </w:p>
        </w:tc>
        <w:tc>
          <w:tcPr>
            <w:tcW w:w="0" w:type="auto"/>
            <w:tcMar>
              <w:top w:w="150" w:type="dxa"/>
              <w:left w:w="150" w:type="dxa"/>
              <w:bottom w:w="150" w:type="dxa"/>
              <w:right w:w="150" w:type="dxa"/>
            </w:tcMar>
            <w:vAlign w:val="center"/>
            <w:hideMark/>
          </w:tcPr>
          <w:p w14:paraId="5B6CE380" w14:textId="77777777" w:rsidR="00A717AD" w:rsidRPr="00A717AD" w:rsidRDefault="00A717AD" w:rsidP="00A717AD">
            <w:pPr>
              <w:rPr>
                <w:color w:val="000000" w:themeColor="text1"/>
                <w:sz w:val="23"/>
                <w:szCs w:val="23"/>
              </w:rPr>
            </w:pPr>
            <w:r w:rsidRPr="00A717AD">
              <w:rPr>
                <w:color w:val="000000" w:themeColor="text1"/>
                <w:sz w:val="23"/>
                <w:szCs w:val="23"/>
              </w:rPr>
              <w:t>Packaging and moving data from the edge to the IT network</w:t>
            </w:r>
          </w:p>
        </w:tc>
      </w:tr>
      <w:tr w:rsidR="00A717AD" w:rsidRPr="00A717AD" w14:paraId="7773A7E2" w14:textId="77777777">
        <w:tc>
          <w:tcPr>
            <w:tcW w:w="0" w:type="auto"/>
            <w:tcMar>
              <w:top w:w="150" w:type="dxa"/>
              <w:left w:w="0" w:type="dxa"/>
              <w:bottom w:w="150" w:type="dxa"/>
              <w:right w:w="150" w:type="dxa"/>
            </w:tcMar>
            <w:vAlign w:val="center"/>
            <w:hideMark/>
          </w:tcPr>
          <w:p w14:paraId="41245137" w14:textId="77777777" w:rsidR="00A717AD" w:rsidRPr="00A717AD" w:rsidRDefault="00A717AD" w:rsidP="00A717AD">
            <w:pPr>
              <w:rPr>
                <w:color w:val="000000" w:themeColor="text1"/>
                <w:sz w:val="23"/>
                <w:szCs w:val="23"/>
              </w:rPr>
            </w:pPr>
            <w:r w:rsidRPr="00A717AD">
              <w:rPr>
                <w:b/>
                <w:bCs/>
                <w:color w:val="000000" w:themeColor="text1"/>
                <w:sz w:val="23"/>
                <w:szCs w:val="23"/>
              </w:rPr>
              <w:t>Data Processing</w:t>
            </w:r>
          </w:p>
        </w:tc>
        <w:tc>
          <w:tcPr>
            <w:tcW w:w="0" w:type="auto"/>
            <w:tcMar>
              <w:top w:w="150" w:type="dxa"/>
              <w:left w:w="150" w:type="dxa"/>
              <w:bottom w:w="150" w:type="dxa"/>
              <w:right w:w="150" w:type="dxa"/>
            </w:tcMar>
            <w:vAlign w:val="center"/>
            <w:hideMark/>
          </w:tcPr>
          <w:p w14:paraId="294C8A37" w14:textId="77777777" w:rsidR="00A717AD" w:rsidRPr="00A717AD" w:rsidRDefault="00A717AD" w:rsidP="00A717AD">
            <w:pPr>
              <w:rPr>
                <w:color w:val="000000" w:themeColor="text1"/>
                <w:sz w:val="23"/>
                <w:szCs w:val="23"/>
              </w:rPr>
            </w:pPr>
            <w:r w:rsidRPr="00A717AD">
              <w:rPr>
                <w:b/>
                <w:bCs/>
                <w:color w:val="000000" w:themeColor="text1"/>
                <w:sz w:val="23"/>
                <w:szCs w:val="23"/>
              </w:rPr>
              <w:t>SQL</w:t>
            </w:r>
            <w:r w:rsidRPr="00A717AD">
              <w:rPr>
                <w:color w:val="000000" w:themeColor="text1"/>
                <w:sz w:val="23"/>
                <w:szCs w:val="23"/>
              </w:rPr>
              <w:t> (SparkSQL, HiveQL), </w:t>
            </w:r>
            <w:r w:rsidRPr="00A717AD">
              <w:rPr>
                <w:b/>
                <w:bCs/>
                <w:color w:val="000000" w:themeColor="text1"/>
                <w:sz w:val="23"/>
                <w:szCs w:val="23"/>
              </w:rPr>
              <w:t>Python</w:t>
            </w:r>
            <w:r w:rsidRPr="00A717AD">
              <w:rPr>
                <w:color w:val="000000" w:themeColor="text1"/>
                <w:sz w:val="23"/>
                <w:szCs w:val="23"/>
              </w:rPr>
              <w:t>, </w:t>
            </w:r>
            <w:r w:rsidRPr="00A717AD">
              <w:rPr>
                <w:b/>
                <w:bCs/>
                <w:color w:val="000000" w:themeColor="text1"/>
                <w:sz w:val="23"/>
                <w:szCs w:val="23"/>
              </w:rPr>
              <w:t>Scala</w:t>
            </w:r>
            <w:r w:rsidRPr="00A717AD">
              <w:rPr>
                <w:color w:val="000000" w:themeColor="text1"/>
                <w:sz w:val="23"/>
                <w:szCs w:val="23"/>
              </w:rPr>
              <w:t> (for Spark)</w:t>
            </w:r>
          </w:p>
        </w:tc>
        <w:tc>
          <w:tcPr>
            <w:tcW w:w="0" w:type="auto"/>
            <w:tcMar>
              <w:top w:w="150" w:type="dxa"/>
              <w:left w:w="150" w:type="dxa"/>
              <w:bottom w:w="150" w:type="dxa"/>
              <w:right w:w="150" w:type="dxa"/>
            </w:tcMar>
            <w:vAlign w:val="center"/>
            <w:hideMark/>
          </w:tcPr>
          <w:p w14:paraId="785F34A5" w14:textId="77777777" w:rsidR="00A717AD" w:rsidRPr="00A717AD" w:rsidRDefault="00A717AD" w:rsidP="00A717AD">
            <w:pPr>
              <w:rPr>
                <w:color w:val="000000" w:themeColor="text1"/>
                <w:sz w:val="23"/>
                <w:szCs w:val="23"/>
              </w:rPr>
            </w:pPr>
            <w:r w:rsidRPr="00A717AD">
              <w:rPr>
                <w:color w:val="000000" w:themeColor="text1"/>
                <w:sz w:val="23"/>
                <w:szCs w:val="23"/>
              </w:rPr>
              <w:t>Wrangling, cleansing, and aggregating massive volumes of sensor data</w:t>
            </w:r>
          </w:p>
        </w:tc>
      </w:tr>
      <w:tr w:rsidR="00A717AD" w:rsidRPr="00A717AD" w14:paraId="48B965F8" w14:textId="77777777">
        <w:tc>
          <w:tcPr>
            <w:tcW w:w="0" w:type="auto"/>
            <w:tcMar>
              <w:top w:w="150" w:type="dxa"/>
              <w:left w:w="0" w:type="dxa"/>
              <w:bottom w:w="150" w:type="dxa"/>
              <w:right w:w="150" w:type="dxa"/>
            </w:tcMar>
            <w:vAlign w:val="center"/>
            <w:hideMark/>
          </w:tcPr>
          <w:p w14:paraId="2AFC7261" w14:textId="77777777" w:rsidR="00A717AD" w:rsidRPr="00A717AD" w:rsidRDefault="00A717AD" w:rsidP="00A717AD">
            <w:pPr>
              <w:rPr>
                <w:color w:val="000000" w:themeColor="text1"/>
                <w:sz w:val="23"/>
                <w:szCs w:val="23"/>
              </w:rPr>
            </w:pPr>
            <w:r w:rsidRPr="00A717AD">
              <w:rPr>
                <w:b/>
                <w:bCs/>
                <w:color w:val="000000" w:themeColor="text1"/>
                <w:sz w:val="23"/>
                <w:szCs w:val="23"/>
              </w:rPr>
              <w:t>Enterprise (IT)</w:t>
            </w:r>
          </w:p>
        </w:tc>
        <w:tc>
          <w:tcPr>
            <w:tcW w:w="0" w:type="auto"/>
            <w:tcMar>
              <w:top w:w="150" w:type="dxa"/>
              <w:left w:w="150" w:type="dxa"/>
              <w:bottom w:w="150" w:type="dxa"/>
              <w:right w:w="150" w:type="dxa"/>
            </w:tcMar>
            <w:vAlign w:val="center"/>
            <w:hideMark/>
          </w:tcPr>
          <w:p w14:paraId="31BCAEA8" w14:textId="77777777" w:rsidR="00A717AD" w:rsidRPr="00A717AD" w:rsidRDefault="00A717AD" w:rsidP="00A717AD">
            <w:pPr>
              <w:rPr>
                <w:color w:val="000000" w:themeColor="text1"/>
                <w:sz w:val="23"/>
                <w:szCs w:val="23"/>
              </w:rPr>
            </w:pPr>
            <w:r w:rsidRPr="00A717AD">
              <w:rPr>
                <w:b/>
                <w:bCs/>
                <w:color w:val="000000" w:themeColor="text1"/>
                <w:sz w:val="23"/>
                <w:szCs w:val="23"/>
              </w:rPr>
              <w:t>REST APIs</w:t>
            </w:r>
            <w:r w:rsidRPr="00A717AD">
              <w:rPr>
                <w:color w:val="000000" w:themeColor="text1"/>
                <w:sz w:val="23"/>
                <w:szCs w:val="23"/>
              </w:rPr>
              <w:t>, </w:t>
            </w:r>
            <w:r w:rsidRPr="00A717AD">
              <w:rPr>
                <w:b/>
                <w:bCs/>
                <w:color w:val="000000" w:themeColor="text1"/>
                <w:sz w:val="23"/>
                <w:szCs w:val="23"/>
              </w:rPr>
              <w:t>JSON/XML</w:t>
            </w:r>
            <w:r w:rsidRPr="00A717AD">
              <w:rPr>
                <w:color w:val="000000" w:themeColor="text1"/>
                <w:sz w:val="23"/>
                <w:szCs w:val="23"/>
              </w:rPr>
              <w:t>, </w:t>
            </w:r>
            <w:r w:rsidRPr="00A717AD">
              <w:rPr>
                <w:b/>
                <w:bCs/>
                <w:color w:val="000000" w:themeColor="text1"/>
                <w:sz w:val="23"/>
                <w:szCs w:val="23"/>
              </w:rPr>
              <w:t>SQL</w:t>
            </w:r>
          </w:p>
        </w:tc>
        <w:tc>
          <w:tcPr>
            <w:tcW w:w="0" w:type="auto"/>
            <w:tcMar>
              <w:top w:w="150" w:type="dxa"/>
              <w:left w:w="150" w:type="dxa"/>
              <w:bottom w:w="150" w:type="dxa"/>
              <w:right w:w="150" w:type="dxa"/>
            </w:tcMar>
            <w:vAlign w:val="center"/>
            <w:hideMark/>
          </w:tcPr>
          <w:p w14:paraId="2E853E72" w14:textId="77777777" w:rsidR="00A717AD" w:rsidRPr="00A717AD" w:rsidRDefault="00A717AD" w:rsidP="00A717AD">
            <w:pPr>
              <w:rPr>
                <w:color w:val="000000" w:themeColor="text1"/>
                <w:sz w:val="23"/>
                <w:szCs w:val="23"/>
              </w:rPr>
            </w:pPr>
            <w:r w:rsidRPr="00A717AD">
              <w:rPr>
                <w:color w:val="000000" w:themeColor="text1"/>
                <w:sz w:val="23"/>
                <w:szCs w:val="23"/>
              </w:rPr>
              <w:t>Integrating processed data into business systems (SAP) and databases</w:t>
            </w:r>
          </w:p>
        </w:tc>
      </w:tr>
      <w:tr w:rsidR="00A717AD" w:rsidRPr="00A717AD" w14:paraId="365E907D" w14:textId="77777777">
        <w:tc>
          <w:tcPr>
            <w:tcW w:w="0" w:type="auto"/>
            <w:tcMar>
              <w:top w:w="150" w:type="dxa"/>
              <w:left w:w="0" w:type="dxa"/>
              <w:bottom w:w="150" w:type="dxa"/>
              <w:right w:w="150" w:type="dxa"/>
            </w:tcMar>
            <w:vAlign w:val="center"/>
            <w:hideMark/>
          </w:tcPr>
          <w:p w14:paraId="0B89AAAC" w14:textId="77777777" w:rsidR="00A717AD" w:rsidRPr="00A717AD" w:rsidRDefault="00A717AD" w:rsidP="00A717AD">
            <w:pPr>
              <w:rPr>
                <w:color w:val="000000" w:themeColor="text1"/>
                <w:sz w:val="23"/>
                <w:szCs w:val="23"/>
              </w:rPr>
            </w:pPr>
            <w:r w:rsidRPr="00A717AD">
              <w:rPr>
                <w:b/>
                <w:bCs/>
                <w:color w:val="000000" w:themeColor="text1"/>
                <w:sz w:val="23"/>
                <w:szCs w:val="23"/>
              </w:rPr>
              <w:t>Visualization</w:t>
            </w:r>
          </w:p>
        </w:tc>
        <w:tc>
          <w:tcPr>
            <w:tcW w:w="0" w:type="auto"/>
            <w:tcMar>
              <w:top w:w="150" w:type="dxa"/>
              <w:left w:w="150" w:type="dxa"/>
              <w:bottom w:w="150" w:type="dxa"/>
              <w:right w:w="150" w:type="dxa"/>
            </w:tcMar>
            <w:vAlign w:val="center"/>
            <w:hideMark/>
          </w:tcPr>
          <w:p w14:paraId="3B653837" w14:textId="77777777" w:rsidR="00A717AD" w:rsidRPr="00A717AD" w:rsidRDefault="00A717AD" w:rsidP="00A717AD">
            <w:pPr>
              <w:rPr>
                <w:color w:val="000000" w:themeColor="text1"/>
                <w:sz w:val="23"/>
                <w:szCs w:val="23"/>
              </w:rPr>
            </w:pPr>
            <w:r w:rsidRPr="00A717AD">
              <w:rPr>
                <w:b/>
                <w:bCs/>
                <w:color w:val="000000" w:themeColor="text1"/>
                <w:sz w:val="23"/>
                <w:szCs w:val="23"/>
              </w:rPr>
              <w:t>SQL</w:t>
            </w:r>
            <w:r w:rsidRPr="00A717AD">
              <w:rPr>
                <w:color w:val="000000" w:themeColor="text1"/>
                <w:sz w:val="23"/>
                <w:szCs w:val="23"/>
              </w:rPr>
              <w:t>, </w:t>
            </w:r>
            <w:r w:rsidRPr="00A717AD">
              <w:rPr>
                <w:b/>
                <w:bCs/>
                <w:color w:val="000000" w:themeColor="text1"/>
                <w:sz w:val="23"/>
                <w:szCs w:val="23"/>
              </w:rPr>
              <w:t>DAX</w:t>
            </w:r>
            <w:r w:rsidRPr="00A717AD">
              <w:rPr>
                <w:color w:val="000000" w:themeColor="text1"/>
                <w:sz w:val="23"/>
                <w:szCs w:val="23"/>
              </w:rPr>
              <w:t> (for Power BI), proprietary APIs (PI System)</w:t>
            </w:r>
          </w:p>
        </w:tc>
        <w:tc>
          <w:tcPr>
            <w:tcW w:w="0" w:type="auto"/>
            <w:tcMar>
              <w:top w:w="150" w:type="dxa"/>
              <w:left w:w="150" w:type="dxa"/>
              <w:bottom w:w="150" w:type="dxa"/>
              <w:right w:w="150" w:type="dxa"/>
            </w:tcMar>
            <w:vAlign w:val="center"/>
            <w:hideMark/>
          </w:tcPr>
          <w:p w14:paraId="352A6482" w14:textId="77777777" w:rsidR="00A717AD" w:rsidRPr="00A717AD" w:rsidRDefault="00A717AD" w:rsidP="00A717AD">
            <w:pPr>
              <w:rPr>
                <w:color w:val="000000" w:themeColor="text1"/>
                <w:sz w:val="23"/>
                <w:szCs w:val="23"/>
              </w:rPr>
            </w:pPr>
            <w:r w:rsidRPr="00A717AD">
              <w:rPr>
                <w:color w:val="000000" w:themeColor="text1"/>
                <w:sz w:val="23"/>
                <w:szCs w:val="23"/>
              </w:rPr>
              <w:t>Querying data to build and populate operational and business dashboards</w:t>
            </w:r>
          </w:p>
        </w:tc>
      </w:tr>
    </w:tbl>
    <w:p w14:paraId="64D9ED44" w14:textId="77777777" w:rsidR="00A717AD" w:rsidRPr="00A717AD" w:rsidRDefault="00A717AD" w:rsidP="00A717AD">
      <w:pPr>
        <w:spacing w:before="100" w:beforeAutospacing="1" w:after="100" w:afterAutospacing="1"/>
        <w:outlineLvl w:val="2"/>
        <w:rPr>
          <w:rFonts w:ascii="Segoe UI" w:hAnsi="Segoe UI" w:cs="Segoe UI"/>
          <w:b/>
          <w:bCs/>
          <w:color w:val="000000" w:themeColor="text1"/>
          <w:sz w:val="27"/>
          <w:szCs w:val="27"/>
        </w:rPr>
      </w:pPr>
      <w:r w:rsidRPr="00A717AD">
        <w:rPr>
          <w:rFonts w:ascii="Segoe UI" w:hAnsi="Segoe UI" w:cs="Segoe UI"/>
          <w:b/>
          <w:bCs/>
          <w:color w:val="000000" w:themeColor="text1"/>
          <w:sz w:val="27"/>
          <w:szCs w:val="27"/>
        </w:rPr>
        <w:t>References in APA Format</w:t>
      </w:r>
    </w:p>
    <w:p w14:paraId="17702C16" w14:textId="77777777" w:rsidR="00A717AD" w:rsidRPr="00A717AD" w:rsidRDefault="00A717AD" w:rsidP="00A717AD">
      <w:pPr>
        <w:numPr>
          <w:ilvl w:val="0"/>
          <w:numId w:val="13"/>
        </w:numPr>
        <w:rPr>
          <w:rFonts w:ascii="Segoe UI" w:hAnsi="Segoe UI" w:cs="Segoe UI"/>
          <w:color w:val="000000" w:themeColor="text1"/>
        </w:rPr>
      </w:pPr>
      <w:r w:rsidRPr="00A717AD">
        <w:rPr>
          <w:rFonts w:ascii="Segoe UI" w:hAnsi="Segoe UI" w:cs="Segoe UI"/>
          <w:color w:val="000000" w:themeColor="text1"/>
        </w:rPr>
        <w:t>Barton, D., Court, D., &amp; de Smet, A. (2012). Making advanced analytics work for you. </w:t>
      </w:r>
      <w:r w:rsidRPr="00A717AD">
        <w:rPr>
          <w:rFonts w:ascii="Segoe UI" w:hAnsi="Segoe UI" w:cs="Segoe UI"/>
          <w:i/>
          <w:iCs/>
          <w:color w:val="000000" w:themeColor="text1"/>
        </w:rPr>
        <w:t>Harvard Business Review, 90</w:t>
      </w:r>
      <w:r w:rsidRPr="00A717AD">
        <w:rPr>
          <w:rFonts w:ascii="Segoe UI" w:hAnsi="Segoe UI" w:cs="Segoe UI"/>
          <w:color w:val="000000" w:themeColor="text1"/>
        </w:rPr>
        <w:t>(10), 78-83.</w:t>
      </w:r>
    </w:p>
    <w:p w14:paraId="45580E6D" w14:textId="77777777" w:rsidR="00A717AD" w:rsidRPr="00A717AD" w:rsidRDefault="00A717AD" w:rsidP="00A717AD">
      <w:pPr>
        <w:numPr>
          <w:ilvl w:val="0"/>
          <w:numId w:val="13"/>
        </w:numPr>
        <w:rPr>
          <w:rFonts w:ascii="Segoe UI" w:hAnsi="Segoe UI" w:cs="Segoe UI"/>
          <w:color w:val="000000" w:themeColor="text1"/>
        </w:rPr>
      </w:pPr>
      <w:r w:rsidRPr="00A717AD">
        <w:rPr>
          <w:rFonts w:ascii="Segoe UI" w:hAnsi="Segoe UI" w:cs="Segoe UI"/>
          <w:color w:val="000000" w:themeColor="text1"/>
        </w:rPr>
        <w:t>Lockhart, H., &amp; Spivak, A. (2021). </w:t>
      </w:r>
      <w:r w:rsidRPr="00A717AD">
        <w:rPr>
          <w:rFonts w:ascii="Segoe UI" w:hAnsi="Segoe UI" w:cs="Segoe UI"/>
          <w:i/>
          <w:iCs/>
          <w:color w:val="000000" w:themeColor="text1"/>
        </w:rPr>
        <w:t>Data pipelines: Pocket reference</w:t>
      </w:r>
      <w:r w:rsidRPr="00A717AD">
        <w:rPr>
          <w:rFonts w:ascii="Segoe UI" w:hAnsi="Segoe UI" w:cs="Segoe UI"/>
          <w:color w:val="000000" w:themeColor="text1"/>
        </w:rPr>
        <w:t>. O'Reilly Media, Inc.</w:t>
      </w:r>
    </w:p>
    <w:p w14:paraId="5E2E3B8B" w14:textId="77777777" w:rsidR="00A717AD" w:rsidRPr="00A717AD" w:rsidRDefault="00A717AD" w:rsidP="00A717AD">
      <w:pPr>
        <w:numPr>
          <w:ilvl w:val="0"/>
          <w:numId w:val="13"/>
        </w:numPr>
        <w:rPr>
          <w:rFonts w:ascii="Segoe UI" w:hAnsi="Segoe UI" w:cs="Segoe UI"/>
          <w:color w:val="000000" w:themeColor="text1"/>
        </w:rPr>
      </w:pPr>
      <w:r w:rsidRPr="00A717AD">
        <w:rPr>
          <w:rFonts w:ascii="Segoe UI" w:hAnsi="Segoe UI" w:cs="Segoe UI"/>
          <w:color w:val="000000" w:themeColor="text1"/>
        </w:rPr>
        <w:t>Mahnke, W., Leitner, S., &amp; Damm, M. (2009). </w:t>
      </w:r>
      <w:r w:rsidRPr="00A717AD">
        <w:rPr>
          <w:rFonts w:ascii="Segoe UI" w:hAnsi="Segoe UI" w:cs="Segoe UI"/>
          <w:i/>
          <w:iCs/>
          <w:color w:val="000000" w:themeColor="text1"/>
        </w:rPr>
        <w:t>OPC unified architecture</w:t>
      </w:r>
      <w:r w:rsidRPr="00A717AD">
        <w:rPr>
          <w:rFonts w:ascii="Segoe UI" w:hAnsi="Segoe UI" w:cs="Segoe UI"/>
          <w:color w:val="000000" w:themeColor="text1"/>
        </w:rPr>
        <w:t>. Springer Science &amp; Business Media. </w:t>
      </w:r>
      <w:hyperlink r:id="rId12" w:tgtFrame="_blank" w:history="1">
        <w:r w:rsidRPr="00A717AD">
          <w:rPr>
            <w:rFonts w:ascii="Segoe UI" w:hAnsi="Segoe UI" w:cs="Segoe UI"/>
            <w:color w:val="000000" w:themeColor="text1"/>
            <w:u w:val="single"/>
          </w:rPr>
          <w:t>https://doi.org/10.1007/978-3-540-68899-0</w:t>
        </w:r>
      </w:hyperlink>
    </w:p>
    <w:p w14:paraId="2EAF3C6F" w14:textId="77777777" w:rsidR="00A717AD" w:rsidRPr="00A717AD" w:rsidRDefault="00A717AD" w:rsidP="00A717AD">
      <w:pPr>
        <w:numPr>
          <w:ilvl w:val="0"/>
          <w:numId w:val="13"/>
        </w:numPr>
        <w:rPr>
          <w:rFonts w:ascii="Segoe UI" w:hAnsi="Segoe UI" w:cs="Segoe UI"/>
          <w:color w:val="000000" w:themeColor="text1"/>
        </w:rPr>
      </w:pPr>
      <w:r w:rsidRPr="00A717AD">
        <w:rPr>
          <w:rFonts w:ascii="Segoe UI" w:hAnsi="Segoe UI" w:cs="Segoe UI"/>
          <w:color w:val="000000" w:themeColor="text1"/>
        </w:rPr>
        <w:t>Mohaghegh, S. D. (2017). </w:t>
      </w:r>
      <w:r w:rsidRPr="00A717AD">
        <w:rPr>
          <w:rFonts w:ascii="Segoe UI" w:hAnsi="Segoe UI" w:cs="Segoe UI"/>
          <w:i/>
          <w:iCs/>
          <w:color w:val="000000" w:themeColor="text1"/>
        </w:rPr>
        <w:t>Data analytics in the oil and gas industry: A comprehensive guide to using data</w:t>
      </w:r>
      <w:r w:rsidRPr="00A717AD">
        <w:rPr>
          <w:rFonts w:ascii="Segoe UI" w:hAnsi="Segoe UI" w:cs="Segoe UI"/>
          <w:color w:val="000000" w:themeColor="text1"/>
        </w:rPr>
        <w:t>. PennWell Books.</w:t>
      </w:r>
    </w:p>
    <w:p w14:paraId="77BB3415" w14:textId="77777777" w:rsidR="00A717AD" w:rsidRPr="00A717AD" w:rsidRDefault="00A717AD">
      <w:pPr>
        <w:rPr>
          <w:rFonts w:asciiTheme="majorBidi" w:hAnsiTheme="majorBidi" w:cstheme="majorBidi"/>
          <w:color w:val="000000" w:themeColor="text1"/>
        </w:rPr>
      </w:pPr>
    </w:p>
    <w:sectPr w:rsidR="00A717AD" w:rsidRPr="00A717A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var(--ds-font-family-code)">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4C54"/>
    <w:multiLevelType w:val="multilevel"/>
    <w:tmpl w:val="E5D48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40536"/>
    <w:multiLevelType w:val="multilevel"/>
    <w:tmpl w:val="55E46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AB45D1"/>
    <w:multiLevelType w:val="multilevel"/>
    <w:tmpl w:val="3FAE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056147"/>
    <w:multiLevelType w:val="multilevel"/>
    <w:tmpl w:val="6DE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892205"/>
    <w:multiLevelType w:val="multilevel"/>
    <w:tmpl w:val="7EE2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041453"/>
    <w:multiLevelType w:val="multilevel"/>
    <w:tmpl w:val="D6D8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170D6B"/>
    <w:multiLevelType w:val="multilevel"/>
    <w:tmpl w:val="04E4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CA4283"/>
    <w:multiLevelType w:val="multilevel"/>
    <w:tmpl w:val="C852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1C0ACB"/>
    <w:multiLevelType w:val="multilevel"/>
    <w:tmpl w:val="89F87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1F5EC5"/>
    <w:multiLevelType w:val="multilevel"/>
    <w:tmpl w:val="DF88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F33C16"/>
    <w:multiLevelType w:val="multilevel"/>
    <w:tmpl w:val="8ECE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770331"/>
    <w:multiLevelType w:val="multilevel"/>
    <w:tmpl w:val="2A82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C70399"/>
    <w:multiLevelType w:val="multilevel"/>
    <w:tmpl w:val="76120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1679110">
    <w:abstractNumId w:val="11"/>
  </w:num>
  <w:num w:numId="2" w16cid:durableId="2128233633">
    <w:abstractNumId w:val="4"/>
  </w:num>
  <w:num w:numId="3" w16cid:durableId="403334683">
    <w:abstractNumId w:val="2"/>
  </w:num>
  <w:num w:numId="4" w16cid:durableId="151220422">
    <w:abstractNumId w:val="9"/>
  </w:num>
  <w:num w:numId="5" w16cid:durableId="600916714">
    <w:abstractNumId w:val="5"/>
  </w:num>
  <w:num w:numId="6" w16cid:durableId="2110156678">
    <w:abstractNumId w:val="7"/>
  </w:num>
  <w:num w:numId="7" w16cid:durableId="1017972977">
    <w:abstractNumId w:val="6"/>
  </w:num>
  <w:num w:numId="8" w16cid:durableId="383216526">
    <w:abstractNumId w:val="8"/>
  </w:num>
  <w:num w:numId="9" w16cid:durableId="1351830670">
    <w:abstractNumId w:val="12"/>
  </w:num>
  <w:num w:numId="10" w16cid:durableId="1812206647">
    <w:abstractNumId w:val="1"/>
  </w:num>
  <w:num w:numId="11" w16cid:durableId="783111326">
    <w:abstractNumId w:val="3"/>
  </w:num>
  <w:num w:numId="12" w16cid:durableId="1363359246">
    <w:abstractNumId w:val="0"/>
  </w:num>
  <w:num w:numId="13" w16cid:durableId="19037145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1C6"/>
    <w:rsid w:val="00405C62"/>
    <w:rsid w:val="00423221"/>
    <w:rsid w:val="005121C6"/>
    <w:rsid w:val="00791F6E"/>
    <w:rsid w:val="00A717AD"/>
    <w:rsid w:val="00A9304E"/>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8594C"/>
  <w15:chartTrackingRefBased/>
  <w15:docId w15:val="{28ED0338-BA8C-3A4D-829F-C6BEE671D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7A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121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21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21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121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21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21C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1C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1C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1C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1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21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21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121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21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21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1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1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1C6"/>
    <w:rPr>
      <w:rFonts w:eastAsiaTheme="majorEastAsia" w:cstheme="majorBidi"/>
      <w:color w:val="272727" w:themeColor="text1" w:themeTint="D8"/>
    </w:rPr>
  </w:style>
  <w:style w:type="paragraph" w:styleId="Title">
    <w:name w:val="Title"/>
    <w:basedOn w:val="Normal"/>
    <w:next w:val="Normal"/>
    <w:link w:val="TitleChar"/>
    <w:uiPriority w:val="10"/>
    <w:qFormat/>
    <w:rsid w:val="005121C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1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1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1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1C6"/>
    <w:pPr>
      <w:spacing w:before="160"/>
      <w:jc w:val="center"/>
    </w:pPr>
    <w:rPr>
      <w:i/>
      <w:iCs/>
      <w:color w:val="404040" w:themeColor="text1" w:themeTint="BF"/>
    </w:rPr>
  </w:style>
  <w:style w:type="character" w:customStyle="1" w:styleId="QuoteChar">
    <w:name w:val="Quote Char"/>
    <w:basedOn w:val="DefaultParagraphFont"/>
    <w:link w:val="Quote"/>
    <w:uiPriority w:val="29"/>
    <w:rsid w:val="005121C6"/>
    <w:rPr>
      <w:i/>
      <w:iCs/>
      <w:color w:val="404040" w:themeColor="text1" w:themeTint="BF"/>
    </w:rPr>
  </w:style>
  <w:style w:type="paragraph" w:styleId="ListParagraph">
    <w:name w:val="List Paragraph"/>
    <w:basedOn w:val="Normal"/>
    <w:uiPriority w:val="34"/>
    <w:qFormat/>
    <w:rsid w:val="005121C6"/>
    <w:pPr>
      <w:ind w:left="720"/>
      <w:contextualSpacing/>
    </w:pPr>
  </w:style>
  <w:style w:type="character" w:styleId="IntenseEmphasis">
    <w:name w:val="Intense Emphasis"/>
    <w:basedOn w:val="DefaultParagraphFont"/>
    <w:uiPriority w:val="21"/>
    <w:qFormat/>
    <w:rsid w:val="005121C6"/>
    <w:rPr>
      <w:i/>
      <w:iCs/>
      <w:color w:val="0F4761" w:themeColor="accent1" w:themeShade="BF"/>
    </w:rPr>
  </w:style>
  <w:style w:type="paragraph" w:styleId="IntenseQuote">
    <w:name w:val="Intense Quote"/>
    <w:basedOn w:val="Normal"/>
    <w:next w:val="Normal"/>
    <w:link w:val="IntenseQuoteChar"/>
    <w:uiPriority w:val="30"/>
    <w:qFormat/>
    <w:rsid w:val="005121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1C6"/>
    <w:rPr>
      <w:i/>
      <w:iCs/>
      <w:color w:val="0F4761" w:themeColor="accent1" w:themeShade="BF"/>
    </w:rPr>
  </w:style>
  <w:style w:type="character" w:styleId="IntenseReference">
    <w:name w:val="Intense Reference"/>
    <w:basedOn w:val="DefaultParagraphFont"/>
    <w:uiPriority w:val="32"/>
    <w:qFormat/>
    <w:rsid w:val="005121C6"/>
    <w:rPr>
      <w:b/>
      <w:bCs/>
      <w:smallCaps/>
      <w:color w:val="0F4761" w:themeColor="accent1" w:themeShade="BF"/>
      <w:spacing w:val="5"/>
    </w:rPr>
  </w:style>
  <w:style w:type="paragraph" w:customStyle="1" w:styleId="ds-markdown-paragraph">
    <w:name w:val="ds-markdown-paragraph"/>
    <w:basedOn w:val="Normal"/>
    <w:rsid w:val="005121C6"/>
    <w:pPr>
      <w:spacing w:before="100" w:beforeAutospacing="1" w:after="100" w:afterAutospacing="1"/>
    </w:pPr>
  </w:style>
  <w:style w:type="character" w:customStyle="1" w:styleId="apple-converted-space">
    <w:name w:val="apple-converted-space"/>
    <w:basedOn w:val="DefaultParagraphFont"/>
    <w:rsid w:val="005121C6"/>
  </w:style>
  <w:style w:type="character" w:styleId="Strong">
    <w:name w:val="Strong"/>
    <w:basedOn w:val="DefaultParagraphFont"/>
    <w:uiPriority w:val="22"/>
    <w:qFormat/>
    <w:rsid w:val="005121C6"/>
    <w:rPr>
      <w:b/>
      <w:bCs/>
    </w:rPr>
  </w:style>
  <w:style w:type="character" w:styleId="Emphasis">
    <w:name w:val="Emphasis"/>
    <w:basedOn w:val="DefaultParagraphFont"/>
    <w:uiPriority w:val="20"/>
    <w:qFormat/>
    <w:rsid w:val="005121C6"/>
    <w:rPr>
      <w:i/>
      <w:iCs/>
    </w:rPr>
  </w:style>
  <w:style w:type="character" w:styleId="Hyperlink">
    <w:name w:val="Hyperlink"/>
    <w:basedOn w:val="DefaultParagraphFont"/>
    <w:uiPriority w:val="99"/>
    <w:semiHidden/>
    <w:unhideWhenUsed/>
    <w:rsid w:val="005121C6"/>
    <w:rPr>
      <w:color w:val="0000FF"/>
      <w:u w:val="single"/>
    </w:rPr>
  </w:style>
  <w:style w:type="character" w:styleId="HTMLCode">
    <w:name w:val="HTML Code"/>
    <w:basedOn w:val="DefaultParagraphFont"/>
    <w:uiPriority w:val="99"/>
    <w:semiHidden/>
    <w:unhideWhenUsed/>
    <w:rsid w:val="00A717A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118/191537-M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2118/1119-0038-JPT" TargetMode="External"/><Relationship Id="rId12" Type="http://schemas.openxmlformats.org/officeDocument/2006/relationships/hyperlink" Target="https://doi.org/10.1007/978-3-540-68899-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2118/191537-MS" TargetMode="External"/><Relationship Id="rId11" Type="http://schemas.openxmlformats.org/officeDocument/2006/relationships/hyperlink" Target="https://doi.org/10.1007/978-3-540-68899-0" TargetMode="External"/><Relationship Id="rId5" Type="http://schemas.openxmlformats.org/officeDocument/2006/relationships/hyperlink" Target="https://doi.org/10.1016/j.egyr.2021.03.021" TargetMode="External"/><Relationship Id="rId10" Type="http://schemas.openxmlformats.org/officeDocument/2006/relationships/hyperlink" Target="https://doi.org/10.1016/j.egyr.2021.03.021" TargetMode="External"/><Relationship Id="rId4" Type="http://schemas.openxmlformats.org/officeDocument/2006/relationships/webSettings" Target="webSettings.xml"/><Relationship Id="rId9" Type="http://schemas.openxmlformats.org/officeDocument/2006/relationships/hyperlink" Target="https://doi.org/10.2118/1119-0038-JP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1099</TotalTime>
  <Pages>7</Pages>
  <Words>2002</Words>
  <Characters>11415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Mouawad, Meshaal</dc:creator>
  <cp:keywords/>
  <dc:description/>
  <cp:lastModifiedBy>Mouawad, Meshaal</cp:lastModifiedBy>
  <cp:revision>2</cp:revision>
  <dcterms:created xsi:type="dcterms:W3CDTF">2025-09-01T08:19:00Z</dcterms:created>
  <dcterms:modified xsi:type="dcterms:W3CDTF">2025-09-04T15:03:00Z</dcterms:modified>
</cp:coreProperties>
</file>