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26FE70" w14:textId="6294A788" w:rsidR="00F117EA" w:rsidRDefault="001F4FF2" w:rsidP="000C1028">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Human capital theory </w:t>
      </w:r>
      <w:r w:rsidR="009E3CCA">
        <w:rPr>
          <w:rFonts w:ascii="Times New Roman" w:hAnsi="Times New Roman" w:cs="Times New Roman"/>
          <w:sz w:val="24"/>
          <w:szCs w:val="24"/>
        </w:rPr>
        <w:t>in a broad sense encompasses the central idea that human capital and thus labor output varies across individuals due to some underlying characteristics.</w:t>
      </w:r>
      <w:r w:rsidR="00C61A97">
        <w:rPr>
          <w:rFonts w:ascii="Times New Roman" w:hAnsi="Times New Roman" w:cs="Times New Roman"/>
          <w:sz w:val="24"/>
          <w:szCs w:val="24"/>
        </w:rPr>
        <w:t xml:space="preserve"> These intangible characteristics include skills, training, ability, formal education, and other that impact economic productivity and with that the earnings of an individual. Some of the mentioned characteristics fall into the internal locus of control </w:t>
      </w:r>
      <w:r w:rsidR="00A16884">
        <w:rPr>
          <w:rFonts w:ascii="Times New Roman" w:hAnsi="Times New Roman" w:cs="Times New Roman"/>
          <w:sz w:val="24"/>
          <w:szCs w:val="24"/>
        </w:rPr>
        <w:t xml:space="preserve">for an individual </w:t>
      </w:r>
      <w:r w:rsidR="00C61A97">
        <w:rPr>
          <w:rFonts w:ascii="Times New Roman" w:hAnsi="Times New Roman" w:cs="Times New Roman"/>
          <w:sz w:val="24"/>
          <w:szCs w:val="24"/>
        </w:rPr>
        <w:t xml:space="preserve">which </w:t>
      </w:r>
      <w:r w:rsidR="00A16884">
        <w:rPr>
          <w:rFonts w:ascii="Times New Roman" w:hAnsi="Times New Roman" w:cs="Times New Roman"/>
          <w:sz w:val="24"/>
          <w:szCs w:val="24"/>
        </w:rPr>
        <w:t xml:space="preserve">then </w:t>
      </w:r>
      <w:r w:rsidR="00C61A97">
        <w:rPr>
          <w:rFonts w:ascii="Times New Roman" w:hAnsi="Times New Roman" w:cs="Times New Roman"/>
          <w:sz w:val="24"/>
          <w:szCs w:val="24"/>
        </w:rPr>
        <w:t xml:space="preserve">implies </w:t>
      </w:r>
      <w:r w:rsidR="00A16884">
        <w:rPr>
          <w:rFonts w:ascii="Times New Roman" w:hAnsi="Times New Roman" w:cs="Times New Roman"/>
          <w:sz w:val="24"/>
          <w:szCs w:val="24"/>
        </w:rPr>
        <w:t xml:space="preserve">the possibility, along with the implied incentive, of both the individual and the </w:t>
      </w:r>
      <w:r w:rsidR="006345F7">
        <w:rPr>
          <w:rFonts w:ascii="Times New Roman" w:hAnsi="Times New Roman" w:cs="Times New Roman"/>
          <w:sz w:val="24"/>
          <w:szCs w:val="24"/>
        </w:rPr>
        <w:t>environment (state, employer) to treat the controllable factors as a form of long</w:t>
      </w:r>
      <w:r w:rsidR="00F70B84">
        <w:rPr>
          <w:rFonts w:ascii="Times New Roman" w:hAnsi="Times New Roman" w:cs="Times New Roman"/>
          <w:sz w:val="24"/>
          <w:szCs w:val="24"/>
        </w:rPr>
        <w:t>-</w:t>
      </w:r>
      <w:r w:rsidR="006345F7">
        <w:rPr>
          <w:rFonts w:ascii="Times New Roman" w:hAnsi="Times New Roman" w:cs="Times New Roman"/>
          <w:sz w:val="24"/>
          <w:szCs w:val="24"/>
        </w:rPr>
        <w:t>term investments.</w:t>
      </w:r>
      <w:r w:rsidR="009E1A3D">
        <w:rPr>
          <w:rFonts w:ascii="Times New Roman" w:hAnsi="Times New Roman" w:cs="Times New Roman"/>
          <w:sz w:val="24"/>
          <w:szCs w:val="24"/>
        </w:rPr>
        <w:t xml:space="preserve"> In that regard, the focal point of this research is going to be a relationship between </w:t>
      </w:r>
      <w:r w:rsidR="009E1A3D" w:rsidRPr="009E1A3D">
        <w:rPr>
          <w:rFonts w:ascii="Times New Roman" w:hAnsi="Times New Roman" w:cs="Times New Roman"/>
          <w:i/>
          <w:iCs/>
          <w:sz w:val="24"/>
          <w:szCs w:val="24"/>
        </w:rPr>
        <w:t>education</w:t>
      </w:r>
      <w:r w:rsidR="009E1A3D">
        <w:rPr>
          <w:rFonts w:ascii="Times New Roman" w:hAnsi="Times New Roman" w:cs="Times New Roman"/>
          <w:sz w:val="24"/>
          <w:szCs w:val="24"/>
        </w:rPr>
        <w:t xml:space="preserve"> and the returns on it in the form of future </w:t>
      </w:r>
      <w:r w:rsidR="009E1A3D" w:rsidRPr="00287AF3">
        <w:rPr>
          <w:rFonts w:ascii="Times New Roman" w:hAnsi="Times New Roman" w:cs="Times New Roman"/>
          <w:i/>
          <w:iCs/>
          <w:sz w:val="24"/>
          <w:szCs w:val="24"/>
        </w:rPr>
        <w:t>wages</w:t>
      </w:r>
      <w:r w:rsidR="009E1A3D">
        <w:rPr>
          <w:rFonts w:ascii="Times New Roman" w:hAnsi="Times New Roman" w:cs="Times New Roman"/>
          <w:sz w:val="24"/>
          <w:szCs w:val="24"/>
        </w:rPr>
        <w:t>.</w:t>
      </w:r>
    </w:p>
    <w:p w14:paraId="7BE54F9A" w14:textId="77777777" w:rsidR="00472AFF" w:rsidRDefault="00BA6F4D" w:rsidP="000C1028">
      <w:pPr>
        <w:spacing w:line="480" w:lineRule="auto"/>
        <w:rPr>
          <w:rFonts w:ascii="Times New Roman" w:hAnsi="Times New Roman" w:cs="Times New Roman"/>
          <w:sz w:val="24"/>
          <w:szCs w:val="24"/>
        </w:rPr>
      </w:pPr>
      <w:r>
        <w:rPr>
          <w:rFonts w:ascii="Times New Roman" w:hAnsi="Times New Roman" w:cs="Times New Roman"/>
          <w:sz w:val="24"/>
          <w:szCs w:val="24"/>
        </w:rPr>
        <w:tab/>
      </w:r>
      <w:r w:rsidR="004E32BC">
        <w:rPr>
          <w:rFonts w:ascii="Times New Roman" w:hAnsi="Times New Roman" w:cs="Times New Roman"/>
          <w:sz w:val="24"/>
          <w:szCs w:val="24"/>
        </w:rPr>
        <w:t>This relationship is among the “most robust findings in social science” (</w:t>
      </w:r>
      <w:r w:rsidR="004E32BC">
        <w:rPr>
          <w:rStyle w:val="FootnoteReference"/>
          <w:rFonts w:ascii="Times New Roman" w:hAnsi="Times New Roman" w:cs="Times New Roman"/>
          <w:sz w:val="24"/>
          <w:szCs w:val="24"/>
        </w:rPr>
        <w:footnoteReference w:id="1"/>
      </w:r>
      <w:r w:rsidR="004E32BC">
        <w:rPr>
          <w:rFonts w:ascii="Times New Roman" w:hAnsi="Times New Roman" w:cs="Times New Roman"/>
          <w:sz w:val="24"/>
          <w:szCs w:val="24"/>
        </w:rPr>
        <w:t>)</w:t>
      </w:r>
      <w:r w:rsidR="00C55AAC">
        <w:rPr>
          <w:rFonts w:ascii="Times New Roman" w:hAnsi="Times New Roman" w:cs="Times New Roman"/>
          <w:sz w:val="24"/>
          <w:szCs w:val="24"/>
        </w:rPr>
        <w:t>.</w:t>
      </w:r>
      <w:r w:rsidR="005A2C68">
        <w:rPr>
          <w:rFonts w:ascii="Times New Roman" w:hAnsi="Times New Roman" w:cs="Times New Roman"/>
          <w:sz w:val="24"/>
          <w:szCs w:val="24"/>
        </w:rPr>
        <w:t xml:space="preserve"> </w:t>
      </w:r>
      <w:r w:rsidR="00254FA5">
        <w:rPr>
          <w:rFonts w:ascii="Times New Roman" w:hAnsi="Times New Roman" w:cs="Times New Roman"/>
          <w:sz w:val="24"/>
          <w:szCs w:val="24"/>
        </w:rPr>
        <w:t>This is not surprising when we take into account the explosive expansion of the field of human capital since the nineties of the past century (</w:t>
      </w:r>
      <w:r w:rsidR="00254FA5">
        <w:rPr>
          <w:rStyle w:val="FootnoteReference"/>
          <w:rFonts w:ascii="Times New Roman" w:hAnsi="Times New Roman" w:cs="Times New Roman"/>
          <w:sz w:val="24"/>
          <w:szCs w:val="24"/>
        </w:rPr>
        <w:footnoteReference w:id="2"/>
      </w:r>
      <w:r w:rsidR="00254FA5">
        <w:rPr>
          <w:rFonts w:ascii="Times New Roman" w:hAnsi="Times New Roman" w:cs="Times New Roman"/>
          <w:sz w:val="24"/>
          <w:szCs w:val="24"/>
        </w:rPr>
        <w:t>). Consequently, the expansion</w:t>
      </w:r>
      <w:r w:rsidR="00587821">
        <w:rPr>
          <w:rFonts w:ascii="Times New Roman" w:hAnsi="Times New Roman" w:cs="Times New Roman"/>
          <w:sz w:val="24"/>
          <w:szCs w:val="24"/>
        </w:rPr>
        <w:t xml:space="preserve"> of research</w:t>
      </w:r>
      <w:r w:rsidR="00254FA5">
        <w:rPr>
          <w:rFonts w:ascii="Times New Roman" w:hAnsi="Times New Roman" w:cs="Times New Roman"/>
          <w:sz w:val="24"/>
          <w:szCs w:val="24"/>
        </w:rPr>
        <w:t xml:space="preserve"> itself </w:t>
      </w:r>
      <w:r w:rsidR="00587821">
        <w:rPr>
          <w:rFonts w:ascii="Times New Roman" w:hAnsi="Times New Roman" w:cs="Times New Roman"/>
          <w:sz w:val="24"/>
          <w:szCs w:val="24"/>
        </w:rPr>
        <w:t xml:space="preserve">on this topic </w:t>
      </w:r>
      <w:r w:rsidR="00254FA5">
        <w:rPr>
          <w:rFonts w:ascii="Times New Roman" w:hAnsi="Times New Roman" w:cs="Times New Roman"/>
          <w:sz w:val="24"/>
          <w:szCs w:val="24"/>
        </w:rPr>
        <w:t xml:space="preserve">is </w:t>
      </w:r>
      <w:r w:rsidR="00587821">
        <w:rPr>
          <w:rFonts w:ascii="Times New Roman" w:hAnsi="Times New Roman" w:cs="Times New Roman"/>
          <w:sz w:val="24"/>
          <w:szCs w:val="24"/>
        </w:rPr>
        <w:t>hardly</w:t>
      </w:r>
      <w:r w:rsidR="00254FA5">
        <w:rPr>
          <w:rFonts w:ascii="Times New Roman" w:hAnsi="Times New Roman" w:cs="Times New Roman"/>
          <w:sz w:val="24"/>
          <w:szCs w:val="24"/>
        </w:rPr>
        <w:t xml:space="preserve"> surprising</w:t>
      </w:r>
      <w:r w:rsidR="00587821">
        <w:rPr>
          <w:rFonts w:ascii="Times New Roman" w:hAnsi="Times New Roman" w:cs="Times New Roman"/>
          <w:sz w:val="24"/>
          <w:szCs w:val="24"/>
        </w:rPr>
        <w:t>,</w:t>
      </w:r>
      <w:r w:rsidR="00254FA5">
        <w:rPr>
          <w:rFonts w:ascii="Times New Roman" w:hAnsi="Times New Roman" w:cs="Times New Roman"/>
          <w:sz w:val="24"/>
          <w:szCs w:val="24"/>
        </w:rPr>
        <w:t xml:space="preserve"> </w:t>
      </w:r>
      <w:r w:rsidR="00587821">
        <w:rPr>
          <w:rFonts w:ascii="Times New Roman" w:hAnsi="Times New Roman" w:cs="Times New Roman"/>
          <w:sz w:val="24"/>
          <w:szCs w:val="24"/>
        </w:rPr>
        <w:t>when the observed increase in education of the world population has skyrocketed since the 1950s</w:t>
      </w:r>
      <w:r w:rsidR="004301CC">
        <w:rPr>
          <w:rFonts w:ascii="Times New Roman" w:hAnsi="Times New Roman" w:cs="Times New Roman"/>
          <w:sz w:val="24"/>
          <w:szCs w:val="24"/>
        </w:rPr>
        <w:t xml:space="preserve">; the </w:t>
      </w:r>
      <w:r w:rsidR="00CB6CDF">
        <w:rPr>
          <w:rFonts w:ascii="Times New Roman" w:hAnsi="Times New Roman" w:cs="Times New Roman"/>
          <w:sz w:val="24"/>
          <w:szCs w:val="24"/>
        </w:rPr>
        <w:t>proportion</w:t>
      </w:r>
      <w:r w:rsidR="004301CC">
        <w:rPr>
          <w:rFonts w:ascii="Times New Roman" w:hAnsi="Times New Roman" w:cs="Times New Roman"/>
          <w:sz w:val="24"/>
          <w:szCs w:val="24"/>
        </w:rPr>
        <w:t xml:space="preserve"> of </w:t>
      </w:r>
      <w:r w:rsidR="00CB6CDF">
        <w:rPr>
          <w:rFonts w:ascii="Times New Roman" w:hAnsi="Times New Roman" w:cs="Times New Roman"/>
          <w:sz w:val="24"/>
          <w:szCs w:val="24"/>
        </w:rPr>
        <w:t xml:space="preserve">those with </w:t>
      </w:r>
      <w:r w:rsidR="004301CC">
        <w:rPr>
          <w:rFonts w:ascii="Times New Roman" w:hAnsi="Times New Roman" w:cs="Times New Roman"/>
          <w:sz w:val="24"/>
          <w:szCs w:val="24"/>
        </w:rPr>
        <w:t xml:space="preserve">secondary education went from 13% to 51%, </w:t>
      </w:r>
      <w:r w:rsidR="0039345E">
        <w:rPr>
          <w:rFonts w:ascii="Times New Roman" w:hAnsi="Times New Roman" w:cs="Times New Roman"/>
          <w:sz w:val="24"/>
          <w:szCs w:val="24"/>
        </w:rPr>
        <w:t>and for</w:t>
      </w:r>
      <w:r w:rsidR="004301CC">
        <w:rPr>
          <w:rFonts w:ascii="Times New Roman" w:hAnsi="Times New Roman" w:cs="Times New Roman"/>
          <w:sz w:val="24"/>
          <w:szCs w:val="24"/>
        </w:rPr>
        <w:t xml:space="preserve"> those with </w:t>
      </w:r>
      <w:r w:rsidR="0039345E">
        <w:rPr>
          <w:rFonts w:ascii="Times New Roman" w:hAnsi="Times New Roman" w:cs="Times New Roman"/>
          <w:sz w:val="24"/>
          <w:szCs w:val="24"/>
        </w:rPr>
        <w:t>tertiary 2.2% to 14.6% (</w:t>
      </w:r>
      <w:r w:rsidR="0039345E">
        <w:rPr>
          <w:rStyle w:val="FootnoteReference"/>
          <w:rFonts w:ascii="Times New Roman" w:hAnsi="Times New Roman" w:cs="Times New Roman"/>
          <w:sz w:val="24"/>
          <w:szCs w:val="24"/>
        </w:rPr>
        <w:footnoteReference w:id="3"/>
      </w:r>
      <w:r w:rsidR="0039345E">
        <w:rPr>
          <w:rFonts w:ascii="Times New Roman" w:hAnsi="Times New Roman" w:cs="Times New Roman"/>
          <w:sz w:val="24"/>
          <w:szCs w:val="24"/>
        </w:rPr>
        <w:t>).</w:t>
      </w:r>
      <w:r w:rsidR="001564FD">
        <w:rPr>
          <w:rFonts w:ascii="Times New Roman" w:hAnsi="Times New Roman" w:cs="Times New Roman"/>
          <w:sz w:val="24"/>
          <w:szCs w:val="24"/>
        </w:rPr>
        <w:t xml:space="preserve"> </w:t>
      </w:r>
      <w:r w:rsidR="009728F6">
        <w:rPr>
          <w:rFonts w:ascii="Times New Roman" w:hAnsi="Times New Roman" w:cs="Times New Roman"/>
          <w:sz w:val="24"/>
          <w:szCs w:val="24"/>
        </w:rPr>
        <w:t>In the same manner public spending on education around the world has increased with a slightly steeper upsu</w:t>
      </w:r>
      <w:r w:rsidR="00F26C6D">
        <w:rPr>
          <w:rFonts w:ascii="Times New Roman" w:hAnsi="Times New Roman" w:cs="Times New Roman"/>
          <w:sz w:val="24"/>
          <w:szCs w:val="24"/>
        </w:rPr>
        <w:t>rge in developed countries (</w:t>
      </w:r>
      <w:r w:rsidR="00F26C6D">
        <w:rPr>
          <w:rStyle w:val="FootnoteReference"/>
          <w:rFonts w:ascii="Times New Roman" w:hAnsi="Times New Roman" w:cs="Times New Roman"/>
          <w:sz w:val="24"/>
          <w:szCs w:val="24"/>
        </w:rPr>
        <w:footnoteReference w:id="4"/>
      </w:r>
      <w:r w:rsidR="00BF6C22">
        <w:rPr>
          <w:rFonts w:ascii="Times New Roman" w:hAnsi="Times New Roman" w:cs="Times New Roman"/>
          <w:sz w:val="24"/>
          <w:szCs w:val="24"/>
        </w:rPr>
        <w:t>).</w:t>
      </w:r>
    </w:p>
    <w:p w14:paraId="0C39FB45" w14:textId="79BC7BAF" w:rsidR="00BA6F4D" w:rsidRDefault="00B61319" w:rsidP="00472AFF">
      <w:pPr>
        <w:spacing w:line="480" w:lineRule="auto"/>
        <w:ind w:firstLine="720"/>
        <w:rPr>
          <w:rFonts w:ascii="Times New Roman" w:hAnsi="Times New Roman" w:cs="Times New Roman"/>
          <w:sz w:val="24"/>
          <w:szCs w:val="24"/>
        </w:rPr>
      </w:pPr>
      <w:r>
        <w:rPr>
          <w:rFonts w:ascii="Times New Roman" w:hAnsi="Times New Roman" w:cs="Times New Roman"/>
          <w:sz w:val="24"/>
          <w:szCs w:val="24"/>
        </w:rPr>
        <w:t>With this in mind, it is only natural as</w:t>
      </w:r>
      <w:r w:rsidR="00472AFF">
        <w:rPr>
          <w:rFonts w:ascii="Times New Roman" w:hAnsi="Times New Roman" w:cs="Times New Roman"/>
          <w:sz w:val="24"/>
          <w:szCs w:val="24"/>
        </w:rPr>
        <w:t xml:space="preserve">k why is this so? Well, it is nothing but a sensible response of both individuals and states to the underlying incentives empirically revealed by the studies. </w:t>
      </w:r>
      <w:r w:rsidR="00905336">
        <w:rPr>
          <w:rFonts w:ascii="Times New Roman" w:hAnsi="Times New Roman" w:cs="Times New Roman"/>
          <w:sz w:val="24"/>
          <w:szCs w:val="24"/>
        </w:rPr>
        <w:t>The studies</w:t>
      </w:r>
      <w:r w:rsidR="00472AFF">
        <w:rPr>
          <w:rFonts w:ascii="Times New Roman" w:hAnsi="Times New Roman" w:cs="Times New Roman"/>
          <w:sz w:val="24"/>
          <w:szCs w:val="24"/>
        </w:rPr>
        <w:t xml:space="preserve"> </w:t>
      </w:r>
      <w:r w:rsidR="00905336">
        <w:rPr>
          <w:rFonts w:ascii="Times New Roman" w:hAnsi="Times New Roman" w:cs="Times New Roman"/>
          <w:sz w:val="24"/>
          <w:szCs w:val="24"/>
        </w:rPr>
        <w:t>emphasize</w:t>
      </w:r>
      <w:r w:rsidR="00472AFF">
        <w:rPr>
          <w:rFonts w:ascii="Times New Roman" w:hAnsi="Times New Roman" w:cs="Times New Roman"/>
          <w:sz w:val="24"/>
          <w:szCs w:val="24"/>
        </w:rPr>
        <w:t xml:space="preserve"> </w:t>
      </w:r>
      <w:r w:rsidR="006F6102">
        <w:rPr>
          <w:rFonts w:ascii="Times New Roman" w:hAnsi="Times New Roman" w:cs="Times New Roman"/>
          <w:sz w:val="24"/>
          <w:szCs w:val="24"/>
        </w:rPr>
        <w:t xml:space="preserve">education and its ability to explain the wage </w:t>
      </w:r>
      <w:r w:rsidR="006F6102">
        <w:rPr>
          <w:rFonts w:ascii="Times New Roman" w:hAnsi="Times New Roman" w:cs="Times New Roman"/>
          <w:sz w:val="24"/>
          <w:szCs w:val="24"/>
        </w:rPr>
        <w:lastRenderedPageBreak/>
        <w:t>variance both within and between countries</w:t>
      </w:r>
      <w:r w:rsidR="00EB4EAF">
        <w:rPr>
          <w:rFonts w:ascii="Times New Roman" w:hAnsi="Times New Roman" w:cs="Times New Roman"/>
          <w:sz w:val="24"/>
          <w:szCs w:val="24"/>
        </w:rPr>
        <w:t>,</w:t>
      </w:r>
      <w:r w:rsidR="00CA2913">
        <w:rPr>
          <w:rFonts w:ascii="Times New Roman" w:hAnsi="Times New Roman" w:cs="Times New Roman"/>
          <w:sz w:val="24"/>
          <w:szCs w:val="24"/>
        </w:rPr>
        <w:t xml:space="preserve"> </w:t>
      </w:r>
      <w:r w:rsidR="00EB4EAF">
        <w:rPr>
          <w:rFonts w:ascii="Times New Roman" w:hAnsi="Times New Roman" w:cs="Times New Roman"/>
          <w:sz w:val="24"/>
          <w:szCs w:val="24"/>
        </w:rPr>
        <w:t>accounting</w:t>
      </w:r>
      <w:r w:rsidR="006F6102">
        <w:rPr>
          <w:rFonts w:ascii="Times New Roman" w:hAnsi="Times New Roman" w:cs="Times New Roman"/>
          <w:sz w:val="24"/>
          <w:szCs w:val="24"/>
        </w:rPr>
        <w:t xml:space="preserve"> for up to one-third and one-half</w:t>
      </w:r>
      <w:r w:rsidR="00CA2913">
        <w:rPr>
          <w:rFonts w:ascii="Times New Roman" w:hAnsi="Times New Roman" w:cs="Times New Roman"/>
          <w:sz w:val="24"/>
          <w:szCs w:val="24"/>
        </w:rPr>
        <w:t xml:space="preserve"> of variance</w:t>
      </w:r>
      <w:r w:rsidR="006F6102">
        <w:rPr>
          <w:rFonts w:ascii="Times New Roman" w:hAnsi="Times New Roman" w:cs="Times New Roman"/>
          <w:sz w:val="24"/>
          <w:szCs w:val="24"/>
        </w:rPr>
        <w:t xml:space="preserve"> respectively (</w:t>
      </w:r>
      <w:r w:rsidR="006F6102">
        <w:rPr>
          <w:rStyle w:val="FootnoteReference"/>
          <w:rFonts w:ascii="Times New Roman" w:hAnsi="Times New Roman" w:cs="Times New Roman"/>
          <w:sz w:val="24"/>
          <w:szCs w:val="24"/>
        </w:rPr>
        <w:footnoteReference w:id="5"/>
      </w:r>
      <w:r w:rsidR="00DA1111">
        <w:rPr>
          <w:rFonts w:ascii="Times New Roman" w:hAnsi="Times New Roman" w:cs="Times New Roman"/>
          <w:sz w:val="24"/>
          <w:szCs w:val="24"/>
        </w:rPr>
        <w:t>)</w:t>
      </w:r>
      <w:r w:rsidR="006F6102">
        <w:rPr>
          <w:rFonts w:ascii="Times New Roman" w:hAnsi="Times New Roman" w:cs="Times New Roman"/>
          <w:sz w:val="24"/>
          <w:szCs w:val="24"/>
        </w:rPr>
        <w:t>.</w:t>
      </w:r>
    </w:p>
    <w:p w14:paraId="43BA5192" w14:textId="77CC8A95" w:rsidR="003A7F64" w:rsidRDefault="007A1079" w:rsidP="00472AFF">
      <w:pPr>
        <w:spacing w:line="480" w:lineRule="auto"/>
        <w:ind w:firstLine="720"/>
        <w:rPr>
          <w:rFonts w:ascii="Times New Roman" w:hAnsi="Times New Roman" w:cs="Times New Roman"/>
          <w:sz w:val="24"/>
          <w:szCs w:val="24"/>
        </w:rPr>
      </w:pPr>
      <w:r>
        <w:rPr>
          <w:rFonts w:ascii="Times New Roman" w:hAnsi="Times New Roman" w:cs="Times New Roman"/>
          <w:sz w:val="24"/>
          <w:szCs w:val="24"/>
        </w:rPr>
        <w:t>The field of human capital has come a long way since its early inception with the work of Becker (</w:t>
      </w:r>
      <w:r>
        <w:rPr>
          <w:rStyle w:val="FootnoteReference"/>
          <w:rFonts w:ascii="Times New Roman" w:hAnsi="Times New Roman" w:cs="Times New Roman"/>
          <w:sz w:val="24"/>
          <w:szCs w:val="24"/>
        </w:rPr>
        <w:footnoteReference w:id="6"/>
      </w:r>
      <w:r>
        <w:rPr>
          <w:rFonts w:ascii="Times New Roman" w:hAnsi="Times New Roman" w:cs="Times New Roman"/>
          <w:sz w:val="24"/>
          <w:szCs w:val="24"/>
        </w:rPr>
        <w:t xml:space="preserve">). This was not without the criticisms on numerous grounds. From the very terminology that </w:t>
      </w:r>
      <w:r w:rsidR="000E40C4">
        <w:rPr>
          <w:rFonts w:ascii="Times New Roman" w:hAnsi="Times New Roman" w:cs="Times New Roman"/>
          <w:sz w:val="24"/>
          <w:szCs w:val="24"/>
        </w:rPr>
        <w:t>might insinuate workers as assets of the capital owner, or the failure to address inequality and the socio-economic obstacles that come with it, to the overemphasis on formal education</w:t>
      </w:r>
      <w:r w:rsidR="00D41432">
        <w:rPr>
          <w:rFonts w:ascii="Times New Roman" w:hAnsi="Times New Roman" w:cs="Times New Roman"/>
          <w:sz w:val="24"/>
          <w:szCs w:val="24"/>
        </w:rPr>
        <w:t xml:space="preserve"> and the economic returns, </w:t>
      </w:r>
      <w:r w:rsidR="00B842F4">
        <w:rPr>
          <w:rFonts w:ascii="Times New Roman" w:hAnsi="Times New Roman" w:cs="Times New Roman"/>
          <w:sz w:val="24"/>
          <w:szCs w:val="24"/>
        </w:rPr>
        <w:t>while ignoring the quality as an important aspect of said education</w:t>
      </w:r>
      <w:r w:rsidR="00BD07A0">
        <w:rPr>
          <w:rFonts w:ascii="Times New Roman" w:hAnsi="Times New Roman" w:cs="Times New Roman"/>
          <w:sz w:val="24"/>
          <w:szCs w:val="24"/>
        </w:rPr>
        <w:t xml:space="preserve">, </w:t>
      </w:r>
      <w:r w:rsidR="00D41432">
        <w:rPr>
          <w:rFonts w:ascii="Times New Roman" w:hAnsi="Times New Roman" w:cs="Times New Roman"/>
          <w:sz w:val="24"/>
          <w:szCs w:val="24"/>
        </w:rPr>
        <w:t>non-economic benefits of learning</w:t>
      </w:r>
      <w:r w:rsidR="00BD07A0">
        <w:rPr>
          <w:rFonts w:ascii="Times New Roman" w:hAnsi="Times New Roman" w:cs="Times New Roman"/>
          <w:sz w:val="24"/>
          <w:szCs w:val="24"/>
        </w:rPr>
        <w:t>,</w:t>
      </w:r>
      <w:r w:rsidR="00D41432">
        <w:rPr>
          <w:rFonts w:ascii="Times New Roman" w:hAnsi="Times New Roman" w:cs="Times New Roman"/>
          <w:sz w:val="24"/>
          <w:szCs w:val="24"/>
        </w:rPr>
        <w:t xml:space="preserve"> and the </w:t>
      </w:r>
      <w:r w:rsidR="00B842F4">
        <w:rPr>
          <w:rFonts w:ascii="Times New Roman" w:hAnsi="Times New Roman" w:cs="Times New Roman"/>
          <w:sz w:val="24"/>
          <w:szCs w:val="24"/>
        </w:rPr>
        <w:t xml:space="preserve">possible </w:t>
      </w:r>
      <w:r w:rsidR="00D41432">
        <w:rPr>
          <w:rFonts w:ascii="Times New Roman" w:hAnsi="Times New Roman" w:cs="Times New Roman"/>
          <w:sz w:val="24"/>
          <w:szCs w:val="24"/>
        </w:rPr>
        <w:t>effects of social capital factors</w:t>
      </w:r>
      <w:r w:rsidR="00594D26">
        <w:rPr>
          <w:rFonts w:ascii="Times New Roman" w:hAnsi="Times New Roman" w:cs="Times New Roman"/>
          <w:sz w:val="24"/>
          <w:szCs w:val="24"/>
        </w:rPr>
        <w:t xml:space="preserve"> on wages</w:t>
      </w:r>
      <w:r w:rsidR="00D41432">
        <w:rPr>
          <w:rFonts w:ascii="Times New Roman" w:hAnsi="Times New Roman" w:cs="Times New Roman"/>
          <w:sz w:val="24"/>
          <w:szCs w:val="24"/>
        </w:rPr>
        <w:t>.</w:t>
      </w:r>
      <w:r w:rsidR="00CB3A9A">
        <w:rPr>
          <w:rFonts w:ascii="Times New Roman" w:hAnsi="Times New Roman" w:cs="Times New Roman"/>
          <w:sz w:val="24"/>
          <w:szCs w:val="24"/>
        </w:rPr>
        <w:t xml:space="preserve"> These </w:t>
      </w:r>
      <w:r w:rsidR="00C36889">
        <w:rPr>
          <w:rFonts w:ascii="Times New Roman" w:hAnsi="Times New Roman" w:cs="Times New Roman"/>
          <w:sz w:val="24"/>
          <w:szCs w:val="24"/>
        </w:rPr>
        <w:t>critiques</w:t>
      </w:r>
      <w:r w:rsidR="00CB3A9A">
        <w:rPr>
          <w:rFonts w:ascii="Times New Roman" w:hAnsi="Times New Roman" w:cs="Times New Roman"/>
          <w:sz w:val="24"/>
          <w:szCs w:val="24"/>
        </w:rPr>
        <w:t xml:space="preserve"> are all sound and some have </w:t>
      </w:r>
      <w:r w:rsidR="00877D5E">
        <w:rPr>
          <w:rFonts w:ascii="Times New Roman" w:hAnsi="Times New Roman" w:cs="Times New Roman"/>
          <w:sz w:val="24"/>
          <w:szCs w:val="24"/>
        </w:rPr>
        <w:t>compelled</w:t>
      </w:r>
      <w:r w:rsidR="00CB3A9A">
        <w:rPr>
          <w:rFonts w:ascii="Times New Roman" w:hAnsi="Times New Roman" w:cs="Times New Roman"/>
          <w:sz w:val="24"/>
          <w:szCs w:val="24"/>
        </w:rPr>
        <w:t xml:space="preserve"> research to </w:t>
      </w:r>
      <w:r w:rsidR="00877D5E">
        <w:rPr>
          <w:rFonts w:ascii="Times New Roman" w:hAnsi="Times New Roman" w:cs="Times New Roman"/>
          <w:sz w:val="24"/>
          <w:szCs w:val="24"/>
        </w:rPr>
        <w:t xml:space="preserve">new and uncharted areas, but they all fall out of scope for this </w:t>
      </w:r>
      <w:r w:rsidR="00822761">
        <w:rPr>
          <w:rFonts w:ascii="Times New Roman" w:hAnsi="Times New Roman" w:cs="Times New Roman"/>
          <w:sz w:val="24"/>
          <w:szCs w:val="24"/>
        </w:rPr>
        <w:t>work</w:t>
      </w:r>
      <w:r w:rsidR="00877D5E">
        <w:rPr>
          <w:rFonts w:ascii="Times New Roman" w:hAnsi="Times New Roman" w:cs="Times New Roman"/>
          <w:sz w:val="24"/>
          <w:szCs w:val="24"/>
        </w:rPr>
        <w:t>.</w:t>
      </w:r>
    </w:p>
    <w:p w14:paraId="35941B48" w14:textId="1AC378CB" w:rsidR="00822761" w:rsidRPr="000C1028" w:rsidRDefault="00822761" w:rsidP="00472AFF">
      <w:pPr>
        <w:spacing w:line="480" w:lineRule="auto"/>
        <w:ind w:firstLine="720"/>
        <w:rPr>
          <w:rFonts w:ascii="Times New Roman" w:hAnsi="Times New Roman" w:cs="Times New Roman"/>
          <w:sz w:val="24"/>
          <w:szCs w:val="24"/>
        </w:rPr>
      </w:pPr>
      <w:r>
        <w:rPr>
          <w:rFonts w:ascii="Times New Roman" w:hAnsi="Times New Roman" w:cs="Times New Roman"/>
          <w:sz w:val="24"/>
          <w:szCs w:val="24"/>
        </w:rPr>
        <w:t>This work</w:t>
      </w:r>
      <w:r w:rsidR="000B05E5">
        <w:rPr>
          <w:rFonts w:ascii="Times New Roman" w:hAnsi="Times New Roman" w:cs="Times New Roman"/>
          <w:sz w:val="24"/>
          <w:szCs w:val="24"/>
        </w:rPr>
        <w:t xml:space="preserve"> zeroes in on the wages regressed on the education, along with other controls and instrumental variables to account for possible endogeneity.</w:t>
      </w:r>
      <w:r w:rsidR="00313F11">
        <w:rPr>
          <w:rFonts w:ascii="Times New Roman" w:hAnsi="Times New Roman" w:cs="Times New Roman"/>
          <w:sz w:val="24"/>
          <w:szCs w:val="24"/>
        </w:rPr>
        <w:t xml:space="preserve"> To that end further structure will consist of the main body, discussion, and conclusion. The main body will introduce relevant literature as well as the assumptions, methods, and the dataset, with the variables within it in parallel to the research pertinent to </w:t>
      </w:r>
      <w:r w:rsidR="00AF0B92">
        <w:rPr>
          <w:rFonts w:ascii="Times New Roman" w:hAnsi="Times New Roman" w:cs="Times New Roman"/>
          <w:sz w:val="24"/>
          <w:szCs w:val="24"/>
        </w:rPr>
        <w:t>them</w:t>
      </w:r>
      <w:r w:rsidR="00313F11">
        <w:rPr>
          <w:rFonts w:ascii="Times New Roman" w:hAnsi="Times New Roman" w:cs="Times New Roman"/>
          <w:sz w:val="24"/>
          <w:szCs w:val="24"/>
        </w:rPr>
        <w:t>.</w:t>
      </w:r>
      <w:r w:rsidR="003F3478">
        <w:rPr>
          <w:rFonts w:ascii="Times New Roman" w:hAnsi="Times New Roman" w:cs="Times New Roman"/>
          <w:sz w:val="24"/>
          <w:szCs w:val="24"/>
        </w:rPr>
        <w:t xml:space="preserve"> The part on discussion will wrap up the findings, review possible gaps that might sprout further research, and </w:t>
      </w:r>
      <w:r w:rsidR="00B80925">
        <w:rPr>
          <w:rFonts w:ascii="Times New Roman" w:hAnsi="Times New Roman" w:cs="Times New Roman"/>
          <w:sz w:val="24"/>
          <w:szCs w:val="24"/>
        </w:rPr>
        <w:t>rationalize the policy relevance of the findings</w:t>
      </w:r>
      <w:r w:rsidR="00DE42F2">
        <w:rPr>
          <w:rFonts w:ascii="Times New Roman" w:hAnsi="Times New Roman" w:cs="Times New Roman"/>
          <w:sz w:val="24"/>
          <w:szCs w:val="24"/>
        </w:rPr>
        <w:t xml:space="preserve"> before the final conclusion.</w:t>
      </w:r>
    </w:p>
    <w:sectPr w:rsidR="00822761" w:rsidRPr="000C10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FCFE8D" w14:textId="77777777" w:rsidR="00250639" w:rsidRDefault="00250639" w:rsidP="004E32BC">
      <w:pPr>
        <w:spacing w:after="0" w:line="240" w:lineRule="auto"/>
      </w:pPr>
      <w:r>
        <w:separator/>
      </w:r>
    </w:p>
  </w:endnote>
  <w:endnote w:type="continuationSeparator" w:id="0">
    <w:p w14:paraId="30FBC0B7" w14:textId="77777777" w:rsidR="00250639" w:rsidRDefault="00250639" w:rsidP="004E32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9AC1E54" w14:textId="77777777" w:rsidR="00250639" w:rsidRDefault="00250639" w:rsidP="004E32BC">
      <w:pPr>
        <w:spacing w:after="0" w:line="240" w:lineRule="auto"/>
      </w:pPr>
      <w:r>
        <w:separator/>
      </w:r>
    </w:p>
  </w:footnote>
  <w:footnote w:type="continuationSeparator" w:id="0">
    <w:p w14:paraId="17C2E167" w14:textId="77777777" w:rsidR="00250639" w:rsidRDefault="00250639" w:rsidP="004E32BC">
      <w:pPr>
        <w:spacing w:after="0" w:line="240" w:lineRule="auto"/>
      </w:pPr>
      <w:r>
        <w:continuationSeparator/>
      </w:r>
    </w:p>
  </w:footnote>
  <w:footnote w:id="1">
    <w:p w14:paraId="1A1406B4" w14:textId="64A50A0F" w:rsidR="004E32BC" w:rsidRDefault="004E32BC">
      <w:pPr>
        <w:pStyle w:val="FootnoteText"/>
      </w:pPr>
      <w:r>
        <w:rPr>
          <w:rStyle w:val="FootnoteReference"/>
        </w:rPr>
        <w:footnoteRef/>
      </w:r>
      <w:r>
        <w:t xml:space="preserve"> Demming 2022</w:t>
      </w:r>
      <w:r w:rsidR="005A2C68">
        <w:t xml:space="preserve"> pg75</w:t>
      </w:r>
    </w:p>
  </w:footnote>
  <w:footnote w:id="2">
    <w:p w14:paraId="63880B3C" w14:textId="751076FE" w:rsidR="00254FA5" w:rsidRDefault="00254FA5">
      <w:pPr>
        <w:pStyle w:val="FootnoteText"/>
      </w:pPr>
      <w:r>
        <w:rPr>
          <w:rStyle w:val="FootnoteReference"/>
        </w:rPr>
        <w:footnoteRef/>
      </w:r>
      <w:r>
        <w:t xml:space="preserve"> </w:t>
      </w:r>
      <w:r w:rsidR="00844DD8">
        <w:t>Demming</w:t>
      </w:r>
      <w:r>
        <w:t xml:space="preserve"> pg76</w:t>
      </w:r>
    </w:p>
  </w:footnote>
  <w:footnote w:id="3">
    <w:p w14:paraId="5F27E02A" w14:textId="551B60AE" w:rsidR="0039345E" w:rsidRDefault="0039345E">
      <w:pPr>
        <w:pStyle w:val="FootnoteText"/>
      </w:pPr>
      <w:r>
        <w:rPr>
          <w:rStyle w:val="FootnoteReference"/>
        </w:rPr>
        <w:footnoteRef/>
      </w:r>
      <w:r>
        <w:t xml:space="preserve"> LeeLee as cited in Deming pg75</w:t>
      </w:r>
    </w:p>
  </w:footnote>
  <w:footnote w:id="4">
    <w:p w14:paraId="6706A6A5" w14:textId="1619897D" w:rsidR="00F26C6D" w:rsidRDefault="00F26C6D">
      <w:pPr>
        <w:pStyle w:val="FootnoteText"/>
      </w:pPr>
      <w:r>
        <w:rPr>
          <w:rStyle w:val="FootnoteReference"/>
        </w:rPr>
        <w:footnoteRef/>
      </w:r>
      <w:r>
        <w:t xml:space="preserve"> RoserOrtiz as cited in Demming pg76</w:t>
      </w:r>
    </w:p>
  </w:footnote>
  <w:footnote w:id="5">
    <w:p w14:paraId="16FDFB14" w14:textId="2574780B" w:rsidR="006F6102" w:rsidRDefault="006F6102">
      <w:pPr>
        <w:pStyle w:val="FootnoteText"/>
      </w:pPr>
      <w:r>
        <w:rPr>
          <w:rStyle w:val="FootnoteReference"/>
        </w:rPr>
        <w:footnoteRef/>
      </w:r>
      <w:r>
        <w:t xml:space="preserve"> </w:t>
      </w:r>
      <w:r w:rsidR="00B95856">
        <w:t xml:space="preserve">Demming </w:t>
      </w:r>
      <w:r>
        <w:t>pg82</w:t>
      </w:r>
    </w:p>
  </w:footnote>
  <w:footnote w:id="6">
    <w:p w14:paraId="3588D496" w14:textId="6835B521" w:rsidR="007A1079" w:rsidRDefault="007A1079">
      <w:pPr>
        <w:pStyle w:val="FootnoteText"/>
      </w:pPr>
      <w:r>
        <w:rPr>
          <w:rStyle w:val="FootnoteReference"/>
        </w:rPr>
        <w:footnoteRef/>
      </w:r>
      <w:r>
        <w:t xml:space="preserve"> Becker 1961;</w:t>
      </w:r>
      <w:r w:rsidR="00D0145E">
        <w:t xml:space="preserve"> See</w:t>
      </w:r>
      <w:r>
        <w:t xml:space="preserve"> Demming 2022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5D0"/>
    <w:rsid w:val="000B05E5"/>
    <w:rsid w:val="000C1028"/>
    <w:rsid w:val="000E40C4"/>
    <w:rsid w:val="00147845"/>
    <w:rsid w:val="001564FD"/>
    <w:rsid w:val="00172596"/>
    <w:rsid w:val="001F4FF2"/>
    <w:rsid w:val="00250639"/>
    <w:rsid w:val="00254FA5"/>
    <w:rsid w:val="00287AF3"/>
    <w:rsid w:val="00313F11"/>
    <w:rsid w:val="0039345E"/>
    <w:rsid w:val="003A7F64"/>
    <w:rsid w:val="003F3478"/>
    <w:rsid w:val="004301CC"/>
    <w:rsid w:val="00472AFF"/>
    <w:rsid w:val="004E32BC"/>
    <w:rsid w:val="00514AAD"/>
    <w:rsid w:val="00587821"/>
    <w:rsid w:val="00594D26"/>
    <w:rsid w:val="005A2C68"/>
    <w:rsid w:val="006345F7"/>
    <w:rsid w:val="006B0859"/>
    <w:rsid w:val="006F6102"/>
    <w:rsid w:val="007A1079"/>
    <w:rsid w:val="00822761"/>
    <w:rsid w:val="00844DD8"/>
    <w:rsid w:val="00877D5E"/>
    <w:rsid w:val="00905336"/>
    <w:rsid w:val="009728F6"/>
    <w:rsid w:val="009E1A3D"/>
    <w:rsid w:val="009E3CCA"/>
    <w:rsid w:val="00A16884"/>
    <w:rsid w:val="00AF0B92"/>
    <w:rsid w:val="00B61319"/>
    <w:rsid w:val="00B80925"/>
    <w:rsid w:val="00B842F4"/>
    <w:rsid w:val="00B95856"/>
    <w:rsid w:val="00BA6F4D"/>
    <w:rsid w:val="00BD07A0"/>
    <w:rsid w:val="00BF6C22"/>
    <w:rsid w:val="00C31F2D"/>
    <w:rsid w:val="00C36889"/>
    <w:rsid w:val="00C55AAC"/>
    <w:rsid w:val="00C61A97"/>
    <w:rsid w:val="00CA2913"/>
    <w:rsid w:val="00CB3A9A"/>
    <w:rsid w:val="00CB6CDF"/>
    <w:rsid w:val="00D0145E"/>
    <w:rsid w:val="00D41432"/>
    <w:rsid w:val="00DA1111"/>
    <w:rsid w:val="00DE42F2"/>
    <w:rsid w:val="00E84ADE"/>
    <w:rsid w:val="00E95789"/>
    <w:rsid w:val="00EB4EAF"/>
    <w:rsid w:val="00F117EA"/>
    <w:rsid w:val="00F26C6D"/>
    <w:rsid w:val="00F70B84"/>
    <w:rsid w:val="00FB05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7BFCD"/>
  <w15:chartTrackingRefBased/>
  <w15:docId w15:val="{9662A1F7-F765-4CA9-80FB-398334713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4E32B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E32BC"/>
    <w:rPr>
      <w:sz w:val="20"/>
      <w:szCs w:val="20"/>
      <w:lang w:val="en-US"/>
    </w:rPr>
  </w:style>
  <w:style w:type="character" w:styleId="FootnoteReference">
    <w:name w:val="footnote reference"/>
    <w:basedOn w:val="DefaultParagraphFont"/>
    <w:uiPriority w:val="99"/>
    <w:semiHidden/>
    <w:unhideWhenUsed/>
    <w:rsid w:val="004E32B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C7D99-73AB-44A4-BD76-64471441DD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Pages>
  <Words>470</Words>
  <Characters>2683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Meho Porobic</dc:creator>
  <cp:keywords/>
  <dc:description/>
  <cp:lastModifiedBy>Meho Porobic</cp:lastModifiedBy>
  <cp:revision>46</cp:revision>
  <dcterms:created xsi:type="dcterms:W3CDTF">2024-05-24T13:53:00Z</dcterms:created>
  <dcterms:modified xsi:type="dcterms:W3CDTF">2024-05-24T18:06:00Z</dcterms:modified>
</cp:coreProperties>
</file>