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0F172A"/>
          <w:sz w:val="36"/>
        </w:rPr>
        <w:t>TritLLM: Towards Multiplication-Free Language Modeling with Balanced Ternary Quantization, SubLN Stability, and Fused Hardware Kernels</w:t>
      </w:r>
    </w:p>
    <w:p>
      <w:pPr>
        <w:spacing w:after="80"/>
        <w:jc w:val="center"/>
      </w:pPr>
      <w:r>
        <w:rPr>
          <w:b/>
          <w:sz w:val="23"/>
        </w:rPr>
        <w:t>TritLLM Research Consortium &amp; Open Source Initiative</w:t>
      </w:r>
    </w:p>
    <w:p>
      <w:pPr>
        <w:spacing w:after="280"/>
        <w:jc w:val="center"/>
      </w:pPr>
      <w:r>
        <w:rPr>
          <w:color w:val="4B5563"/>
          <w:sz w:val="19"/>
        </w:rPr>
        <w:t>Technical Report &amp; Empirical Audit — Repository: https://github.com/Mesokiiii/TritLLM.git</w:t>
      </w:r>
    </w:p>
    <w:p>
      <w:pPr>
        <w:spacing w:before="120" w:after="80"/>
      </w:pPr>
      <w:r>
        <w:rPr>
          <w:b/>
          <w:sz w:val="21"/>
        </w:rPr>
        <w:t>ABSTRACT</w:t>
      </w:r>
    </w:p>
    <w:p>
      <w:pPr>
        <w:spacing w:after="240" w:line="276" w:lineRule="auto"/>
        <w:ind w:left="360" w:right="360"/>
      </w:pPr>
      <w:r>
        <w:rPr>
          <w:sz w:val="19"/>
        </w:rPr>
        <w:t>Standard Transformer autoregressive language models incur unsustainable energy, memory, and silicon costs due to dense floating-point matrix multiplications (FP16/BF16 GEMM). Balanced ternary logic, where weights and projections reside strictly in the ternary alphabet T = {-1, 0, +1}, offers an information-theoretic sweet spot (log_2(3) approx 1.585 bits/param) that replaces expensive floating-point multiply-accumulate (MAC) units with addition, subtraction, and zero-skipping integer popcount accumulators. In this paper, we present TritLLM, an end-to-end framework for balanced ternary foundation models encompassing mathematical foundations, custom CPU SIMD (AVX2) and GPU (Triton) fused kernels, an ultra-high-throughput streaming pipeline (UltraStreamer), and extensive empirical investigations.</w:t>
        <w:br/>
        <w:br/>
        <w:t>We present rigorous real-world results alongside an unvarnished post-mortem analysis of the critical failure modes encountered during scaling. On local consumer hardware (Intel Core i5-13420H), a 15-minute pretraining regime on WikiText-2 demonstrates rapid convergence: validation loss decreases by 54.5% (from 7.8288 to 3.5608) and validation perplexity drops by 98.6% (from 2511.93 to 35.19) at 6,773 tokens/second, while preserving 100% strict ternary weights with balanced Blume-Capel equilibrium (32.7% zeros, 33.5% negatives, 33.8% positives). In cluster scaling to an 850M architecture on 4x NVIDIA RTX 4090 GPUs, we uncover and mathematically dissect four severe pathologies: (1) an initial loss explosion to 1989.83 induced by unscaled tied embeddings, (2) representation bottlenecks and repetition collapse ('uses uses uses...') caused by ternary quantization of the vocabulary projection head, (3) attention entropy collapse from lack of QK-normalization, and (4) Triton JIT autotuner freezes during autoregressive decoding. We prove that a SubLN architecture with continuous high-precision LM head, QK-Norm, and static GEMM dispatch resolves all four failure modes, achieving an initial loss of 10.8198 (matching the theoretical optimum ln(50257) = 10.8249). Finally, we candidly document the economic boundary conditions of independent AI research, where pretraining on the rented 4x RTX 4090 cluster was terminated due to budget exhaustion after smoke and verification iterations, highlighting the urgent necessity of democratized, low-cost training architectures.</w:t>
      </w:r>
    </w:p>
    <w:p>
      <w:pPr>
        <w:spacing w:after="320"/>
        <w:ind w:left="360"/>
      </w:pPr>
      <w:r>
        <w:rPr>
          <w:b/>
          <w:sz w:val="19"/>
        </w:rPr>
        <w:t xml:space="preserve">Keywords: </w:t>
      </w:r>
      <w:r>
        <w:rPr>
          <w:sz w:val="19"/>
        </w:rPr>
        <w:t>Ternary Quantization, 1.58-bit LLMs, TritFormer, BitNet b1.58, SubLN Normalization, Multiplication-Free GEMM, Fused Triton Kernels, Straight-Through Estimator, Empirical Failure Analysis.</w:t>
      </w:r>
    </w:p>
    <w:p>
      <w:pPr>
        <w:keepNext/>
        <w:spacing w:before="320" w:after="120"/>
      </w:pPr>
      <w:r>
        <w:rPr>
          <w:b/>
          <w:color w:val="111827"/>
          <w:sz w:val="30"/>
        </w:rPr>
        <w:t>1. Introduction and Motivation</w:t>
      </w:r>
    </w:p>
    <w:p>
      <w:pPr>
        <w:spacing w:after="120" w:line="276" w:lineRule="auto"/>
      </w:pPr>
      <w:r>
        <w:t>Modern deep autoregressive foundation models (Vaswani et al., 2017; Touvron et al., 2023) have revolutionized natural language processing, coding assistance, and reasoning tasks. However, scaling these architectures in full or half-precision floating-point formats (FP32, FP16, BF16) has encountered severe hardware, energetic, and economic barriers. Training and deploying multi-billion parameter models consumes massive megawatt-level electrical power, strains high-bandwidth memory (HBM/GDDR) buses, and confines cutting-edge research to well-funded corporate entities.</w:t>
      </w:r>
    </w:p>
    <w:p>
      <w:pPr>
        <w:spacing w:after="120" w:line="276" w:lineRule="auto"/>
      </w:pPr>
      <w:r>
        <w:t>The fundamental bottleneck of traditional Transformers lies in the compute-heavy and memory-bandwidth-bound nature of General Matrix Multiply (GEMM) operations across attention projections (Query, Key, Value, Output) and feed-forward networks (MLP / SwiGLU). Each parameter requires 16 bits of storage, and each token step triggers millions of floating-point multiply-accumulate (MAC) cycles. In response, quantization-aware training (QAT) has pushed toward extreme low-bit representations. In particular, BitNet b1.58 (Ma et al., 2024) demonstrated that weights quantized to the ternary set {-1, 0, +1} can match full-precision performance while drastically reducing energy consumption.</w:t>
      </w:r>
    </w:p>
    <w:p>
      <w:pPr>
        <w:spacing w:after="120" w:line="276" w:lineRule="auto"/>
      </w:pPr>
      <w:r>
        <w:t>Despite this promise, existing literature often conceals the harsh empirical realities and numerical fragilities of training discrete, ternary foundation models. Most publications present sanitized loss curves, omit the exorbitant computational cost of hyperparameter tuning, and gloss over catastrophic failure modes such as gradient vanishing in Straight-Through Estimators (STE), attention entropy collapse, and vocabulary projection bottlenecks.</w:t>
      </w:r>
    </w:p>
    <w:p>
      <w:pPr>
        <w:spacing w:after="120" w:line="276" w:lineRule="auto"/>
      </w:pPr>
      <w:r>
        <w:t>In this work, we introduce TritLLM (incorporating the TritFormer architecture), an open-source, multiplication-free language modeling framework designed for balanced ternary computing. We adhere to a strict scientific methodology, reporting real, unvarnished empirical benchmarks on consumer CPU hardware and enterprise multi-GPU clusters, and providing a rigorous post-mortem dissection of the engineering and financial challenges encountered during pretraining.</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2563EB"/>
              <w:top w:val="none"/>
              <w:right w:val="none"/>
              <w:bottom w:val="none"/>
            </w:tcBorders>
          </w:tcPr>
          <w:p>
            <w:pPr>
              <w:spacing w:before="40" w:after="40" w:line="276" w:lineRule="auto"/>
            </w:pPr>
            <w:r>
              <w:rPr>
                <w:b/>
                <w:color w:val="1D4ED8"/>
                <w:sz w:val="19"/>
              </w:rPr>
              <w:t xml:space="preserve">[EMPIRICAL INTEGRITY DIRECTIVE] </w:t>
            </w:r>
            <w:r>
              <w:rPr>
                <w:color w:val="1F2937"/>
                <w:sz w:val="19"/>
              </w:rPr>
              <w:t>Core Philosophy of this Report: Scientific integrity demands reporting negative results, failure modes, and physical hardware boundaries with the same rigor as successful metrics. We report the exact numerical pathologies observed (including a starting loss explosion to 1989.83 and decode freezes) alongside their verified mathematical solutions, and openly document the early halting of our 4x RTX 4090 cluster run caused by compute budget exhaustion.</w:t>
            </w:r>
          </w:p>
        </w:tc>
      </w:tr>
    </w:tbl>
    <w:p>
      <w:pPr>
        <w:keepNext/>
        <w:spacing w:before="320" w:after="120"/>
      </w:pPr>
      <w:r>
        <w:rPr>
          <w:b/>
          <w:color w:val="111827"/>
          <w:sz w:val="30"/>
        </w:rPr>
        <w:t>2. Mathematical Foundations and Theoretical Model</w:t>
      </w:r>
    </w:p>
    <w:p>
      <w:pPr>
        <w:keepNext/>
        <w:spacing w:before="240" w:after="80"/>
      </w:pPr>
      <w:r>
        <w:rPr>
          <w:b/>
          <w:color w:val="1F2937"/>
          <w:sz w:val="25"/>
        </w:rPr>
        <w:t>2.1. Radix Economy and Balanced Ternary Representation</w:t>
      </w:r>
    </w:p>
    <w:p>
      <w:pPr>
        <w:spacing w:after="120" w:line="276" w:lineRule="auto"/>
      </w:pPr>
      <w:r>
        <w:t>The choice of numeral system fundamentally dictates the physical complexity of computational hardware. The hardware radix economy E(b, N) measures the cost of representing numbers up to magnitude N using base b:</w:t>
      </w:r>
    </w:p>
    <w:p>
      <w:pPr>
        <w:spacing w:after="120" w:line="276" w:lineRule="auto"/>
      </w:pPr>
      <w:r>
        <w:rPr>
          <w:i/>
        </w:rPr>
        <w:t>E(b, N) = b * ceil(log_b(N)) = b * (ln(N) / ln(b))</w:t>
      </w:r>
    </w:p>
    <w:p>
      <w:pPr>
        <w:spacing w:after="120" w:line="276" w:lineRule="auto"/>
      </w:pPr>
      <w:r>
        <w:t>Treating b as a continuous variable over (1, infinity), the first derivative f'(b) = (ln(b) - 1) / (ln(b))^2 vanishes at b = e approx 2.71828. Since f''(e) = 1/e &gt; 0, the base of natural logarithms e provides the absolute theoretical optimum of radix economy. Among integer bases, b = 3 is closest to e, yielding E(3, N) &lt; E(2, N):</w:t>
      </w:r>
    </w:p>
    <w:p>
      <w:pPr>
        <w:spacing w:after="120" w:line="276" w:lineRule="auto"/>
      </w:pPr>
      <w:r>
        <w:rPr>
          <w:i/>
        </w:rPr>
        <w:t>f(2) = 2 / ln(2) approx 2.8854,    f(3) = 3 / ln(3) approx 2.7307,    f(4) = 4 / ln(4) approx 2.8854</w:t>
      </w:r>
    </w:p>
    <w:p>
      <w:pPr>
        <w:spacing w:after="120" w:line="276" w:lineRule="auto"/>
      </w:pPr>
      <w:r>
        <w:t>Consequently, base-3 arithmetic is approximately 5.4% more efficient in fundamental gate complexity than binary arithmetic. In balanced ternary logic, the digit alphabet is symmetric around zero: T = {-1, 0, +1} (conventionally denoted {-, 0, +}). Each balanced ternary digit (trit) possesses an information capacity of:</w:t>
      </w:r>
    </w:p>
    <w:p>
      <w:pPr>
        <w:spacing w:after="120" w:line="276" w:lineRule="auto"/>
      </w:pPr>
      <w:r>
        <w:rPr>
          <w:i/>
        </w:rPr>
        <w:t>C_T = log_2(3) approx 1.5849625 bits/trit</w:t>
      </w:r>
    </w:p>
    <w:p>
      <w:pPr>
        <w:spacing w:after="120" w:line="276" w:lineRule="auto"/>
      </w:pPr>
      <w:r>
        <w:t>Unlike binary representations, balanced ternary naturally incorporates sign symmetry without dedicated sign bits, and zero represents true computational sparsity (information absence), enabling direct zero-skipping in hardware.</w:t>
      </w:r>
    </w:p>
    <w:p>
      <w:pPr>
        <w:keepNext/>
        <w:spacing w:before="160" w:after="40"/>
      </w:pPr>
      <w:r>
        <w:rPr>
          <w:b/>
          <w:i/>
          <w:color w:val="374151"/>
          <w:sz w:val="22"/>
        </w:rPr>
        <w:t>Table 1: Theoretical comparison of numeric representations in deep learning hardware.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Representation</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Alphabet / Domain</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Storage (bits/param)</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Primary Arithmetic Unit</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Relative Energy / OP</w:t>
            </w:r>
          </w:p>
        </w:tc>
      </w:tr>
      <w:tr>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FP32 (Single)</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IEEE 754 Real (24-bit mantissa)</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32.0 bits</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FP32 Multiplier-Accumulator (MAC)</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1.00x (~3.5 pJ)</w:t>
            </w:r>
          </w:p>
        </w:tc>
      </w:tr>
      <w:tr>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BF16 / FP16</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IEEE 754 Half (7/10-bit mantissa)</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16.0 bits</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Half-Precision Tensor MAC</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0.28x (~1.0 pJ)</w:t>
            </w:r>
          </w:p>
        </w:tc>
      </w:tr>
      <w:tr>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INT8 (Quantized)</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Signed Integer [-128, 127]</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8.0 bits</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Integer Multiplier-Accumulator</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0.10x (~0.3 pJ)</w:t>
            </w:r>
          </w:p>
        </w:tc>
      </w:tr>
      <w:tr>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Balanced Ternary (Trit)</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Symmetric Set {-1, 0, +1}</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1.585 bits</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Add-Sub-Skip Accumulator (No MAC)</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0.015x (~0.05 pJ)</w:t>
            </w:r>
          </w:p>
        </w:tc>
      </w:tr>
    </w:tbl>
    <w:p>
      <w:pPr>
        <w:spacing w:after="120"/>
      </w:pPr>
    </w:p>
    <w:p>
      <w:pPr>
        <w:keepNext/>
        <w:spacing w:before="240" w:after="80"/>
      </w:pPr>
      <w:r>
        <w:rPr>
          <w:b/>
          <w:color w:val="1F2937"/>
          <w:sz w:val="25"/>
        </w:rPr>
        <w:t>2.2. Addition-Only TritGEMM (Multiplication-Free Linear Projections)</w:t>
      </w:r>
    </w:p>
    <w:p>
      <w:pPr>
        <w:spacing w:after="120" w:line="276" w:lineRule="auto"/>
      </w:pPr>
      <w:r>
        <w:t>Let X in R^(M x K) denote the input activation matrix (or quantized ternary activation matrix X in T^(M x K)), and let W in T^(K x N) denote the balanced ternary weight matrix. The forward matrix multiplication Y = X * W decomposes element-wise as:</w:t>
      </w:r>
    </w:p>
    <w:p>
      <w:pPr>
        <w:spacing w:after="120" w:line="276" w:lineRule="auto"/>
      </w:pPr>
      <w:r>
        <w:rPr>
          <w:i/>
        </w:rPr>
        <w:t>Y_{i, j} = sum_{k=1}^K X_{i, k} * W_{k, j}</w:t>
      </w:r>
    </w:p>
    <w:p>
      <w:pPr>
        <w:spacing w:after="120" w:line="276" w:lineRule="auto"/>
      </w:pPr>
      <w:r>
        <w:t>Because W_{k, j} in {-1, 0, +1}, the scalar product reduces strictly to addition, subtraction, and omission:</w:t>
      </w:r>
    </w:p>
    <w:p>
      <w:pPr>
        <w:spacing w:after="120" w:line="276" w:lineRule="auto"/>
      </w:pPr>
      <w:r>
        <w:rPr>
          <w:i/>
        </w:rPr>
        <w:t>X_{i, k} * W_{k, j} = { +X_{i, k} if W_{k, j} = +1;  -X_{i, k} if W_{k, j} = -1;  0 if W_{k, j} = 0 }</w:t>
      </w:r>
    </w:p>
    <w:p>
      <w:pPr>
        <w:spacing w:after="120" w:line="276" w:lineRule="auto"/>
      </w:pPr>
      <w:r>
        <w:t>When inputs are also quantized into T, the output Y_{i, j} is given by the difference between positive and negative matches:</w:t>
      </w:r>
    </w:p>
    <w:p>
      <w:pPr>
        <w:spacing w:after="120" w:line="276" w:lineRule="auto"/>
      </w:pPr>
      <w:r>
        <w:rPr>
          <w:i/>
        </w:rPr>
        <w:t>Y_{i, j} = N_{+}(i, j) - N_{-}(i, j)</w:t>
      </w:r>
    </w:p>
    <w:p>
      <w:pPr>
        <w:spacing w:after="120" w:line="276" w:lineRule="auto"/>
      </w:pPr>
      <w:r>
        <w:t>where N_{+}(i, j) counts matching signs ((+1, +1) or (-1, -1)), and N_{-}(i, j) counts opposing signs ((+1, -1) or (-1, +1)). In digital silicon, this eliminates arithmetic multipliers entirely, replacing them with bitwise XNOR/AND gates and parallel adder trees (Popcount), yielding an order-of-magnitude reduction in transistor footprint and dynamic switching energy.</w:t>
      </w:r>
    </w:p>
    <w:p>
      <w:pPr>
        <w:keepNext/>
        <w:spacing w:before="240" w:after="80"/>
      </w:pPr>
      <w:r>
        <w:rPr>
          <w:b/>
          <w:color w:val="1F2937"/>
          <w:sz w:val="25"/>
        </w:rPr>
        <w:t>2.3. Discrete Representation Geometry and the Blume-Capel Spin Glass Equilibrium</w:t>
      </w:r>
    </w:p>
    <w:p>
      <w:pPr>
        <w:spacing w:after="120" w:line="276" w:lineRule="auto"/>
      </w:pPr>
      <w:r>
        <w:t>In continuous neural networks, weights occupy the smooth Riemannian manifold of Euclidean space R^(K x N). In balanced ternary networks, the allowable parameter space collapses to the vertices of the ternary hypercube T^d = {-1, 0, +1}^d. Statistically, this discrete lattice corresponds to the Blume-Capel spin-1 lattice model from statistical mechanics:</w:t>
      </w:r>
    </w:p>
    <w:p>
      <w:pPr>
        <w:spacing w:after="120" w:line="276" w:lineRule="auto"/>
      </w:pPr>
      <w:r>
        <w:rPr>
          <w:i/>
        </w:rPr>
        <w:t>H(s) = -J * sum_{(i,j)} s_i s_j + Delta * sum_i s_i^2,    where s_i in {-1, 0, +1}</w:t>
      </w:r>
    </w:p>
    <w:p>
      <w:pPr>
        <w:spacing w:after="120" w:line="276" w:lineRule="auto"/>
      </w:pPr>
      <w:r>
        <w:t>where Delta represents the crystal-field splitting parameter controlling zero-sparsity rho_0 = P(s_i = 0). The tricritical point (TCP) of the Blume-Capel model defines the optimal entropy-stability balance where the phase transition between ordered ferromagnetic states and disordered paramagnetic states occurs. Theoretically, this equilibrium mandates: rho_0 approx 33.3%, rho_{+} approx 33.3%, rho_{-} approx 33.3%. Any divergence from this gauge-symmetric distribution (e.g., dead trits where rho_0 &gt; 80%, or bipolar collapse where rho_0 -&gt; 0) results in severe capacity degradation.</w:t>
      </w:r>
    </w:p>
    <w:p>
      <w:pPr>
        <w:keepNext/>
        <w:spacing w:before="240" w:after="80"/>
      </w:pPr>
      <w:r>
        <w:rPr>
          <w:b/>
          <w:color w:val="1F2937"/>
          <w:sz w:val="25"/>
        </w:rPr>
        <w:t>2.4. SubLN Normalization and Residual Variance Bounding Theorem</w:t>
      </w:r>
    </w:p>
    <w:p>
      <w:pPr>
        <w:spacing w:after="120" w:line="276" w:lineRule="auto"/>
      </w:pPr>
      <w:r>
        <w:t>A critical failure mode of deep 1.58-bit networks under standard Pre-LayerNorm (Pre-LN) is the monotonic escalation of residual variance across layers: Var(x_l) ~ O(l). Under Straight-Through Estimators (STE), large activation magnitudes push weights into saturation regions where gradients vanish. To resolve this, TritLLM adopts the SubLN (Sub-Layer Normalization) architecture (Wang et al., 2022; DeepNet):</w:t>
      </w:r>
    </w:p>
    <w:p>
      <w:pPr>
        <w:spacing w:after="120" w:line="276" w:lineRule="auto"/>
      </w:pPr>
      <w:r>
        <w:rPr>
          <w:i/>
        </w:rPr>
        <w:t>x_l^(att) = x_l + (1 / sqrt(2N_layers)) * RMSNorm_sub1( Attention( RMSNorm_pre1(x_l) ) )</w:t>
      </w:r>
    </w:p>
    <w:p>
      <w:pPr>
        <w:spacing w:after="120" w:line="276" w:lineRule="auto"/>
      </w:pPr>
      <w:r>
        <w:rPr>
          <w:i/>
        </w:rPr>
        <w:t>x_{l+1}   = x_l^(att) + (1 / sqrt(2N_layers)) * RMSNorm_sub2( SwiGLU( RMSNorm_pre2(x_l^(att)) ) )</w:t>
      </w:r>
    </w:p>
    <w:p>
      <w:pPr>
        <w:spacing w:after="120" w:line="276" w:lineRule="auto"/>
      </w:pPr>
      <w:r>
        <w:t>Theorem 1 (Residual Variance Bounding): Under SubLN with DeepNet residual scaling factor alpha = 1 / sqrt(2N_layers), if the output of each sublayer after post-RMSNorm satisfies Var(RMSNorm_sub(z)) = 1.0, then for any arbitrary network depth N_layers, the total variance of the residual stream is strictly bounded by a constant:</w:t>
      </w:r>
    </w:p>
    <w:p>
      <w:pPr>
        <w:spacing w:after="120" w:line="276" w:lineRule="auto"/>
      </w:pPr>
      <w:r>
        <w:rPr>
          <w:i/>
        </w:rPr>
        <w:t>Var(x_{N}) = Var(x_0) + 2 * N_layers * (1 / sqrt(2 * N_layers))^2 * 1.0 = 1.0 + 1.0 = 2.0</w:t>
      </w:r>
    </w:p>
    <w:p>
      <w:pPr>
        <w:spacing w:after="120" w:line="276" w:lineRule="auto"/>
      </w:pPr>
      <w:r>
        <w:t>Thus, sigma(x_N) &lt;= sqrt(2) approx 1.4142. Activation variance is mathematically guaranteed never to explode, even at 100+ layers.</w:t>
      </w:r>
    </w:p>
    <w:p>
      <w:pPr>
        <w:keepNext/>
        <w:spacing w:before="240" w:after="80"/>
      </w:pPr>
      <w:r>
        <w:rPr>
          <w:b/>
          <w:color w:val="1F2937"/>
          <w:sz w:val="25"/>
        </w:rPr>
        <w:t>2.5. QK-Normalization and Attention Entropy Invariant</w:t>
      </w:r>
    </w:p>
    <w:p>
      <w:pPr>
        <w:spacing w:after="120" w:line="276" w:lineRule="auto"/>
      </w:pPr>
      <w:r>
        <w:t>In unconstrained self-attention, the inner product matrix S = (Q * K^T) / sqrt(d_k) can exhibit uncontrolled variance growth. If sigma(q) and sigma(k) drift to 5.0, dot product values surge to +/- 124. When passed through Softmax, probabilities collapse into a one-hot Kronecker delta distribution (entropy drops from ~3.5 to &lt; 0.2), causing the gradient dSoftmax / dz -&gt; 0. TritLLM enforces Per-Head RMSNorm on Queries and Keys prior to the dot product (QK-Norm):</w:t>
      </w:r>
    </w:p>
    <w:p>
      <w:pPr>
        <w:spacing w:after="120" w:line="276" w:lineRule="auto"/>
      </w:pPr>
      <w:r>
        <w:rPr>
          <w:i/>
        </w:rPr>
        <w:t>q_norm = RMSNorm(q),    k_norm = RMSNorm(k),    S = (q_norm * k_norm^T) / sqrt(d_k)</w:t>
      </w:r>
    </w:p>
    <w:p>
      <w:pPr>
        <w:spacing w:after="120" w:line="276" w:lineRule="auto"/>
      </w:pPr>
      <w:r>
        <w:t>This enforces Var(S_{i, j}) = 1.0, maintaining stable attention entropy H approx 3.03 and fully preventing attention collapse.</w:t>
      </w:r>
    </w:p>
    <w:p>
      <w:pPr>
        <w:keepNext/>
        <w:spacing w:before="240" w:after="80"/>
      </w:pPr>
      <w:r>
        <w:rPr>
          <w:b/>
          <w:color w:val="1F2937"/>
          <w:sz w:val="25"/>
        </w:rPr>
        <w:t>2.6. Straight-Through Estimators (STE) and Orthogonal Momentum (Muon)</w:t>
      </w:r>
    </w:p>
    <w:p>
      <w:pPr>
        <w:spacing w:after="120" w:line="276" w:lineRule="auto"/>
      </w:pPr>
      <w:r>
        <w:t>Because the round(w / alpha) function has zero derivative almost everywhere, backward gradient propagation requires a surrogate operator. TritLLM utilizes the symmetric absmean Straight-Through Estimator:</w:t>
      </w:r>
    </w:p>
    <w:p>
      <w:pPr>
        <w:spacing w:after="120" w:line="276" w:lineRule="auto"/>
      </w:pPr>
      <w:r>
        <w:rPr>
          <w:i/>
        </w:rPr>
        <w:t>w_effective = clamp( round(w / alpha), -1, +1 ) * alpha,    alpha = (1 / d) * sum_j |w_j|</w:t>
      </w:r>
    </w:p>
    <w:p>
      <w:pPr>
        <w:spacing w:after="120" w:line="276" w:lineRule="auto"/>
      </w:pPr>
      <w:r>
        <w:rPr>
          <w:i/>
        </w:rPr>
        <w:t>dw_effective / dw = { 1 if |w / alpha| &lt;= 1.0;  0 otherwise }</w:t>
      </w:r>
    </w:p>
    <w:p>
      <w:pPr>
        <w:spacing w:after="120" w:line="276" w:lineRule="auto"/>
      </w:pPr>
      <w:r>
        <w:t>To update continuous latent weights through the STE barrier, standard AdamW often suffers from rank collapse. We introduce the Muon (Momentum Orthogonal) optimizer (Jordan et al., 2024), which performs 5 iterations of a Newton-Schulz quintic polynomial on the momentum matrix M_t to compute its polar decomposition U * V^T directly in BF16, maintaining strict orthogonality and full parameter rank throughout pretraining.</w:t>
      </w:r>
    </w:p>
    <w:p>
      <w:pPr>
        <w:keepNext/>
        <w:spacing w:before="320" w:after="120"/>
      </w:pPr>
      <w:r>
        <w:rPr>
          <w:b/>
          <w:color w:val="111827"/>
          <w:sz w:val="30"/>
        </w:rPr>
        <w:t>3. Architecture and Systems Co-Design</w:t>
      </w:r>
    </w:p>
    <w:p>
      <w:pPr>
        <w:keepNext/>
        <w:spacing w:before="240" w:after="80"/>
      </w:pPr>
      <w:r>
        <w:rPr>
          <w:b/>
          <w:color w:val="1F2937"/>
          <w:sz w:val="25"/>
        </w:rPr>
        <w:t>3.1. Model Topologies: Tiny vs 850M Configurations</w:t>
      </w:r>
    </w:p>
    <w:p>
      <w:pPr>
        <w:spacing w:after="120" w:line="276" w:lineRule="auto"/>
      </w:pPr>
      <w:r>
        <w:t>TritLLM is instantiated in two primary configurations: TritFormer-Tiny (optimized for consumer CPU validation and fast scientific iteration) and TritFormer-850M (configured for multi-GPU enterprise pretraining).</w:t>
      </w:r>
    </w:p>
    <w:p>
      <w:pPr>
        <w:keepNext/>
        <w:spacing w:before="160" w:after="40"/>
      </w:pPr>
      <w:r>
        <w:rPr>
          <w:b/>
          <w:i/>
          <w:color w:val="374151"/>
          <w:sz w:val="22"/>
        </w:rPr>
        <w:t>Table 2: Architectural specifications and hyperparameter profiles of TritLLM models.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120"/>
        <w:gridCol w:w="3120"/>
        <w:gridCol w:w="3120"/>
      </w:tblGrid>
      <w:tr>
        <w:tc>
          <w:tcPr>
            <w:tcW w:type="dxa" w:w="3120"/>
            <w:vAlign w:val="center"/>
            <w:shd w:fill="E5E7EB"/>
            <w:tcMar>
              <w:top w:w="120" w:type="dxa"/>
              <w:bottom w:w="120" w:type="dxa"/>
              <w:left w:w="150" w:type="dxa"/>
              <w:right w:w="150" w:type="dxa"/>
            </w:tcMar>
          </w:tcPr>
          <w:p>
            <w:pPr>
              <w:spacing w:before="40" w:after="40" w:line="264" w:lineRule="auto"/>
            </w:pPr>
            <w:r>
              <w:rPr>
                <w:b/>
                <w:color w:val="111827"/>
                <w:sz w:val="19"/>
              </w:rPr>
              <w:t>Architectural Parameter</w:t>
            </w:r>
          </w:p>
        </w:tc>
        <w:tc>
          <w:tcPr>
            <w:tcW w:type="dxa" w:w="3120"/>
            <w:vAlign w:val="center"/>
            <w:shd w:fill="E5E7EB"/>
            <w:tcMar>
              <w:top w:w="120" w:type="dxa"/>
              <w:bottom w:w="120" w:type="dxa"/>
              <w:left w:w="150" w:type="dxa"/>
              <w:right w:w="150" w:type="dxa"/>
            </w:tcMar>
          </w:tcPr>
          <w:p>
            <w:pPr>
              <w:spacing w:before="40" w:after="40" w:line="264" w:lineRule="auto"/>
            </w:pPr>
            <w:r>
              <w:rPr>
                <w:b/>
                <w:color w:val="111827"/>
                <w:sz w:val="19"/>
              </w:rPr>
              <w:t>TritFormer-Tiny (Local CPU)</w:t>
            </w:r>
          </w:p>
        </w:tc>
        <w:tc>
          <w:tcPr>
            <w:tcW w:type="dxa" w:w="3120"/>
            <w:vAlign w:val="center"/>
            <w:shd w:fill="E5E7EB"/>
            <w:tcMar>
              <w:top w:w="120" w:type="dxa"/>
              <w:bottom w:w="120" w:type="dxa"/>
              <w:left w:w="150" w:type="dxa"/>
              <w:right w:w="150" w:type="dxa"/>
            </w:tcMar>
          </w:tcPr>
          <w:p>
            <w:pPr>
              <w:spacing w:before="40" w:after="40" w:line="264" w:lineRule="auto"/>
            </w:pPr>
            <w:r>
              <w:rPr>
                <w:b/>
                <w:color w:val="111827"/>
                <w:sz w:val="19"/>
              </w:rPr>
              <w:t>TritFormer-850M (Cluster 4x 4090)</w:t>
            </w:r>
          </w:p>
        </w:tc>
      </w:tr>
      <w:tr>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Target Compute Engine</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10-thread Intel Core i5 (AVX2 SIMD)</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4x NVIDIA RTX 4090 (Ada sm_89)</w:t>
            </w:r>
          </w:p>
        </w:tc>
      </w:tr>
      <w:tr>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Hidden Dimension (d_model)</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256</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2,048</w:t>
            </w:r>
          </w:p>
        </w:tc>
      </w:tr>
      <w:tr>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Number of Layers (N_layers)</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4</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16</w:t>
            </w:r>
          </w:p>
        </w:tc>
      </w:tr>
      <w:tr>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Attention Heads (n_heads / n_kv)</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4 / 4 (MHA)</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16 / 8 (Grouped-Query Attention GQA)</w:t>
            </w:r>
          </w:p>
        </w:tc>
      </w:tr>
      <w:tr>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Head Dimension (d_head)</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64</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128</w:t>
            </w:r>
          </w:p>
        </w:tc>
      </w:tr>
      <w:tr>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Intermediate FFN Dimension (d_ff)</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768</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5,632 (SwiGLU)</w:t>
            </w:r>
          </w:p>
        </w:tc>
      </w:tr>
      <w:tr>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Context Length (seq_len)</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256 tokens</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2,048 tokens</w:t>
            </w:r>
          </w:p>
        </w:tc>
      </w:tr>
      <w:tr>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Vocabulary Size (V)</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10,000 / 28,996</w:t>
            </w:r>
          </w:p>
        </w:tc>
        <w:tc>
          <w:tcPr>
            <w:tcW w:type="dxa" w:w="3120"/>
            <w:vAlign w:val="center"/>
            <w:shd w:fill="F9FAFB"/>
            <w:tcMar>
              <w:top w:w="120" w:type="dxa"/>
              <w:bottom w:w="120" w:type="dxa"/>
              <w:left w:w="150" w:type="dxa"/>
              <w:right w:w="150" w:type="dxa"/>
            </w:tcMar>
          </w:tcPr>
          <w:p>
            <w:pPr>
              <w:spacing w:before="40" w:after="40" w:line="264" w:lineRule="auto"/>
            </w:pPr>
            <w:r>
              <w:rPr>
                <w:color w:val="374151"/>
                <w:sz w:val="18"/>
              </w:rPr>
              <w:t>50,257 (GPT-2 Tokenizer)</w:t>
            </w:r>
          </w:p>
        </w:tc>
      </w:tr>
      <w:tr>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Parameter Precision</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Strict Ternary {-1, 0, 1} + Scale</w:t>
            </w:r>
          </w:p>
        </w:tc>
        <w:tc>
          <w:tcPr>
            <w:tcW w:type="dxa" w:w="3120"/>
            <w:vAlign w:val="center"/>
            <w:shd w:fill="FFFFFF"/>
            <w:tcMar>
              <w:top w:w="120" w:type="dxa"/>
              <w:bottom w:w="120" w:type="dxa"/>
              <w:left w:w="150" w:type="dxa"/>
              <w:right w:w="150" w:type="dxa"/>
            </w:tcMar>
          </w:tcPr>
          <w:p>
            <w:pPr>
              <w:spacing w:before="40" w:after="40" w:line="264" w:lineRule="auto"/>
            </w:pPr>
            <w:r>
              <w:rPr>
                <w:color w:val="374151"/>
                <w:sz w:val="18"/>
              </w:rPr>
              <w:t>1.58-bit Weights + BF16 Head/Norms</w:t>
            </w:r>
          </w:p>
        </w:tc>
      </w:tr>
    </w:tbl>
    <w:p>
      <w:pPr>
        <w:spacing w:after="120"/>
      </w:pPr>
    </w:p>
    <w:p>
      <w:pPr>
        <w:keepNext/>
        <w:spacing w:before="240" w:after="80"/>
      </w:pPr>
      <w:r>
        <w:rPr>
          <w:b/>
          <w:color w:val="1F2937"/>
          <w:sz w:val="25"/>
        </w:rPr>
        <w:t>3.2. Continuous LM Head vs Ternary Classification Head</w:t>
      </w:r>
    </w:p>
    <w:p>
      <w:pPr>
        <w:spacing w:after="120" w:line="276" w:lineRule="auto"/>
      </w:pPr>
      <w:r>
        <w:t>A pivotal architectural design in TritLLM is the strict distinction between internal linear projections and the output vocabulary projection (LM Head). While all internal projections (Q, K, V, Out, SwiGLU Gate, Up, Down) are strictly quantized to 1.58 bits, the LM Head (W_head in R^(V x d)) is retained in high-precision BF16. As proved in Section 5, quantizing the LM Head into {-1, 0, 1} destroys the semantic angular resolution of 50,257 tokens and induces repetition collapse.</w:t>
      </w:r>
    </w:p>
    <w:p>
      <w:pPr>
        <w:keepNext/>
        <w:spacing w:before="240" w:after="80"/>
      </w:pPr>
      <w:r>
        <w:rPr>
          <w:b/>
          <w:color w:val="1F2937"/>
          <w:sz w:val="25"/>
        </w:rPr>
        <w:t>3.3. Custom CPU Acceleration: Rust AVX2 SIMD Engine</w:t>
      </w:r>
    </w:p>
    <w:p>
      <w:pPr>
        <w:spacing w:after="120" w:line="276" w:lineRule="auto"/>
      </w:pPr>
      <w:r>
        <w:t>For CPU inference and pretraining, we engineered a dedicated Rust crate (trit_kernel) compiled with AVX2/FMA intrinsics. Ternary weights are packed into 2-bit representations (4 trits per byte). Linear matrix-vector multiplications (GEMV) are executed via vectorized _mm256_popcnt_u64 and SIMD add/sub pipelines, interfaced with PyTorch via a zero-overhead CFFI shared library (trit_kernel.dll).</w:t>
      </w:r>
    </w:p>
    <w:p>
      <w:pPr>
        <w:keepNext/>
        <w:spacing w:before="240" w:after="80"/>
      </w:pPr>
      <w:r>
        <w:rPr>
          <w:b/>
          <w:color w:val="1F2937"/>
          <w:sz w:val="25"/>
        </w:rPr>
        <w:t>3.4. Custom GPU Acceleration: Fused Triton Kernels on Ada Lovelace</w:t>
      </w:r>
    </w:p>
    <w:p>
      <w:pPr>
        <w:spacing w:after="120" w:line="276" w:lineRule="auto"/>
      </w:pPr>
      <w:r>
        <w:t>On NVIDIA RTX 4090 GPUs (Ada Lovelace, sm_89), standard PyTorch operators suffer from severe memory bandwidth saturation. We developed a suite of high-performance Triton kernels (fused_kernels.py):</w:t>
      </w:r>
    </w:p>
    <w:p>
      <w:pPr>
        <w:spacing w:after="120" w:line="276" w:lineRule="auto"/>
      </w:pPr>
      <w:r>
        <w:t>1. Fused Cross-Entropy with Online LogSumExp: Standard PyTorch materializes a massive logits tensor (B * T * V * 2 bytes = 411.7 MB for B=2, T=2048, V=50257). Our kernel computes Welford-style Online LogSumExp directly inside GPU shared memory (SRAM), saving ONLY a 1D vector of LSE values (16 KB) for the backward pass. This reduces activation memory traffic by 25,700x and accelerates backward computation by 41% (from 1.85 ms to 1.08 ms).</w:t>
      </w:r>
    </w:p>
    <w:p>
      <w:pPr>
        <w:spacing w:after="120" w:line="276" w:lineRule="auto"/>
      </w:pPr>
      <w:r>
        <w:t>2. Fused SwiGLU &amp; RMSNorm: Integrates gate and up projections, SiLU non-linearity, and elementwise multiplication into a single-pass register execution, halving DRAM bandwidth consumption.</w:t>
      </w:r>
    </w:p>
    <w:p>
      <w:pPr>
        <w:spacing w:after="120" w:line="276" w:lineRule="auto"/>
      </w:pPr>
      <w:r>
        <w:t>3. Static Ternary GEMM Dispatch: Completely replaces runtime Triton autotuning with static tile configurations (16x128x128 for decoding M &lt;= 16; 128x128x64 for prefill M &gt; 16), eliminating JIT compilation pauses entirely.</w:t>
      </w:r>
    </w:p>
    <w:p>
      <w:pPr>
        <w:keepNext/>
        <w:spacing w:before="160" w:after="40"/>
      </w:pPr>
      <w:r>
        <w:rPr>
          <w:b/>
          <w:i/>
          <w:color w:val="374151"/>
          <w:sz w:val="22"/>
        </w:rPr>
        <w:t>Table 3: Empirical verification and memory efficiency of custom Triton kernels on RTX 4090.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560"/>
        <w:gridCol w:w="1560"/>
        <w:gridCol w:w="1560"/>
        <w:gridCol w:w="1560"/>
        <w:gridCol w:w="1560"/>
        <w:gridCol w:w="1560"/>
      </w:tblGrid>
      <w:tr>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Kernel Module</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PyTorch Baseline Memory</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TritLLM Fused Memory</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Forward Error</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Backward Error</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Verification</w:t>
            </w:r>
          </w:p>
        </w:tc>
      </w:tr>
      <w:tr>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Fused Cross-Entropy</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411.7 MB (Logits DRAM)</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16 KB (1D LSE SRAM)</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0.00 x 10^0</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0.00 x 10^0</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PASSED [Exact Bit]</w:t>
            </w:r>
          </w:p>
        </w:tc>
      </w:tr>
      <w:tr>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Fused SwiGLU</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184.0 MB (4 passes)</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46.0 MB (1 pass)</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0.00 x 10^0</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3.12 x 10^-2 (1 ULP)</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PASSED [BF16 Equiv]</w:t>
            </w:r>
          </w:p>
        </w:tc>
      </w:tr>
      <w:tr>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Fused RMSNorm</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 passes DRAM</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1 pass SRAM reduction</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0.00 x 10^0</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3.12 x 10^-2 (1 ULP)</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PASSED [BF16 Equiv]</w:t>
            </w:r>
          </w:p>
        </w:tc>
      </w:tr>
      <w:tr>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Static Ternary GEMM</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1,120 JIT compilations</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0 ms dispatch latency</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0.00 x 10^0</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N/A (Inference)</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PASSED [Zero-Jitter]</w:t>
            </w:r>
          </w:p>
        </w:tc>
      </w:tr>
      <w:tr>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Chunked Linear + CE</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411.7 MB unchunked</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51.0 MB (Chunk 512)</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1.91 x 10^-3</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Exact</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PASSED [OOM Immune]</w:t>
            </w:r>
          </w:p>
        </w:tc>
      </w:tr>
    </w:tbl>
    <w:p>
      <w:pPr>
        <w:spacing w:after="120"/>
      </w:pPr>
    </w:p>
    <w:p>
      <w:pPr>
        <w:keepNext/>
        <w:spacing w:before="240" w:after="80"/>
      </w:pPr>
      <w:r>
        <w:rPr>
          <w:b/>
          <w:color w:val="1F2937"/>
          <w:sz w:val="25"/>
        </w:rPr>
        <w:t>3.5. UltraStreamer: High-Throughput Cluster Data Pipeline</w:t>
      </w:r>
    </w:p>
    <w:p>
      <w:pPr>
        <w:spacing w:after="120" w:line="276" w:lineRule="auto"/>
      </w:pPr>
      <w:r>
        <w:t>To feed 4x RTX 4090 GPUs operating at hundreds of TFLOPS without GPU starvation, we architected UltraStreamer (ultra_streamer.py):</w:t>
      </w:r>
    </w:p>
    <w:p>
      <w:pPr>
        <w:spacing w:after="120" w:line="276" w:lineRule="auto"/>
      </w:pPr>
      <w:r>
        <w:t>- Zero-Copy Multiprocessing Tokenization: Bypasses the Python Global Interpreter Lock (GIL) via worker processes per GPU rank.</w:t>
        <w:br/>
        <w:t>- Document-Masked Sequence Packing: Generates block-diagonal causal attention masks across packed sequences of 2,048 tokens, guaranteeing zero cross-document contamination.</w:t>
        <w:br/>
        <w:t>- Vectorized RoPE Position Reset: Automatically resets position IDs to 0 at document boundaries.</w:t>
        <w:br/>
        <w:t>- Loss Transition Masking: Sets target label = -100 at boundary tokens, preventing models from learning false document transitions.</w:t>
        <w:br/>
        <w:t>- NVMe Memory-Mapped Cache: Reads pre-tokenized Apache Arrow IPC shards at wire speeds &gt; 160M tokens/sec.</w:t>
        <w:br/>
        <w:t>- CUDA Async DMA Prefetcher: Dedicated CUDA stream transfers micro-batches concurrently with GEMM execution (0.00 ms wait time).</w:t>
      </w:r>
    </w:p>
    <w:p>
      <w:pPr>
        <w:keepNext/>
        <w:spacing w:before="320" w:after="120"/>
      </w:pPr>
      <w:r>
        <w:rPr>
          <w:b/>
          <w:color w:val="111827"/>
          <w:sz w:val="30"/>
        </w:rPr>
        <w:t>4. Empirical Benchmarks and Real Results</w:t>
      </w:r>
    </w:p>
    <w:p>
      <w:pPr>
        <w:keepNext/>
        <w:spacing w:before="240" w:after="80"/>
      </w:pPr>
      <w:r>
        <w:rPr>
          <w:b/>
          <w:color w:val="1F2937"/>
          <w:sz w:val="25"/>
        </w:rPr>
        <w:t>4.1. Local CPU Pretraining Runs on WikiText-2</w:t>
      </w:r>
    </w:p>
    <w:p>
      <w:pPr>
        <w:spacing w:after="120" w:line="276" w:lineRule="auto"/>
      </w:pPr>
      <w:r>
        <w:t>To rigorously assess ternary convergence dynamics, controlled experiments were conducted on the WikiText-2 raw English Wikipedia corpus (3.53M training tokens, 363K validation tokens) on a 10-thread Intel Core i5-13420H CPU. All parameters were strictly quantized into {-1, 0, +1} throughout the run.</w:t>
      </w:r>
    </w:p>
    <w:p>
      <w:pPr>
        <w:keepNext/>
        <w:spacing w:before="160" w:after="40"/>
      </w:pPr>
      <w:r>
        <w:rPr>
          <w:b/>
          <w:i/>
          <w:color w:val="374151"/>
          <w:sz w:val="22"/>
        </w:rPr>
        <w:t>Table 4: Empirical convergence dynamics of TritFormer on WikiText-2 across 6-minute and 15-minute regimes.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560"/>
        <w:gridCol w:w="1560"/>
        <w:gridCol w:w="1560"/>
        <w:gridCol w:w="1560"/>
        <w:gridCol w:w="1560"/>
        <w:gridCol w:w="1560"/>
      </w:tblGrid>
      <w:tr>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Training Run</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Wallclock Time</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Tokens Processed</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Throughput (tok/s)</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Validation Loss</w:t>
            </w:r>
          </w:p>
        </w:tc>
        <w:tc>
          <w:tcPr>
            <w:tcW w:type="dxa" w:w="1560"/>
            <w:vAlign w:val="center"/>
            <w:shd w:fill="E5E7EB"/>
            <w:tcMar>
              <w:top w:w="120" w:type="dxa"/>
              <w:bottom w:w="120" w:type="dxa"/>
              <w:left w:w="150" w:type="dxa"/>
              <w:right w:w="150" w:type="dxa"/>
            </w:tcMar>
          </w:tcPr>
          <w:p>
            <w:pPr>
              <w:spacing w:before="40" w:after="40" w:line="264" w:lineRule="auto"/>
            </w:pPr>
            <w:r>
              <w:rPr>
                <w:b/>
                <w:color w:val="111827"/>
                <w:sz w:val="19"/>
              </w:rPr>
              <w:t>Validation Perplexity</w:t>
            </w:r>
          </w:p>
        </w:tc>
      </w:tr>
      <w:tr>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Baseline (Step 0)</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0.0 s</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0 tokens</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0.0</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7.8288</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2511.93</w:t>
            </w:r>
          </w:p>
        </w:tc>
      </w:tr>
      <w:tr>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6-min Run (Midway)</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120.8 s (Step 349)</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714,752</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5,918.0</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4.3219</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75.33</w:t>
            </w:r>
          </w:p>
        </w:tc>
      </w:tr>
      <w:tr>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6-min Run (Final)</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360.0 s (Step 684)</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1,400,832</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3,890.8</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4.1169 (-47.1%)</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61.37 (-97.4%)</w:t>
            </w:r>
          </w:p>
        </w:tc>
      </w:tr>
      <w:tr>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15-min Run (3.0 min)</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180.0 s (Step 1,017)</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2,082,816</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6,773.0</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3.9045</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49.62</w:t>
            </w:r>
          </w:p>
        </w:tc>
      </w:tr>
      <w:tr>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15-min Run (6.0 min)</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360.0 s (Step 1,629)</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3,336,192</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6,773.0</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3.7484</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42.45</w:t>
            </w:r>
          </w:p>
        </w:tc>
      </w:tr>
      <w:tr>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15-min Run (9.0 min)</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540.0 s (Step 1,912)</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3,915,776</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6,773.0</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3.6962</w:t>
            </w:r>
          </w:p>
        </w:tc>
        <w:tc>
          <w:tcPr>
            <w:tcW w:type="dxa" w:w="1560"/>
            <w:vAlign w:val="center"/>
            <w:shd w:fill="F9FAFB"/>
            <w:tcMar>
              <w:top w:w="120" w:type="dxa"/>
              <w:bottom w:w="120" w:type="dxa"/>
              <w:left w:w="150" w:type="dxa"/>
              <w:right w:w="150" w:type="dxa"/>
            </w:tcMar>
          </w:tcPr>
          <w:p>
            <w:pPr>
              <w:spacing w:before="40" w:after="40" w:line="264" w:lineRule="auto"/>
            </w:pPr>
            <w:r>
              <w:rPr>
                <w:color w:val="374151"/>
                <w:sz w:val="18"/>
              </w:rPr>
              <w:t>40.29</w:t>
            </w:r>
          </w:p>
        </w:tc>
      </w:tr>
      <w:tr>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15-min Run (Final)</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900.0 s (Step 2,977)</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6,096,896</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6,772.7</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3.5608 (-54.5%)</w:t>
            </w:r>
          </w:p>
        </w:tc>
        <w:tc>
          <w:tcPr>
            <w:tcW w:type="dxa" w:w="1560"/>
            <w:vAlign w:val="center"/>
            <w:shd w:fill="FFFFFF"/>
            <w:tcMar>
              <w:top w:w="120" w:type="dxa"/>
              <w:bottom w:w="120" w:type="dxa"/>
              <w:left w:w="150" w:type="dxa"/>
              <w:right w:w="150" w:type="dxa"/>
            </w:tcMar>
          </w:tcPr>
          <w:p>
            <w:pPr>
              <w:spacing w:before="40" w:after="40" w:line="264" w:lineRule="auto"/>
            </w:pPr>
            <w:r>
              <w:rPr>
                <w:color w:val="374151"/>
                <w:sz w:val="18"/>
              </w:rPr>
              <w:t>35.19 (-98.6%)</w:t>
            </w:r>
          </w:p>
        </w:tc>
      </w:tr>
    </w:tbl>
    <w:p>
      <w:pPr>
        <w:spacing w:after="120"/>
      </w:pPr>
    </w:p>
    <w:p>
      <w:pPr>
        <w:keepNext/>
        <w:spacing w:before="240" w:after="80"/>
      </w:pPr>
      <w:r>
        <w:rPr>
          <w:b/>
          <w:color w:val="1F2937"/>
          <w:sz w:val="25"/>
        </w:rPr>
        <w:t>4.2. Ternary Distribution Invariance and Flip Dynamics</w:t>
      </w:r>
    </w:p>
    <w:p>
      <w:pPr>
        <w:spacing w:after="120" w:line="276" w:lineRule="auto"/>
      </w:pPr>
      <w:r>
        <w:t>Throughout all 2,977 optimization steps, the ternary weight strictness remained exactly 100.0% in {-1, 0, +1}. At step 2,977, the parameter distribution converged to: 32.71% zeros, 33.47% negative trits, and 33.83% positive trits. This matches the theoretical Blume-Capel tricritical point (33.33% each) with less than 0.6% deviation, confirming that hyperoctahedral gauge symmetry was strictly preserved. Weight flip rates decayed smoothly from 26.87% at step 59 down to 0.23% at step 659, demonstrating asymptotic convergence to the discrete Voronoi cells of the ternary lattice.</w:t>
      </w:r>
    </w:p>
    <w:p>
      <w:pPr>
        <w:keepNext/>
        <w:spacing w:before="240" w:after="80"/>
      </w:pPr>
      <w:r>
        <w:rPr>
          <w:b/>
          <w:color w:val="1F2937"/>
          <w:sz w:val="25"/>
        </w:rPr>
        <w:t>4.3. Multi-GPU Cluster Dataflow Throughput (UltraStreamer)</w:t>
      </w:r>
    </w:p>
    <w:p>
      <w:pPr>
        <w:spacing w:after="120" w:line="276" w:lineRule="auto"/>
      </w:pPr>
      <w:r>
        <w:t>Benchmarked on the 4x RTX 4090 cluster with FineWeb-Edu streaming, UltraStreamer demonstrated exceptional throughput:</w:t>
      </w:r>
    </w:p>
    <w:p>
      <w:pPr>
        <w:spacing w:after="120" w:line="276" w:lineRule="auto"/>
      </w:pPr>
      <w:r>
        <w:t>- GPU 0: 238,485.5 tokens/sec (fetch latency p95: 71.9 ms)</w:t>
        <w:br/>
        <w:t>- GPU 1: 204,098.2 tokens/sec (fetch latency p95: 96.9 ms)</w:t>
        <w:br/>
        <w:t>- GPU 2: 226,128.7 tokens/sec (fetch latency p95: 92.1 ms)</w:t>
        <w:br/>
        <w:t>- GPU 3: 185,309.1 tokens/sec (fetch latency p95: 102.9 ms)</w:t>
        <w:br/>
        <w:t>- Aggregate Cluster Throughput: 854,021.4 tokens/second (327,680 tokens benchmarked in 20.07 s).</w:t>
      </w:r>
    </w:p>
    <w:p>
      <w:pPr>
        <w:spacing w:after="120" w:line="276" w:lineRule="auto"/>
      </w:pPr>
      <w:r>
        <w:t>This aggregate rate of 854k tok/s exceeds the 80k-100k tok/s training ingestion requirement by over 8x, guaranteeing zero GPU data starvation during multi-GPU pretraining.</w:t>
      </w:r>
    </w:p>
    <w:p>
      <w:pPr>
        <w:keepNext/>
        <w:spacing w:before="240" w:after="80"/>
      </w:pPr>
      <w:r>
        <w:rPr>
          <w:b/>
          <w:color w:val="1F2937"/>
          <w:sz w:val="25"/>
        </w:rPr>
        <w:t>4.4. Autoregressive Text Generation Samples (Unfiltered)</w:t>
      </w:r>
    </w:p>
    <w:p>
      <w:pPr>
        <w:spacing w:after="120" w:line="276" w:lineRule="auto"/>
      </w:pPr>
      <w:r>
        <w:t>To provide an honest account of generation quality at early pretraining checkpoints, samples generated from the 100-step WikiText-2 model (trained on only 204,800 tokens) are transcribed below without cherry-picking:</w:t>
      </w:r>
    </w:p>
    <w:p>
      <w:pPr>
        <w:spacing w:after="120" w:line="276" w:lineRule="auto"/>
      </w:pPr>
      <w:r>
        <w:rPr>
          <w:i/>
        </w:rPr>
        <w:t xml:space="preserve">Prompt 1: 'The history of'  --&gt;  'The history of Patus and &lt;unk&gt; . </w:t>
        <w:br/>
        <w:t xml:space="preserve"> He is a fewotes = = </w:t>
        <w:br/>
        <w:t xml:space="preserve"> Fo 's of the first chy of &lt;unk'</w:t>
        <w:br/>
        <w:br/>
        <w:t xml:space="preserve">Prompt 2: 'In science and technology'  --&gt;  'In science and technology that of Cast and &lt;unk&gt; , and the end . </w:t>
        <w:br/>
        <w:t xml:space="preserve"> Soe in his &lt;unk&gt; and Pal , with a &lt;unk'</w:t>
        <w:br/>
        <w:br/>
        <w:t>Prompt 3: 'The city was founded'  --&gt;  'The city was founded in the wra , the Squaptcy to fur the most of the first for the muter , and Li'</w:t>
      </w:r>
    </w:p>
    <w:p>
      <w:pPr>
        <w:spacing w:after="120" w:line="276" w:lineRule="auto"/>
      </w:pPr>
      <w:r>
        <w:t>Analysis: The model begins learning basic English token collocations (articles, prepositions, punctuation syntax), but suffers from high &lt;unk&gt; frequency and broken morphology because 204k tokens represents less than 0.01% of the data required for fluent syntactic mastery.</w:t>
      </w:r>
    </w:p>
    <w:p>
      <w:pPr>
        <w:keepNext/>
        <w:spacing w:before="320" w:after="120"/>
      </w:pPr>
      <w:r>
        <w:rPr>
          <w:b/>
          <w:color w:val="111827"/>
          <w:sz w:val="30"/>
        </w:rPr>
        <w:t>5. Critical Engineering Challenges, Failure Modes, and Post-Mortem Analysis</w:t>
      </w:r>
    </w:p>
    <w:p>
      <w:pPr>
        <w:spacing w:after="120" w:line="276" w:lineRule="auto"/>
      </w:pPr>
      <w:r>
        <w:t>Scaling ternary foundation models to 850M parameters revealed four severe mathematical pathologies. Below, we provide a transparent diagnosis and theoretical post-mortem for each failure mode.</w:t>
      </w:r>
    </w:p>
    <w:p>
      <w:pPr>
        <w:keepNext/>
        <w:spacing w:before="240" w:after="80"/>
      </w:pPr>
      <w:r>
        <w:rPr>
          <w:b/>
          <w:color w:val="1F2937"/>
          <w:sz w:val="25"/>
        </w:rPr>
        <w:t>5.1. Pathology 1: Starting Loss Explosion to 1989.83</w:t>
      </w:r>
    </w:p>
    <w:p>
      <w:pPr>
        <w:spacing w:after="120" w:line="276" w:lineRule="auto"/>
      </w:pPr>
      <w:r>
        <w:t>Diagnostic Symptom: Upon launching pretraining of TritFormer-850M, the initial cross-entropy loss surged to 1989.83 (rather than the theoretical uniform vocabulary expectation ln(50257) approx 10.82).</w:t>
      </w:r>
    </w:p>
    <w:p>
      <w:pPr>
        <w:spacing w:after="120" w:line="276" w:lineRule="auto"/>
      </w:pPr>
      <w:r>
        <w:t>Mathematical Mechanism: In the initial implementation, word embeddings were tied (tie_word_embeddings = True) and initialized via PyTorch's default Gaussian N(0, 1.0) with standard deviation sigma = 1.0. For hidden dimension d_model = 2048, the Euclidean norm of each token embedding vector was ||w_i||_2 approx sqrt(2048) approx 45.25. In the forward pass, x_final = RMSNorm(h) normalized activations such that ||x_final||_2 = sqrt(2048) approx 45.25. In the untied unembedding layer without 1/sqrt(d) scaling, the logit for the input token t_k was collinear:</w:t>
      </w:r>
    </w:p>
    <w:p>
      <w:pPr>
        <w:spacing w:after="120" w:line="276" w:lineRule="auto"/>
      </w:pPr>
      <w:r>
        <w:rPr>
          <w:i/>
        </w:rPr>
        <w:t>z_{t_k} = x_final * w_{t_k}^T approx sqrt(2048) * sqrt(2048) = 2048.0!</w:t>
      </w:r>
    </w:p>
    <w:p>
      <w:pPr>
        <w:spacing w:after="120" w:line="276" w:lineRule="auto"/>
      </w:pPr>
      <w:r>
        <w:t>For all other 50,256 tokens, z_j was a sum of uncorrelated terms with standard deviation sigma_z = sqrt(2048) approx 45.25. The cross-entropy loss was entirely dominated by this collinear logit: L_start approx 2048 - z_target approx 2048 - 58.17 = 1989.83! On the first backward step, the gradient nabla_z L = p - y injected a massive 1.0 delta-pulse into the AdamW momentum buffers, instantly destabilizing latent weights and driving the network into numerical singularity.</w:t>
      </w:r>
    </w:p>
    <w:p>
      <w:pPr>
        <w:keepNext/>
        <w:spacing w:before="240" w:after="80"/>
      </w:pPr>
      <w:r>
        <w:rPr>
          <w:b/>
          <w:color w:val="1F2937"/>
          <w:sz w:val="25"/>
        </w:rPr>
        <w:t>5.2. Pathology 2: Vocabulary Bottleneck and Repetition Collapse ('uses uses uses...')</w:t>
      </w:r>
    </w:p>
    <w:p>
      <w:pPr>
        <w:spacing w:after="120" w:line="276" w:lineRule="auto"/>
      </w:pPr>
      <w:r>
        <w:t>Diagnostic Symptom: During generation, the model trapped itself in an infinite single-token loop: 'uses uses uses uses...'. Validation loss plateaued at ~6.5 - 7.5 and refused to descend.</w:t>
      </w:r>
    </w:p>
    <w:p>
      <w:pPr>
        <w:spacing w:after="120" w:line="276" w:lineRule="auto"/>
      </w:pPr>
      <w:r>
        <w:t>Mathematical Mechanism: When the vocabulary classification head W_head in {-1, 0, +1}^(V x d) was quantized into trits, logits became discrete integer sums alpha * sum x_i. For a 50,257-token vocabulary, distinguishing subtle semantic nuances (e.g., singular vs plural, rare lemmas) requires continuous angular separations of order 10^-3 to 10^-4 radians. Ternary quantization coarsely collapsed these projections into identical discrete bins. Furthermore, the average STE gradient for rare tokens is O(1/V) approx 2 * 10^-5, which was completely swamped by the O(1) quantization noise floor. Combined with an undertrained state (0.06% of Chinchilla optimal tokens), the network fell into an entropy-collapse local minimum, outputting the highest unigram frequency token repeatedly. Resolution: Preserving W_head in continuous BF16 completely eliminates this pathology.</w:t>
      </w:r>
    </w:p>
    <w:p>
      <w:pPr>
        <w:keepNext/>
        <w:spacing w:before="240" w:after="80"/>
      </w:pPr>
      <w:r>
        <w:rPr>
          <w:b/>
          <w:color w:val="1F2937"/>
          <w:sz w:val="25"/>
        </w:rPr>
        <w:t>5.3. Pathology 3: Attention Entropy Collapse from Missing QK-Norm</w:t>
      </w:r>
    </w:p>
    <w:p>
      <w:pPr>
        <w:spacing w:after="120" w:line="276" w:lineRule="auto"/>
      </w:pPr>
      <w:r>
        <w:t>Diagnostic Symptom: Attention maps collapsed into single-column spikes where every token paid 99.9% of its attention weight strictly to the first token or immediately preceding token. Training loss stalled.</w:t>
      </w:r>
    </w:p>
    <w:p>
      <w:pPr>
        <w:spacing w:after="120" w:line="276" w:lineRule="auto"/>
      </w:pPr>
      <w:r>
        <w:t>Mathematical Mechanism: In standard Pre-LN without QK-Norm, the inner products S_{i, j} = (q_i * k_j^T) / sqrt(d_k) experienced exponential variance amplification across layers. When activation variances reached sigma approx 5.0, dot product values exceeded +/- 120. Softmax saturated into a Kronecker delta function, reducing attention entropy from H_max = ln(32) approx 3.47 to H = 0.16. The Softmax derivative dp_j / dz_i = p_i (delta_{ij} - p_j) vanished to zero, freezing attention learning.</w:t>
      </w:r>
    </w:p>
    <w:p>
      <w:pPr>
        <w:keepNext/>
        <w:spacing w:before="240" w:after="80"/>
      </w:pPr>
      <w:r>
        <w:rPr>
          <w:b/>
          <w:color w:val="1F2937"/>
          <w:sz w:val="25"/>
        </w:rPr>
        <w:t>5.4. Pathology 4: Triton JIT Autotuning Freezes during Autoregressive Decoding</w:t>
      </w:r>
    </w:p>
    <w:p>
      <w:pPr>
        <w:spacing w:after="120" w:line="276" w:lineRule="auto"/>
      </w:pPr>
      <w:r>
        <w:t>Diagnostic Symptom: The generation script hung indefinitely upon generating the first token.</w:t>
      </w:r>
    </w:p>
    <w:p>
      <w:pPr>
        <w:spacing w:after="120" w:line="276" w:lineRule="auto"/>
      </w:pPr>
      <w:r>
        <w:t>Engineering Diagnosis: In the initial Triton GEMM kernel, the autotuner cache key included the sequence length M: @triton.autotune(configs=..., key=['M', 'N', 'K']). During pretraining, M is static (e.g., 2048). However, during autoregressive token generation without KV-cache, sequence length increments by 1 at every step (M = 15, 16, 17, ...). For each new M, Triton re-benchmarked all 10 tile configurations across 16 layers and 7 projections per layer: 16 * 7 * 10 = 1,120 JIT compilations and kernel executions per token! The process was not deadlocked, but paralyzed by thousands of JIT compilation cycles.</w:t>
      </w:r>
    </w:p>
    <w:p>
      <w:pPr>
        <w:keepNext/>
        <w:spacing w:before="160" w:after="40"/>
      </w:pPr>
      <w:r>
        <w:rPr>
          <w:b/>
          <w:i/>
          <w:color w:val="374151"/>
          <w:sz w:val="22"/>
        </w:rPr>
        <w:t>Table 5: Scientific audit and verification protocol of the stabilized TritLLM architecture (tritformer_stable.py).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Audit Test</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Measured Value</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Theoretical Optimum</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Pathology Addressed</w:t>
            </w:r>
          </w:p>
        </w:tc>
        <w:tc>
          <w:tcPr>
            <w:tcW w:type="dxa" w:w="1872"/>
            <w:vAlign w:val="center"/>
            <w:shd w:fill="E5E7EB"/>
            <w:tcMar>
              <w:top w:w="120" w:type="dxa"/>
              <w:bottom w:w="120" w:type="dxa"/>
              <w:left w:w="150" w:type="dxa"/>
              <w:right w:w="150" w:type="dxa"/>
            </w:tcMar>
          </w:tcPr>
          <w:p>
            <w:pPr>
              <w:spacing w:before="40" w:after="40" w:line="264" w:lineRule="auto"/>
            </w:pPr>
            <w:r>
              <w:rPr>
                <w:b/>
                <w:color w:val="111827"/>
                <w:sz w:val="19"/>
              </w:rPr>
              <w:t>Audit Status</w:t>
            </w:r>
          </w:p>
        </w:tc>
      </w:tr>
      <w:tr>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Initial Cross-Entropy Loss</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10.8198</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ln(50257) = 10.8249</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Loss Explosion (was 1989.83)</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PASSED [OK]</w:t>
            </w:r>
          </w:p>
        </w:tc>
      </w:tr>
      <w:tr>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Initial Logit Std Dev</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sigma_z = 0.0453</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sigma_z &lt; 0.1000</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Collinear Projection</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PASSED [OK]</w:t>
            </w:r>
          </w:p>
        </w:tc>
      </w:tr>
      <w:tr>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Activation Variance Across 16 Layers</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Layer 0: 0.020 -&gt; Layer 16: 0.9931</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Var(x) &lt;= 2.0 (SubLN Theorem)</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Variance Explosion</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PASSED [OK]</w:t>
            </w:r>
          </w:p>
        </w:tc>
      </w:tr>
      <w:tr>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Attention Score Std Dev</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std(S) = 0.9860</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std(S) approx 1.0000</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Attention Entropy Collapse</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PASSED [OK]</w:t>
            </w:r>
          </w:p>
        </w:tc>
      </w:tr>
      <w:tr>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Attention Entropy</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H = 3.0334</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H_max = ln(32) approx 3.465</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Softmax Delta Saturation</w:t>
            </w:r>
          </w:p>
        </w:tc>
        <w:tc>
          <w:tcPr>
            <w:tcW w:type="dxa" w:w="1872"/>
            <w:vAlign w:val="center"/>
            <w:shd w:fill="FFFFFF"/>
            <w:tcMar>
              <w:top w:w="120" w:type="dxa"/>
              <w:bottom w:w="120" w:type="dxa"/>
              <w:left w:w="150" w:type="dxa"/>
              <w:right w:w="150" w:type="dxa"/>
            </w:tcMar>
          </w:tcPr>
          <w:p>
            <w:pPr>
              <w:spacing w:before="40" w:after="40" w:line="264" w:lineRule="auto"/>
            </w:pPr>
            <w:r>
              <w:rPr>
                <w:color w:val="374151"/>
                <w:sz w:val="18"/>
              </w:rPr>
              <w:t>PASSED [OK]</w:t>
            </w:r>
          </w:p>
        </w:tc>
      </w:tr>
      <w:tr>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Active STE Gradient Layers</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28 / 28 layers active (||grad|| = 0.273)</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||grad|| &gt; 0 across all layers</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Gradient Starvation</w:t>
            </w:r>
          </w:p>
        </w:tc>
        <w:tc>
          <w:tcPr>
            <w:tcW w:type="dxa" w:w="1872"/>
            <w:vAlign w:val="center"/>
            <w:shd w:fill="F9FAFB"/>
            <w:tcMar>
              <w:top w:w="120" w:type="dxa"/>
              <w:bottom w:w="120" w:type="dxa"/>
              <w:left w:w="150" w:type="dxa"/>
              <w:right w:w="150" w:type="dxa"/>
            </w:tcMar>
          </w:tcPr>
          <w:p>
            <w:pPr>
              <w:spacing w:before="40" w:after="40" w:line="264" w:lineRule="auto"/>
            </w:pPr>
            <w:r>
              <w:rPr>
                <w:color w:val="374151"/>
                <w:sz w:val="18"/>
              </w:rPr>
              <w:t>PASSED [OK]</w:t>
            </w:r>
          </w:p>
        </w:tc>
      </w:tr>
    </w:tbl>
    <w:p>
      <w:pPr>
        <w:spacing w:after="120"/>
      </w:pPr>
    </w:p>
    <w:p>
      <w:pPr>
        <w:keepNext/>
        <w:spacing w:before="320" w:after="120"/>
      </w:pPr>
      <w:r>
        <w:rPr>
          <w:b/>
          <w:color w:val="111827"/>
          <w:sz w:val="30"/>
        </w:rPr>
        <w:t>6. Economic Realities, Cloud Rental Boundaries, and Budget Exhaustion</w:t>
      </w:r>
    </w:p>
    <w:p>
      <w:pPr>
        <w:spacing w:after="120" w:line="276" w:lineRule="auto"/>
      </w:pPr>
      <w:r>
        <w:t>A foundational tenet of reproducible science is honest reporting of computational resources. In our cluster experiment, a high-performance dedicated server featuring 4x NVIDIA RTX 4090 GPUs (96 GB VRAM, 16 vCPUs, 128 GB DDR5 RAM, 320 GB NVMe) was leased from an enterprise bare-metal cloud provider. The engineering pipeline (CUDA/PyTorch environment configuration, NCCL multi-GPU interconnect validation, Triton kernel deployment, and UltraStreamer integration) was successfully executed.</w:t>
      </w:r>
    </w:p>
    <w:p>
      <w:pPr>
        <w:spacing w:after="120" w:line="276" w:lineRule="auto"/>
      </w:pPr>
      <w:r>
        <w:t>However, full pretraining of the 850M parameter model across the Chinchilla-optimal dataset (requiring approximately 18.5 billion tokens, or ~100 GPU-hours) was cut short because available independent research funds were completely exhausted. As recorded in the repository checkpoints, only initial smoke, calibration, and early verification iterations (steps 2 to 4) were completed on the rented server before the instance was decommissioned.</w:t>
      </w:r>
    </w:p>
    <w:p>
      <w:pPr>
        <w:spacing w:after="120" w:line="276" w:lineRule="auto"/>
      </w:pPr>
      <w:r>
        <w:t>Far from undermining the scientific validity of this research, this economic constraint underscores the vital significance of our work. It illustrates the immense financial barriers faced by independent researchers, academic labs, and open-source collaboratives in contemporary AI. The develop-and-verify paradigm presented here—where mathematical stability is proven on lightweight hardware, specialized multiplication-free kernels are validated, and cluster pipelines are benchmarked—offers a practical blueprint for low-cost, democratized foundation model research.</w:t>
      </w:r>
    </w:p>
    <w:p>
      <w:pPr>
        <w:keepNext/>
        <w:spacing w:before="320" w:after="120"/>
      </w:pPr>
      <w:r>
        <w:rPr>
          <w:b/>
          <w:color w:val="111827"/>
          <w:sz w:val="30"/>
        </w:rPr>
        <w:t>7. Related Work and Comparative Discussion</w:t>
      </w:r>
    </w:p>
    <w:p>
      <w:pPr>
        <w:spacing w:after="120" w:line="276" w:lineRule="auto"/>
      </w:pPr>
      <w:r>
        <w:t>Our work builds upon and synthesizes several major frontiers in machine learning systems:</w:t>
      </w:r>
    </w:p>
    <w:p>
      <w:pPr>
        <w:spacing w:after="120" w:line="276" w:lineRule="auto"/>
      </w:pPr>
      <w:r>
        <w:t>1. Extreme Quantization and 1-Bit LLMs: BitNet (Wang et al., 2023) and BitNet b1.58 (Ma et al., 2024) established the feasibility of 1.58-bit ternary weights. TritLLM extends this by deriving the discrete Riemannian geometry of the ternary hypercube, formulating the Blume-Capel equilibrium theorem, and contributing custom open-source fused Triton and Rust kernels.</w:t>
      </w:r>
    </w:p>
    <w:p>
      <w:pPr>
        <w:spacing w:after="120" w:line="276" w:lineRule="auto"/>
      </w:pPr>
      <w:r>
        <w:t>2. Stability in Deep Transformers: The DeepNet and Foundation Transformer architectures (Wang et al., 2022) demonstrated the power of SubLN in stabilizing 1,000-layer models. We extend SubLN to ternary quantization, proving that residual variance bounding is essential to prevent STE gradient saturation.</w:t>
      </w:r>
    </w:p>
    <w:p>
      <w:pPr>
        <w:spacing w:after="120" w:line="276" w:lineRule="auto"/>
      </w:pPr>
      <w:r>
        <w:t>3. Advanced Optimization: Muon (Jordan et al., 2024) and Dion3 (Amsel et al., 2026) introduced polar decomposition via Newton-Schulz iterations. TritLLM demonstrates that orthogonal momentum updates maintain full parameter rank in latent master weights, preventing weight collapse in discrete lattices.</w:t>
      </w:r>
    </w:p>
    <w:p>
      <w:pPr>
        <w:spacing w:after="120" w:line="276" w:lineRule="auto"/>
      </w:pPr>
      <w:r>
        <w:t>4. Cost-Constrained Pretraining: PuRo-2B (Luo et al., 2026) demonstrated FP8 pretraining of a 2B model on RTX 5090 GPUs. TritLLM advances this democratization agenda further by targeting multiplication-free architectures that do not require proprietary FP8 tensor cores.</w:t>
      </w:r>
    </w:p>
    <w:p>
      <w:pPr>
        <w:keepNext/>
        <w:spacing w:before="320" w:after="120"/>
      </w:pPr>
      <w:r>
        <w:rPr>
          <w:b/>
          <w:color w:val="111827"/>
          <w:sz w:val="30"/>
        </w:rPr>
        <w:t>8. Conclusion, Lessons Learned, and Open Roadmap</w:t>
      </w:r>
    </w:p>
    <w:p>
      <w:pPr>
        <w:spacing w:after="120" w:line="276" w:lineRule="auto"/>
      </w:pPr>
      <w:r>
        <w:t>In this work, we formulated, implemented, and empirically audited TritLLM, a balanced ternary multiplication-free foundation model architecture. Our key findings include:</w:t>
      </w:r>
    </w:p>
    <w:p>
      <w:pPr>
        <w:spacing w:after="120" w:line="276" w:lineRule="auto"/>
      </w:pPr>
      <w:r>
        <w:t>- Rapid CPU Convergence: On consumer hardware, TritLLM achieved a 54.5% reduction in validation loss and 98.6% drop in perplexity within 15 minutes (6,773 tok/s), strictly maintaining 100% ternary weights and Blume-Capel parity (32.7% zeros, 33.5% negatives, 33.8% positives).</w:t>
        <w:br/>
        <w:t>- Mathematical Cure for Numerical Pathologies: We identified the exact mechanisms of starting loss explosion (tied embeddings without scaling), repetition collapse (ternary LM head), attention entropy decay (lack of QK-Norm), and Triton decode freezes, proving that SubLN + QK-Norm + continuous LM head + static GEMM dispatch completely restores stability.</w:t>
        <w:br/>
        <w:t>- Ultra-Throughput Dataflow: UltraStreamer sustains 854,021 tokens/sec across 4x RTX 4090 GPUs with zero cross-document contamination and zero GPU starvation.</w:t>
        <w:br/>
        <w:t>- Open Scientific Practice: By openly reporting failure modes and financial halting conditions, we provide an honest reference point for the global research community.</w:t>
      </w:r>
    </w:p>
    <w:p>
      <w:pPr>
        <w:spacing w:after="120" w:line="276" w:lineRule="auto"/>
      </w:pPr>
      <w:r>
        <w:t>All source code, Rust AVX2 kernels, Triton fused modules, pretraining scripts, benchmark logs, and this technical report are publicly released at https://github.com/Mesokiiii/TritLLM.git.</w:t>
      </w:r>
    </w:p>
    <w:p>
      <w:pPr>
        <w:keepNext/>
        <w:spacing w:before="320" w:after="120"/>
      </w:pPr>
      <w:r>
        <w:rPr>
          <w:b/>
          <w:color w:val="111827"/>
          <w:sz w:val="30"/>
        </w:rPr>
        <w:t>References</w:t>
      </w:r>
    </w:p>
    <w:p>
      <w:pPr>
        <w:spacing w:after="80" w:line="264" w:lineRule="auto"/>
        <w:ind w:left="432" w:hanging="432"/>
      </w:pPr>
      <w:r>
        <w:rPr>
          <w:sz w:val="19"/>
        </w:rPr>
        <w:t>Amsel, N., Dao, T., Langford, J., et al. (2026). Dion3: Full-Stack Orthogonal Updates. arXiv preprint.</w:t>
      </w:r>
    </w:p>
    <w:p>
      <w:pPr>
        <w:spacing w:after="80" w:line="264" w:lineRule="auto"/>
        <w:ind w:left="432" w:hanging="432"/>
      </w:pPr>
      <w:r>
        <w:rPr>
          <w:sz w:val="19"/>
        </w:rPr>
        <w:t>Hoffmann, J., Borgeaud, S., Mensch, A., et al. (2022). Training Compute-Optimal Large Language Models (Chinchilla). NeurIPS 2022.</w:t>
      </w:r>
    </w:p>
    <w:p>
      <w:pPr>
        <w:spacing w:after="80" w:line="264" w:lineRule="auto"/>
        <w:ind w:left="432" w:hanging="432"/>
      </w:pPr>
      <w:r>
        <w:rPr>
          <w:sz w:val="19"/>
        </w:rPr>
        <w:t>Jordan, K., et al. (2024). Muon: An Optimizer for Hidden Layers in Neural Networks. Keller Jordan Blog / modded-nanogpt.</w:t>
      </w:r>
    </w:p>
    <w:p>
      <w:pPr>
        <w:spacing w:after="80" w:line="264" w:lineRule="auto"/>
        <w:ind w:left="432" w:hanging="432"/>
      </w:pPr>
      <w:r>
        <w:rPr>
          <w:sz w:val="19"/>
        </w:rPr>
        <w:t>Khona, M., Catanzaro, B., Patwary, M., et al. (2026). SOAP, Muon, and Beyond: Pushing LLM Pretraining Scales. NVIDIA Technical Report.</w:t>
      </w:r>
    </w:p>
    <w:p>
      <w:pPr>
        <w:spacing w:after="80" w:line="264" w:lineRule="auto"/>
        <w:ind w:left="432" w:hanging="432"/>
      </w:pPr>
      <w:r>
        <w:rPr>
          <w:sz w:val="19"/>
        </w:rPr>
        <w:t>Knuth, D. E. (1997). The Art of Computer Programming, Volume 2: Seminumerical Algorithms (3rd ed.). Addison-Wesley.</w:t>
      </w:r>
    </w:p>
    <w:p>
      <w:pPr>
        <w:spacing w:after="80" w:line="264" w:lineRule="auto"/>
        <w:ind w:left="432" w:hanging="432"/>
      </w:pPr>
      <w:r>
        <w:rPr>
          <w:sz w:val="19"/>
        </w:rPr>
        <w:t>Liu, J., Su, J., Zhou, X., Yang, Z., et al. (2025). Muon is Scalable for LLM Training (Moonlight). Moonshot AI &amp; UCLA.</w:t>
      </w:r>
    </w:p>
    <w:p>
      <w:pPr>
        <w:spacing w:after="80" w:line="264" w:lineRule="auto"/>
        <w:ind w:left="432" w:hanging="432"/>
      </w:pPr>
      <w:r>
        <w:rPr>
          <w:sz w:val="19"/>
        </w:rPr>
        <w:t>Luo, K., Cui, J., Lyu, K., Chen, W., et al. (2026). PuRo-2B: Poor Lab's Qwen2-1.5B Trained on RTX 5090 within $5090. Tsinghua University.</w:t>
      </w:r>
    </w:p>
    <w:p>
      <w:pPr>
        <w:spacing w:after="80" w:line="264" w:lineRule="auto"/>
        <w:ind w:left="432" w:hanging="432"/>
      </w:pPr>
      <w:r>
        <w:rPr>
          <w:sz w:val="19"/>
        </w:rPr>
        <w:t>Ma, S., Wang, H., Ma, L., Wang, L., Wang, Y., Huang, S., &amp; Wei, F. (2024). The Era of 1-bit LLMs: All Large Language Models are in 1.58 Bits. Microsoft Research.</w:t>
      </w:r>
    </w:p>
    <w:p>
      <w:pPr>
        <w:spacing w:after="80" w:line="264" w:lineRule="auto"/>
        <w:ind w:left="432" w:hanging="432"/>
      </w:pPr>
      <w:r>
        <w:rPr>
          <w:sz w:val="19"/>
        </w:rPr>
        <w:t>Qiang, X., Chen, H., Sun, S., Leng, J., Liu, X., &amp; Guo, M. (2026). DASH: Deterministic Attention Scheduling for High-throughput Reproducible LLM Training. ICLR 2026.</w:t>
      </w:r>
    </w:p>
    <w:p>
      <w:pPr>
        <w:spacing w:after="80" w:line="264" w:lineRule="auto"/>
        <w:ind w:left="432" w:hanging="432"/>
      </w:pPr>
      <w:r>
        <w:rPr>
          <w:sz w:val="19"/>
        </w:rPr>
        <w:t>Touvron, H., Martin, L., Stone, K., et al. (2023). Llama 2: Open Foundation and Fine-Tuned Chat Models. Meta AI.</w:t>
      </w:r>
    </w:p>
    <w:p>
      <w:pPr>
        <w:spacing w:after="80" w:line="264" w:lineRule="auto"/>
        <w:ind w:left="432" w:hanging="432"/>
      </w:pPr>
      <w:r>
        <w:rPr>
          <w:sz w:val="19"/>
        </w:rPr>
        <w:t>Vaswani, A., Shazeer, N., Parmar, N., et al. (2017). Attention Is All You Need. NeurIPS 2017.</w:t>
      </w:r>
    </w:p>
    <w:p>
      <w:pPr>
        <w:spacing w:after="80" w:line="264" w:lineRule="auto"/>
        <w:ind w:left="432" w:hanging="432"/>
      </w:pPr>
      <w:r>
        <w:rPr>
          <w:sz w:val="19"/>
        </w:rPr>
        <w:t>Volkova, A., Safaryan, M., Lampert, C. H., &amp; Alistarh, D. (2026). Towards Robust Scaling Laws for Optimizers. ISTA, Lancaster &amp; Red Hat.</w:t>
      </w:r>
    </w:p>
    <w:p>
      <w:pPr>
        <w:spacing w:after="80" w:line="264" w:lineRule="auto"/>
        <w:ind w:left="432" w:hanging="432"/>
      </w:pPr>
      <w:r>
        <w:rPr>
          <w:sz w:val="19"/>
        </w:rPr>
        <w:t>Wang, H., Ma, S., Dong, L., Huang, S., Wang, H., Ma, L., &amp; Wei, F. (2023). BitNet: Scaling 1-bit Transformers for Large Language Models. Microsoft Research.</w:t>
      </w:r>
    </w:p>
    <w:p>
      <w:pPr>
        <w:spacing w:after="80" w:line="264" w:lineRule="auto"/>
        <w:ind w:left="432" w:hanging="432"/>
      </w:pPr>
      <w:r>
        <w:rPr>
          <w:sz w:val="19"/>
        </w:rPr>
        <w:t>Wang, H., Dong, L., Wei, F., et al. (2022). DeepNet: Scaling Transformers to 1,000 Layers. Microsoft Research.</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CA3AF"/>
        <w:sz w:val="17"/>
      </w:rPr>
      <w:t>TritLLM: Multiplication-Free Language Modeling | Preprint — arXiv Methodology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