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PLS-SEM Analysis Report</w:t>
      </w:r>
    </w:p>
    <w:p>
      <w:r>
        <w:t>Generated 2026-07-07 · dataset: CASP.csv (n = 45730) · engine: seminr 2.5.0 · bootstrap: 5,000 resamples, fixed seed 123.</w:t>
      </w:r>
    </w:p>
    <w:p>
      <w:pPr>
        <w:pStyle w:val="Heading1"/>
      </w:pPr>
      <w:r>
        <w:t>1. Method</w:t>
      </w:r>
    </w:p>
    <w:p>
      <w:r>
        <w:t>Partial least squares structural equation modeling (PLS-SEM) was applied to a model with 2 constructs (reflective: RMSD, F1) and 1 structural paths. No missing-value code was specified. Significance was assessed with 5,000 bootstrap resamples using percentile confidence intervals.</w:t>
      </w:r>
    </w:p>
    <w:p>
      <w:r>
        <w:t>Data screening produced 1 finding(s) (duplicate_rows); details are stored with the dataset audit log.</w:t>
      </w:r>
    </w:p>
    <w:p>
      <w:pPr>
        <w:pStyle w:val="Heading1"/>
      </w:pPr>
      <w:r>
        <w:t>2. Measurement Model Assessment</w:t>
      </w:r>
    </w:p>
    <w:p/>
    <w:p>
      <w:r>
        <w:t>Discriminant validity — HTMT (criterion &lt; 0.85; Henseler et al.,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Construct 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HTMT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F1 / RMSD</w:t>
            </w:r>
          </w:p>
        </w:tc>
        <w:tc>
          <w:tcPr>
            <w:tcW w:type="dxa" w:w="2880"/>
          </w:tcPr>
          <w:p>
            <w:r>
              <w:t>0.015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All reflective indicator loadings meet the 0.708 criterion.</w:t>
      </w:r>
    </w:p>
    <w:p>
      <w:pPr>
        <w:pStyle w:val="Heading1"/>
      </w:pPr>
      <w:r>
        <w:t>3. Structural Model Assessment</w:t>
      </w:r>
    </w:p>
    <w:p>
      <w:r>
        <w:t>Collinearity: all inner VIF values are below 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Endogenous construct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F1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very weak</w:t>
            </w:r>
          </w:p>
        </w:tc>
      </w:tr>
    </w:tbl>
    <w:p/>
    <w:p>
      <w:r>
        <w:t>Path coefficients with bootstrap significance (95% percentile CIs; verdict: CI excludes zero):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H1</w:t>
            </w:r>
          </w:p>
        </w:tc>
        <w:tc>
          <w:tcPr>
            <w:tcW w:type="dxa" w:w="1440"/>
          </w:tcPr>
          <w:p>
            <w:r>
              <w:t>RMSD -&gt; F1</w:t>
            </w:r>
          </w:p>
        </w:tc>
        <w:tc>
          <w:tcPr>
            <w:tcW w:type="dxa" w:w="1440"/>
          </w:tcPr>
          <w:p>
            <w:r>
              <w:t>-0.015</w:t>
            </w:r>
          </w:p>
        </w:tc>
        <w:tc>
          <w:tcPr>
            <w:tcW w:type="dxa" w:w="1440"/>
          </w:tcPr>
          <w:p>
            <w:r>
              <w:t>-3.265</w:t>
            </w:r>
          </w:p>
        </w:tc>
        <w:tc>
          <w:tcPr>
            <w:tcW w:type="dxa" w:w="1440"/>
          </w:tcPr>
          <w:p>
            <w:r>
              <w:t>[-0.024; -0.006]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</w:tbl>
    <w:p/>
    <w:p>
      <w:r>
        <w:t>Effect sizes f² (0.02 small / 0.15 medium / 0.35 large; Cohen, 1988):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RMSD -&gt; F1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</w:tbl>
    <w:p>
      <w:pPr>
        <w:pStyle w:val="Heading1"/>
      </w:pPr>
      <w:r>
        <w:t>4. Summary</w:t>
      </w:r>
    </w:p>
    <w:p>
      <w:r>
        <w:t>1 of 1 hypothesized paths are supported. Measurement/structural checks: 1 pass, 0 to review, 0 fail.</w:t>
      </w:r>
    </w:p>
    <w:p>
      <w:r>
        <w:t>Interpretive narrative (Discussion, Implications) has not been generated for this analysis; every statistic above is engine-computed.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