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PLS-SEM Analysis Report</w:t>
      </w:r>
    </w:p>
    <w:p>
      <w:r>
        <w:t>Generated 2026-07-07 · dataset: corp_rep.csv (n = 344) · engine: seminr 2.5.0 · bootstrap: 1,000 resamples, fixed seed 123.</w:t>
      </w:r>
    </w:p>
    <w:p>
      <w:pPr>
        <w:pStyle w:val="Heading1"/>
      </w:pPr>
      <w:r>
        <w:t>1. Method</w:t>
      </w:r>
    </w:p>
    <w:p>
      <w:r>
        <w:t>Partial least squares structural equation modeling (PLS-SEM) was applied to a model with 8 constructs (formative: QUAL, PERF, CSOR, ATTR; reflective: COMP, LIKE, CUSL; single-item: CUSA) and 13 structural paths. Values coded -99 were treated as missing and handled by mean replacement. Significance was assessed with 1,000 bootstrap resamples using percentile confidence intervals.</w:t>
      </w:r>
    </w:p>
    <w:p>
      <w:r>
        <w:t>Data screening produced 4 finding(s) (missing_values); details are stored with the dataset audit log.</w:t>
      </w:r>
    </w:p>
    <w:p>
      <w:pPr>
        <w:pStyle w:val="Heading1"/>
      </w:pPr>
      <w:r>
        <w:t>2. Measurement Model Assessment</w:t>
      </w:r>
    </w:p>
    <w:p>
      <w:r>
        <w:t>Internal consistency reliability and convergent validity (criteria: 0.70–0.95 for reliability; AVE ≥ 0.50; Hair et al., 2022):</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Construct</w:t>
            </w:r>
          </w:p>
        </w:tc>
        <w:tc>
          <w:tcPr>
            <w:tcW w:type="dxa" w:w="1440"/>
          </w:tcPr>
          <w:p>
            <w:r>
              <w:rPr>
                <w:b/>
              </w:rPr>
              <w:t>α</w:t>
            </w:r>
          </w:p>
        </w:tc>
        <w:tc>
          <w:tcPr>
            <w:tcW w:type="dxa" w:w="1440"/>
          </w:tcPr>
          <w:p>
            <w:r>
              <w:rPr>
                <w:b/>
              </w:rPr>
              <w:t>ρA</w:t>
            </w:r>
          </w:p>
        </w:tc>
        <w:tc>
          <w:tcPr>
            <w:tcW w:type="dxa" w:w="1440"/>
          </w:tcPr>
          <w:p>
            <w:r>
              <w:rPr>
                <w:b/>
              </w:rPr>
              <w:t>ρC</w:t>
            </w:r>
          </w:p>
        </w:tc>
        <w:tc>
          <w:tcPr>
            <w:tcW w:type="dxa" w:w="1440"/>
          </w:tcPr>
          <w:p>
            <w:r>
              <w:rPr>
                <w:b/>
              </w:rPr>
              <w:t>AVE</w:t>
            </w:r>
          </w:p>
        </w:tc>
        <w:tc>
          <w:tcPr>
            <w:tcW w:type="dxa" w:w="1440"/>
          </w:tcPr>
          <w:p>
            <w:r>
              <w:rPr>
                <w:b/>
              </w:rPr>
              <w:t>Verdict</w:t>
            </w:r>
          </w:p>
        </w:tc>
      </w:tr>
      <w:tr>
        <w:tc>
          <w:tcPr>
            <w:tcW w:type="dxa" w:w="1440"/>
          </w:tcPr>
          <w:p>
            <w:r>
              <w:t>COMP</w:t>
            </w:r>
          </w:p>
        </w:tc>
        <w:tc>
          <w:tcPr>
            <w:tcW w:type="dxa" w:w="1440"/>
          </w:tcPr>
          <w:p>
            <w:r>
              <w:t>0.776</w:t>
            </w:r>
          </w:p>
        </w:tc>
        <w:tc>
          <w:tcPr>
            <w:tcW w:type="dxa" w:w="1440"/>
          </w:tcPr>
          <w:p>
            <w:r>
              <w:t>0.786</w:t>
            </w:r>
          </w:p>
        </w:tc>
        <w:tc>
          <w:tcPr>
            <w:tcW w:type="dxa" w:w="1440"/>
          </w:tcPr>
          <w:p>
            <w:r>
              <w:t>0.869</w:t>
            </w:r>
          </w:p>
        </w:tc>
        <w:tc>
          <w:tcPr>
            <w:tcW w:type="dxa" w:w="1440"/>
          </w:tcPr>
          <w:p>
            <w:r>
              <w:t>0.688</w:t>
            </w:r>
          </w:p>
        </w:tc>
        <w:tc>
          <w:tcPr>
            <w:tcW w:type="dxa" w:w="1440"/>
          </w:tcPr>
          <w:p>
            <w:r>
              <w:t>OK</w:t>
            </w:r>
          </w:p>
        </w:tc>
      </w:tr>
      <w:tr>
        <w:tc>
          <w:tcPr>
            <w:tcW w:type="dxa" w:w="1440"/>
          </w:tcPr>
          <w:p>
            <w:r>
              <w:t>LIKE</w:t>
            </w:r>
          </w:p>
        </w:tc>
        <w:tc>
          <w:tcPr>
            <w:tcW w:type="dxa" w:w="1440"/>
          </w:tcPr>
          <w:p>
            <w:r>
              <w:t>0.831</w:t>
            </w:r>
          </w:p>
        </w:tc>
        <w:tc>
          <w:tcPr>
            <w:tcW w:type="dxa" w:w="1440"/>
          </w:tcPr>
          <w:p>
            <w:r>
              <w:t>0.836</w:t>
            </w:r>
          </w:p>
        </w:tc>
        <w:tc>
          <w:tcPr>
            <w:tcW w:type="dxa" w:w="1440"/>
          </w:tcPr>
          <w:p>
            <w:r>
              <w:t>0.899</w:t>
            </w:r>
          </w:p>
        </w:tc>
        <w:tc>
          <w:tcPr>
            <w:tcW w:type="dxa" w:w="1440"/>
          </w:tcPr>
          <w:p>
            <w:r>
              <w:t>0.747</w:t>
            </w:r>
          </w:p>
        </w:tc>
        <w:tc>
          <w:tcPr>
            <w:tcW w:type="dxa" w:w="1440"/>
          </w:tcPr>
          <w:p>
            <w:r>
              <w:t>OK</w:t>
            </w:r>
          </w:p>
        </w:tc>
      </w:tr>
      <w:tr>
        <w:tc>
          <w:tcPr>
            <w:tcW w:type="dxa" w:w="1440"/>
          </w:tcPr>
          <w:p>
            <w:r>
              <w:t>CUSL</w:t>
            </w:r>
          </w:p>
        </w:tc>
        <w:tc>
          <w:tcPr>
            <w:tcW w:type="dxa" w:w="1440"/>
          </w:tcPr>
          <w:p>
            <w:r>
              <w:t>0.831</w:t>
            </w:r>
          </w:p>
        </w:tc>
        <w:tc>
          <w:tcPr>
            <w:tcW w:type="dxa" w:w="1440"/>
          </w:tcPr>
          <w:p>
            <w:r>
              <w:t>0.839</w:t>
            </w:r>
          </w:p>
        </w:tc>
        <w:tc>
          <w:tcPr>
            <w:tcW w:type="dxa" w:w="1440"/>
          </w:tcPr>
          <w:p>
            <w:r>
              <w:t>0.899</w:t>
            </w:r>
          </w:p>
        </w:tc>
        <w:tc>
          <w:tcPr>
            <w:tcW w:type="dxa" w:w="1440"/>
          </w:tcPr>
          <w:p>
            <w:r>
              <w:t>0.748</w:t>
            </w:r>
          </w:p>
        </w:tc>
        <w:tc>
          <w:tcPr>
            <w:tcW w:type="dxa" w:w="1440"/>
          </w:tcPr>
          <w:p>
            <w:r>
              <w:t>OK</w:t>
            </w:r>
          </w:p>
        </w:tc>
      </w:tr>
    </w:tbl>
    <w:p/>
    <w:p>
      <w:r>
        <w:t>Discriminant validity — HTMT (criterion &lt; 0.85; Henseler et al., 2015):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Construct pair</w:t>
            </w:r>
          </w:p>
        </w:tc>
        <w:tc>
          <w:tcPr>
            <w:tcW w:type="dxa" w:w="2880"/>
          </w:tcPr>
          <w:p>
            <w:r>
              <w:rPr>
                <w:b/>
              </w:rPr>
              <w:t>HTMT</w:t>
            </w:r>
          </w:p>
        </w:tc>
        <w:tc>
          <w:tcPr>
            <w:tcW w:type="dxa" w:w="2880"/>
          </w:tcPr>
          <w:p>
            <w:r>
              <w:rPr>
                <w:b/>
              </w:rPr>
              <w:t>Verdict</w:t>
            </w:r>
          </w:p>
        </w:tc>
      </w:tr>
      <w:tr>
        <w:tc>
          <w:tcPr>
            <w:tcW w:type="dxa" w:w="2880"/>
          </w:tcPr>
          <w:p>
            <w:r>
              <w:t>COMP / LIKE</w:t>
            </w:r>
          </w:p>
        </w:tc>
        <w:tc>
          <w:tcPr>
            <w:tcW w:type="dxa" w:w="2880"/>
          </w:tcPr>
          <w:p>
            <w:r>
              <w:t>0.780</w:t>
            </w:r>
          </w:p>
        </w:tc>
        <w:tc>
          <w:tcPr>
            <w:tcW w:type="dxa" w:w="2880"/>
          </w:tcPr>
          <w:p>
            <w:r>
              <w:t>PASS</w:t>
            </w:r>
          </w:p>
        </w:tc>
      </w:tr>
      <w:tr>
        <w:tc>
          <w:tcPr>
            <w:tcW w:type="dxa" w:w="2880"/>
          </w:tcPr>
          <w:p>
            <w:r>
              <w:t>COMP / CUSA</w:t>
            </w:r>
          </w:p>
        </w:tc>
        <w:tc>
          <w:tcPr>
            <w:tcW w:type="dxa" w:w="2880"/>
          </w:tcPr>
          <w:p>
            <w:r>
              <w:t>0.465</w:t>
            </w:r>
          </w:p>
        </w:tc>
        <w:tc>
          <w:tcPr>
            <w:tcW w:type="dxa" w:w="2880"/>
          </w:tcPr>
          <w:p>
            <w:r>
              <w:t>PASS</w:t>
            </w:r>
          </w:p>
        </w:tc>
      </w:tr>
      <w:tr>
        <w:tc>
          <w:tcPr>
            <w:tcW w:type="dxa" w:w="2880"/>
          </w:tcPr>
          <w:p>
            <w:r>
              <w:t>CUSA / LIKE</w:t>
            </w:r>
          </w:p>
        </w:tc>
        <w:tc>
          <w:tcPr>
            <w:tcW w:type="dxa" w:w="2880"/>
          </w:tcPr>
          <w:p>
            <w:r>
              <w:t>0.577</w:t>
            </w:r>
          </w:p>
        </w:tc>
        <w:tc>
          <w:tcPr>
            <w:tcW w:type="dxa" w:w="2880"/>
          </w:tcPr>
          <w:p>
            <w:r>
              <w:t>PASS</w:t>
            </w:r>
          </w:p>
        </w:tc>
      </w:tr>
      <w:tr>
        <w:tc>
          <w:tcPr>
            <w:tcW w:type="dxa" w:w="2880"/>
          </w:tcPr>
          <w:p>
            <w:r>
              <w:t>COMP / CUSL</w:t>
            </w:r>
          </w:p>
        </w:tc>
        <w:tc>
          <w:tcPr>
            <w:tcW w:type="dxa" w:w="2880"/>
          </w:tcPr>
          <w:p>
            <w:r>
              <w:t>0.532</w:t>
            </w:r>
          </w:p>
        </w:tc>
        <w:tc>
          <w:tcPr>
            <w:tcW w:type="dxa" w:w="2880"/>
          </w:tcPr>
          <w:p>
            <w:r>
              <w:t>PASS</w:t>
            </w:r>
          </w:p>
        </w:tc>
      </w:tr>
      <w:tr>
        <w:tc>
          <w:tcPr>
            <w:tcW w:type="dxa" w:w="2880"/>
          </w:tcPr>
          <w:p>
            <w:r>
              <w:t>CUSL / LIKE</w:t>
            </w:r>
          </w:p>
        </w:tc>
        <w:tc>
          <w:tcPr>
            <w:tcW w:type="dxa" w:w="2880"/>
          </w:tcPr>
          <w:p>
            <w:r>
              <w:t>0.737</w:t>
            </w:r>
          </w:p>
        </w:tc>
        <w:tc>
          <w:tcPr>
            <w:tcW w:type="dxa" w:w="2880"/>
          </w:tcPr>
          <w:p>
            <w:r>
              <w:t>PASS</w:t>
            </w:r>
          </w:p>
        </w:tc>
      </w:tr>
      <w:tr>
        <w:tc>
          <w:tcPr>
            <w:tcW w:type="dxa" w:w="2880"/>
          </w:tcPr>
          <w:p>
            <w:r>
              <w:t>CUSA / CUSL</w:t>
            </w:r>
          </w:p>
        </w:tc>
        <w:tc>
          <w:tcPr>
            <w:tcW w:type="dxa" w:w="2880"/>
          </w:tcPr>
          <w:p>
            <w:r>
              <w:t>0.755</w:t>
            </w:r>
          </w:p>
        </w:tc>
        <w:tc>
          <w:tcPr>
            <w:tcW w:type="dxa" w:w="2880"/>
          </w:tcPr>
          <w:p>
            <w:r>
              <w:t>PASS</w:t>
            </w:r>
          </w:p>
        </w:tc>
      </w:tr>
    </w:tbl>
    <w:p/>
    <w:p>
      <w:r>
        <w:t>All reflective indicator loadings meet the 0.708 criterion.</w:t>
      </w:r>
    </w:p>
    <w:p>
      <w:pPr>
        <w:pStyle w:val="Heading1"/>
      </w:pPr>
      <w:r>
        <w:t>3. Structural Model Assessment</w:t>
      </w:r>
    </w:p>
    <w:p>
      <w:r>
        <w:t>Collinearity: QUAL -&gt; COMP VIF = 3.487 (review); QUAL -&gt; LIKE VIF = 3.487 (review).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Endogenous construct</w:t>
            </w:r>
          </w:p>
        </w:tc>
        <w:tc>
          <w:tcPr>
            <w:tcW w:type="dxa" w:w="2880"/>
          </w:tcPr>
          <w:p>
            <w:r>
              <w:rPr>
                <w:b/>
              </w:rPr>
              <w:t>R²</w:t>
            </w:r>
          </w:p>
        </w:tc>
        <w:tc>
          <w:tcPr>
            <w:tcW w:type="dxa" w:w="2880"/>
          </w:tcPr>
          <w:p>
            <w:r>
              <w:rPr>
                <w:b/>
              </w:rPr>
              <w:t>Interpretation</w:t>
            </w:r>
          </w:p>
        </w:tc>
      </w:tr>
      <w:tr>
        <w:tc>
          <w:tcPr>
            <w:tcW w:type="dxa" w:w="2880"/>
          </w:tcPr>
          <w:p>
            <w:r>
              <w:t>COMP</w:t>
            </w:r>
          </w:p>
        </w:tc>
        <w:tc>
          <w:tcPr>
            <w:tcW w:type="dxa" w:w="2880"/>
          </w:tcPr>
          <w:p>
            <w:r>
              <w:t>0.631</w:t>
            </w:r>
          </w:p>
        </w:tc>
        <w:tc>
          <w:tcPr>
            <w:tcW w:type="dxa" w:w="2880"/>
          </w:tcPr>
          <w:p>
            <w:r>
              <w:t>moderate</w:t>
            </w:r>
          </w:p>
        </w:tc>
      </w:tr>
      <w:tr>
        <w:tc>
          <w:tcPr>
            <w:tcW w:type="dxa" w:w="2880"/>
          </w:tcPr>
          <w:p>
            <w:r>
              <w:t>LIKE</w:t>
            </w:r>
          </w:p>
        </w:tc>
        <w:tc>
          <w:tcPr>
            <w:tcW w:type="dxa" w:w="2880"/>
          </w:tcPr>
          <w:p>
            <w:r>
              <w:t>0.558</w:t>
            </w:r>
          </w:p>
        </w:tc>
        <w:tc>
          <w:tcPr>
            <w:tcW w:type="dxa" w:w="2880"/>
          </w:tcPr>
          <w:p>
            <w:r>
              <w:t>moderate</w:t>
            </w:r>
          </w:p>
        </w:tc>
      </w:tr>
      <w:tr>
        <w:tc>
          <w:tcPr>
            <w:tcW w:type="dxa" w:w="2880"/>
          </w:tcPr>
          <w:p>
            <w:r>
              <w:t>CUSA</w:t>
            </w:r>
          </w:p>
        </w:tc>
        <w:tc>
          <w:tcPr>
            <w:tcW w:type="dxa" w:w="2880"/>
          </w:tcPr>
          <w:p>
            <w:r>
              <w:t>0.292</w:t>
            </w:r>
          </w:p>
        </w:tc>
        <w:tc>
          <w:tcPr>
            <w:tcW w:type="dxa" w:w="2880"/>
          </w:tcPr>
          <w:p>
            <w:r>
              <w:t>weak</w:t>
            </w:r>
          </w:p>
        </w:tc>
      </w:tr>
      <w:tr>
        <w:tc>
          <w:tcPr>
            <w:tcW w:type="dxa" w:w="2880"/>
          </w:tcPr>
          <w:p>
            <w:r>
              <w:t>CUSL</w:t>
            </w:r>
          </w:p>
        </w:tc>
        <w:tc>
          <w:tcPr>
            <w:tcW w:type="dxa" w:w="2880"/>
          </w:tcPr>
          <w:p>
            <w:r>
              <w:t>0.562</w:t>
            </w:r>
          </w:p>
        </w:tc>
        <w:tc>
          <w:tcPr>
            <w:tcW w:type="dxa" w:w="2880"/>
          </w:tcPr>
          <w:p>
            <w:r>
              <w:t>moderate</w:t>
            </w:r>
          </w:p>
        </w:tc>
      </w:tr>
    </w:tbl>
    <w:p/>
    <w:p>
      <w:r>
        <w:t>Path coefficients with bootstrap significance (95% percentile CIs; verdict: CI excludes zero):</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Hypothesis</w:t>
            </w:r>
          </w:p>
        </w:tc>
        <w:tc>
          <w:tcPr>
            <w:tcW w:type="dxa" w:w="1440"/>
          </w:tcPr>
          <w:p>
            <w:r>
              <w:rPr>
                <w:b/>
              </w:rPr>
              <w:t>Path</w:t>
            </w:r>
          </w:p>
        </w:tc>
        <w:tc>
          <w:tcPr>
            <w:tcW w:type="dxa" w:w="1440"/>
          </w:tcPr>
          <w:p>
            <w:r>
              <w:rPr>
                <w:b/>
              </w:rPr>
              <w:t>β</w:t>
            </w:r>
          </w:p>
        </w:tc>
        <w:tc>
          <w:tcPr>
            <w:tcW w:type="dxa" w:w="1440"/>
          </w:tcPr>
          <w:p>
            <w:r>
              <w:rPr>
                <w:b/>
              </w:rPr>
              <w:t>t</w:t>
            </w:r>
          </w:p>
        </w:tc>
        <w:tc>
          <w:tcPr>
            <w:tcW w:type="dxa" w:w="1440"/>
          </w:tcPr>
          <w:p>
            <w:r>
              <w:rPr>
                <w:b/>
              </w:rPr>
              <w:t>95% CI</w:t>
            </w:r>
          </w:p>
        </w:tc>
        <w:tc>
          <w:tcPr>
            <w:tcW w:type="dxa" w:w="1440"/>
          </w:tcPr>
          <w:p>
            <w:r>
              <w:rPr>
                <w:b/>
              </w:rPr>
              <w:t>Verdict</w:t>
            </w:r>
          </w:p>
        </w:tc>
      </w:tr>
      <w:tr>
        <w:tc>
          <w:tcPr>
            <w:tcW w:type="dxa" w:w="1440"/>
          </w:tcPr>
          <w:p>
            <w:r>
              <w:t>H1</w:t>
            </w:r>
          </w:p>
        </w:tc>
        <w:tc>
          <w:tcPr>
            <w:tcW w:type="dxa" w:w="1440"/>
          </w:tcPr>
          <w:p>
            <w:r>
              <w:t>QUAL -&gt; COMP</w:t>
            </w:r>
          </w:p>
        </w:tc>
        <w:tc>
          <w:tcPr>
            <w:tcW w:type="dxa" w:w="1440"/>
          </w:tcPr>
          <w:p>
            <w:r>
              <w:t>0.430</w:t>
            </w:r>
          </w:p>
        </w:tc>
        <w:tc>
          <w:tcPr>
            <w:tcW w:type="dxa" w:w="1440"/>
          </w:tcPr>
          <w:p>
            <w:r>
              <w:t>6.603</w:t>
            </w:r>
          </w:p>
        </w:tc>
        <w:tc>
          <w:tcPr>
            <w:tcW w:type="dxa" w:w="1440"/>
          </w:tcPr>
          <w:p>
            <w:r>
              <w:t>[0.303; 0.552]</w:t>
            </w:r>
          </w:p>
        </w:tc>
        <w:tc>
          <w:tcPr>
            <w:tcW w:type="dxa" w:w="1440"/>
          </w:tcPr>
          <w:p>
            <w:r>
              <w:t>supported</w:t>
            </w:r>
          </w:p>
        </w:tc>
      </w:tr>
      <w:tr>
        <w:tc>
          <w:tcPr>
            <w:tcW w:type="dxa" w:w="1440"/>
          </w:tcPr>
          <w:p>
            <w:r>
              <w:t>H2</w:t>
            </w:r>
          </w:p>
        </w:tc>
        <w:tc>
          <w:tcPr>
            <w:tcW w:type="dxa" w:w="1440"/>
          </w:tcPr>
          <w:p>
            <w:r>
              <w:t>QUAL -&gt; LIKE</w:t>
            </w:r>
          </w:p>
        </w:tc>
        <w:tc>
          <w:tcPr>
            <w:tcW w:type="dxa" w:w="1440"/>
          </w:tcPr>
          <w:p>
            <w:r>
              <w:t>0.380</w:t>
            </w:r>
          </w:p>
        </w:tc>
        <w:tc>
          <w:tcPr>
            <w:tcW w:type="dxa" w:w="1440"/>
          </w:tcPr>
          <w:p>
            <w:r>
              <w:t>5.699</w:t>
            </w:r>
          </w:p>
        </w:tc>
        <w:tc>
          <w:tcPr>
            <w:tcW w:type="dxa" w:w="1440"/>
          </w:tcPr>
          <w:p>
            <w:r>
              <w:t>[0.253; 0.514]</w:t>
            </w:r>
          </w:p>
        </w:tc>
        <w:tc>
          <w:tcPr>
            <w:tcW w:type="dxa" w:w="1440"/>
          </w:tcPr>
          <w:p>
            <w:r>
              <w:t>supported</w:t>
            </w:r>
          </w:p>
        </w:tc>
      </w:tr>
      <w:tr>
        <w:tc>
          <w:tcPr>
            <w:tcW w:type="dxa" w:w="1440"/>
          </w:tcPr>
          <w:p>
            <w:r>
              <w:t>H3</w:t>
            </w:r>
          </w:p>
        </w:tc>
        <w:tc>
          <w:tcPr>
            <w:tcW w:type="dxa" w:w="1440"/>
          </w:tcPr>
          <w:p>
            <w:r>
              <w:t>PERF -&gt; COMP</w:t>
            </w:r>
          </w:p>
        </w:tc>
        <w:tc>
          <w:tcPr>
            <w:tcW w:type="dxa" w:w="1440"/>
          </w:tcPr>
          <w:p>
            <w:r>
              <w:t>0.295</w:t>
            </w:r>
          </w:p>
        </w:tc>
        <w:tc>
          <w:tcPr>
            <w:tcW w:type="dxa" w:w="1440"/>
          </w:tcPr>
          <w:p>
            <w:r>
              <w:t>4.611</w:t>
            </w:r>
          </w:p>
        </w:tc>
        <w:tc>
          <w:tcPr>
            <w:tcW w:type="dxa" w:w="1440"/>
          </w:tcPr>
          <w:p>
            <w:r>
              <w:t>[0.173; 0.422]</w:t>
            </w:r>
          </w:p>
        </w:tc>
        <w:tc>
          <w:tcPr>
            <w:tcW w:type="dxa" w:w="1440"/>
          </w:tcPr>
          <w:p>
            <w:r>
              <w:t>supported</w:t>
            </w:r>
          </w:p>
        </w:tc>
      </w:tr>
      <w:tr>
        <w:tc>
          <w:tcPr>
            <w:tcW w:type="dxa" w:w="1440"/>
          </w:tcPr>
          <w:p>
            <w:r>
              <w:t>H4</w:t>
            </w:r>
          </w:p>
        </w:tc>
        <w:tc>
          <w:tcPr>
            <w:tcW w:type="dxa" w:w="1440"/>
          </w:tcPr>
          <w:p>
            <w:r>
              <w:t>PERF -&gt; LIKE</w:t>
            </w:r>
          </w:p>
        </w:tc>
        <w:tc>
          <w:tcPr>
            <w:tcW w:type="dxa" w:w="1440"/>
          </w:tcPr>
          <w:p>
            <w:r>
              <w:t>0.117</w:t>
            </w:r>
          </w:p>
        </w:tc>
        <w:tc>
          <w:tcPr>
            <w:tcW w:type="dxa" w:w="1440"/>
          </w:tcPr>
          <w:p>
            <w:r>
              <w:t>1.613</w:t>
            </w:r>
          </w:p>
        </w:tc>
        <w:tc>
          <w:tcPr>
            <w:tcW w:type="dxa" w:w="1440"/>
          </w:tcPr>
          <w:p>
            <w:r>
              <w:t>[-0.011; 0.261]</w:t>
            </w:r>
          </w:p>
        </w:tc>
        <w:tc>
          <w:tcPr>
            <w:tcW w:type="dxa" w:w="1440"/>
          </w:tcPr>
          <w:p>
            <w:r>
              <w:t>not supported</w:t>
            </w:r>
          </w:p>
        </w:tc>
      </w:tr>
      <w:tr>
        <w:tc>
          <w:tcPr>
            <w:tcW w:type="dxa" w:w="1440"/>
          </w:tcPr>
          <w:p>
            <w:r>
              <w:t>H5</w:t>
            </w:r>
          </w:p>
        </w:tc>
        <w:tc>
          <w:tcPr>
            <w:tcW w:type="dxa" w:w="1440"/>
          </w:tcPr>
          <w:p>
            <w:r>
              <w:t>CSOR -&gt; COMP</w:t>
            </w:r>
          </w:p>
        </w:tc>
        <w:tc>
          <w:tcPr>
            <w:tcW w:type="dxa" w:w="1440"/>
          </w:tcPr>
          <w:p>
            <w:r>
              <w:t>0.059</w:t>
            </w:r>
          </w:p>
        </w:tc>
        <w:tc>
          <w:tcPr>
            <w:tcW w:type="dxa" w:w="1440"/>
          </w:tcPr>
          <w:p>
            <w:r>
              <w:t>1.084</w:t>
            </w:r>
          </w:p>
        </w:tc>
        <w:tc>
          <w:tcPr>
            <w:tcW w:type="dxa" w:w="1440"/>
          </w:tcPr>
          <w:p>
            <w:r>
              <w:t>[-0.044; 0.165]</w:t>
            </w:r>
          </w:p>
        </w:tc>
        <w:tc>
          <w:tcPr>
            <w:tcW w:type="dxa" w:w="1440"/>
          </w:tcPr>
          <w:p>
            <w:r>
              <w:t>not supported</w:t>
            </w:r>
          </w:p>
        </w:tc>
      </w:tr>
      <w:tr>
        <w:tc>
          <w:tcPr>
            <w:tcW w:type="dxa" w:w="1440"/>
          </w:tcPr>
          <w:p>
            <w:r>
              <w:t>H6</w:t>
            </w:r>
          </w:p>
        </w:tc>
        <w:tc>
          <w:tcPr>
            <w:tcW w:type="dxa" w:w="1440"/>
          </w:tcPr>
          <w:p>
            <w:r>
              <w:t>CSOR -&gt; LIKE</w:t>
            </w:r>
          </w:p>
        </w:tc>
        <w:tc>
          <w:tcPr>
            <w:tcW w:type="dxa" w:w="1440"/>
          </w:tcPr>
          <w:p>
            <w:r>
              <w:t>0.178</w:t>
            </w:r>
          </w:p>
        </w:tc>
        <w:tc>
          <w:tcPr>
            <w:tcW w:type="dxa" w:w="1440"/>
          </w:tcPr>
          <w:p>
            <w:r>
              <w:t>3.205</w:t>
            </w:r>
          </w:p>
        </w:tc>
        <w:tc>
          <w:tcPr>
            <w:tcW w:type="dxa" w:w="1440"/>
          </w:tcPr>
          <w:p>
            <w:r>
              <w:t>[0.065; 0.282]</w:t>
            </w:r>
          </w:p>
        </w:tc>
        <w:tc>
          <w:tcPr>
            <w:tcW w:type="dxa" w:w="1440"/>
          </w:tcPr>
          <w:p>
            <w:r>
              <w:t>supported</w:t>
            </w:r>
          </w:p>
        </w:tc>
      </w:tr>
      <w:tr>
        <w:tc>
          <w:tcPr>
            <w:tcW w:type="dxa" w:w="1440"/>
          </w:tcPr>
          <w:p>
            <w:r>
              <w:t>H7</w:t>
            </w:r>
          </w:p>
        </w:tc>
        <w:tc>
          <w:tcPr>
            <w:tcW w:type="dxa" w:w="1440"/>
          </w:tcPr>
          <w:p>
            <w:r>
              <w:t>ATTR -&gt; COMP</w:t>
            </w:r>
          </w:p>
        </w:tc>
        <w:tc>
          <w:tcPr>
            <w:tcW w:type="dxa" w:w="1440"/>
          </w:tcPr>
          <w:p>
            <w:r>
              <w:t>0.086</w:t>
            </w:r>
          </w:p>
        </w:tc>
        <w:tc>
          <w:tcPr>
            <w:tcW w:type="dxa" w:w="1440"/>
          </w:tcPr>
          <w:p>
            <w:r>
              <w:t>1.565</w:t>
            </w:r>
          </w:p>
        </w:tc>
        <w:tc>
          <w:tcPr>
            <w:tcW w:type="dxa" w:w="1440"/>
          </w:tcPr>
          <w:p>
            <w:r>
              <w:t>[-0.018; 0.194]</w:t>
            </w:r>
          </w:p>
        </w:tc>
        <w:tc>
          <w:tcPr>
            <w:tcW w:type="dxa" w:w="1440"/>
          </w:tcPr>
          <w:p>
            <w:r>
              <w:t>not supported</w:t>
            </w:r>
          </w:p>
        </w:tc>
      </w:tr>
      <w:tr>
        <w:tc>
          <w:tcPr>
            <w:tcW w:type="dxa" w:w="1440"/>
          </w:tcPr>
          <w:p>
            <w:r>
              <w:t>H8</w:t>
            </w:r>
          </w:p>
        </w:tc>
        <w:tc>
          <w:tcPr>
            <w:tcW w:type="dxa" w:w="1440"/>
          </w:tcPr>
          <w:p>
            <w:r>
              <w:t>ATTR -&gt; LIKE</w:t>
            </w:r>
          </w:p>
        </w:tc>
        <w:tc>
          <w:tcPr>
            <w:tcW w:type="dxa" w:w="1440"/>
          </w:tcPr>
          <w:p>
            <w:r>
              <w:t>0.167</w:t>
            </w:r>
          </w:p>
        </w:tc>
        <w:tc>
          <w:tcPr>
            <w:tcW w:type="dxa" w:w="1440"/>
          </w:tcPr>
          <w:p>
            <w:r>
              <w:t>2.573</w:t>
            </w:r>
          </w:p>
        </w:tc>
        <w:tc>
          <w:tcPr>
            <w:tcW w:type="dxa" w:w="1440"/>
          </w:tcPr>
          <w:p>
            <w:r>
              <w:t>[0.034; 0.291]</w:t>
            </w:r>
          </w:p>
        </w:tc>
        <w:tc>
          <w:tcPr>
            <w:tcW w:type="dxa" w:w="1440"/>
          </w:tcPr>
          <w:p>
            <w:r>
              <w:t>supported</w:t>
            </w:r>
          </w:p>
        </w:tc>
      </w:tr>
      <w:tr>
        <w:tc>
          <w:tcPr>
            <w:tcW w:type="dxa" w:w="1440"/>
          </w:tcPr>
          <w:p>
            <w:r>
              <w:t>H9</w:t>
            </w:r>
          </w:p>
        </w:tc>
        <w:tc>
          <w:tcPr>
            <w:tcW w:type="dxa" w:w="1440"/>
          </w:tcPr>
          <w:p>
            <w:r>
              <w:t>COMP -&gt; CUSA</w:t>
            </w:r>
          </w:p>
        </w:tc>
        <w:tc>
          <w:tcPr>
            <w:tcW w:type="dxa" w:w="1440"/>
          </w:tcPr>
          <w:p>
            <w:r>
              <w:t>0.146</w:t>
            </w:r>
          </w:p>
        </w:tc>
        <w:tc>
          <w:tcPr>
            <w:tcW w:type="dxa" w:w="1440"/>
          </w:tcPr>
          <w:p>
            <w:r>
              <w:t>2.047</w:t>
            </w:r>
          </w:p>
        </w:tc>
        <w:tc>
          <w:tcPr>
            <w:tcW w:type="dxa" w:w="1440"/>
          </w:tcPr>
          <w:p>
            <w:r>
              <w:t>[0.007; 0.281]</w:t>
            </w:r>
          </w:p>
        </w:tc>
        <w:tc>
          <w:tcPr>
            <w:tcW w:type="dxa" w:w="1440"/>
          </w:tcPr>
          <w:p>
            <w:r>
              <w:t>supported</w:t>
            </w:r>
          </w:p>
        </w:tc>
      </w:tr>
      <w:tr>
        <w:tc>
          <w:tcPr>
            <w:tcW w:type="dxa" w:w="1440"/>
          </w:tcPr>
          <w:p>
            <w:r>
              <w:t>H10</w:t>
            </w:r>
          </w:p>
        </w:tc>
        <w:tc>
          <w:tcPr>
            <w:tcW w:type="dxa" w:w="1440"/>
          </w:tcPr>
          <w:p>
            <w:r>
              <w:t>COMP -&gt; CUSL</w:t>
            </w:r>
          </w:p>
        </w:tc>
        <w:tc>
          <w:tcPr>
            <w:tcW w:type="dxa" w:w="1440"/>
          </w:tcPr>
          <w:p>
            <w:r>
              <w:t>0.006</w:t>
            </w:r>
          </w:p>
        </w:tc>
        <w:tc>
          <w:tcPr>
            <w:tcW w:type="dxa" w:w="1440"/>
          </w:tcPr>
          <w:p>
            <w:r>
              <w:t>0.104</w:t>
            </w:r>
          </w:p>
        </w:tc>
        <w:tc>
          <w:tcPr>
            <w:tcW w:type="dxa" w:w="1440"/>
          </w:tcPr>
          <w:p>
            <w:r>
              <w:t>[-0.104; 0.115]</w:t>
            </w:r>
          </w:p>
        </w:tc>
        <w:tc>
          <w:tcPr>
            <w:tcW w:type="dxa" w:w="1440"/>
          </w:tcPr>
          <w:p>
            <w:r>
              <w:t>not supported</w:t>
            </w:r>
          </w:p>
        </w:tc>
      </w:tr>
      <w:tr>
        <w:tc>
          <w:tcPr>
            <w:tcW w:type="dxa" w:w="1440"/>
          </w:tcPr>
          <w:p>
            <w:r>
              <w:t>H11</w:t>
            </w:r>
          </w:p>
        </w:tc>
        <w:tc>
          <w:tcPr>
            <w:tcW w:type="dxa" w:w="1440"/>
          </w:tcPr>
          <w:p>
            <w:r>
              <w:t>LIKE -&gt; CUSA</w:t>
            </w:r>
          </w:p>
        </w:tc>
        <w:tc>
          <w:tcPr>
            <w:tcW w:type="dxa" w:w="1440"/>
          </w:tcPr>
          <w:p>
            <w:r>
              <w:t>0.436</w:t>
            </w:r>
          </w:p>
        </w:tc>
        <w:tc>
          <w:tcPr>
            <w:tcW w:type="dxa" w:w="1440"/>
          </w:tcPr>
          <w:p>
            <w:r>
              <w:t>7.069</w:t>
            </w:r>
          </w:p>
        </w:tc>
        <w:tc>
          <w:tcPr>
            <w:tcW w:type="dxa" w:w="1440"/>
          </w:tcPr>
          <w:p>
            <w:r>
              <w:t>[0.312; 0.555]</w:t>
            </w:r>
          </w:p>
        </w:tc>
        <w:tc>
          <w:tcPr>
            <w:tcW w:type="dxa" w:w="1440"/>
          </w:tcPr>
          <w:p>
            <w:r>
              <w:t>supported</w:t>
            </w:r>
          </w:p>
        </w:tc>
      </w:tr>
      <w:tr>
        <w:tc>
          <w:tcPr>
            <w:tcW w:type="dxa" w:w="1440"/>
          </w:tcPr>
          <w:p>
            <w:r>
              <w:t>H12</w:t>
            </w:r>
          </w:p>
        </w:tc>
        <w:tc>
          <w:tcPr>
            <w:tcW w:type="dxa" w:w="1440"/>
          </w:tcPr>
          <w:p>
            <w:r>
              <w:t>LIKE -&gt; CUSL</w:t>
            </w:r>
          </w:p>
        </w:tc>
        <w:tc>
          <w:tcPr>
            <w:tcW w:type="dxa" w:w="1440"/>
          </w:tcPr>
          <w:p>
            <w:r>
              <w:t>0.344</w:t>
            </w:r>
          </w:p>
        </w:tc>
        <w:tc>
          <w:tcPr>
            <w:tcW w:type="dxa" w:w="1440"/>
          </w:tcPr>
          <w:p>
            <w:r>
              <w:t>6.175</w:t>
            </w:r>
          </w:p>
        </w:tc>
        <w:tc>
          <w:tcPr>
            <w:tcW w:type="dxa" w:w="1440"/>
          </w:tcPr>
          <w:p>
            <w:r>
              <w:t>[0.231; 0.449]</w:t>
            </w:r>
          </w:p>
        </w:tc>
        <w:tc>
          <w:tcPr>
            <w:tcW w:type="dxa" w:w="1440"/>
          </w:tcPr>
          <w:p>
            <w:r>
              <w:t>supported</w:t>
            </w:r>
          </w:p>
        </w:tc>
      </w:tr>
      <w:tr>
        <w:tc>
          <w:tcPr>
            <w:tcW w:type="dxa" w:w="1440"/>
          </w:tcPr>
          <w:p>
            <w:r>
              <w:t>H13</w:t>
            </w:r>
          </w:p>
        </w:tc>
        <w:tc>
          <w:tcPr>
            <w:tcW w:type="dxa" w:w="1440"/>
          </w:tcPr>
          <w:p>
            <w:r>
              <w:t>CUSA -&gt; CUSL</w:t>
            </w:r>
          </w:p>
        </w:tc>
        <w:tc>
          <w:tcPr>
            <w:tcW w:type="dxa" w:w="1440"/>
          </w:tcPr>
          <w:p>
            <w:r>
              <w:t>0.505</w:t>
            </w:r>
          </w:p>
        </w:tc>
        <w:tc>
          <w:tcPr>
            <w:tcW w:type="dxa" w:w="1440"/>
          </w:tcPr>
          <w:p>
            <w:r>
              <w:t>12.074</w:t>
            </w:r>
          </w:p>
        </w:tc>
        <w:tc>
          <w:tcPr>
            <w:tcW w:type="dxa" w:w="1440"/>
          </w:tcPr>
          <w:p>
            <w:r>
              <w:t>[0.420; 0.586]</w:t>
            </w:r>
          </w:p>
        </w:tc>
        <w:tc>
          <w:tcPr>
            <w:tcW w:type="dxa" w:w="1440"/>
          </w:tcPr>
          <w:p>
            <w:r>
              <w:t>supported</w:t>
            </w:r>
          </w:p>
        </w:tc>
      </w:tr>
    </w:tbl>
    <w:p/>
    <w:p>
      <w:r>
        <w:t>Effect sizes f² (0.02 small / 0.15 medium / 0.35 large; Cohen, 1988):</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Path</w:t>
            </w:r>
          </w:p>
        </w:tc>
        <w:tc>
          <w:tcPr>
            <w:tcW w:type="dxa" w:w="2880"/>
          </w:tcPr>
          <w:p>
            <w:r>
              <w:rPr>
                <w:b/>
              </w:rPr>
              <w:t>f²</w:t>
            </w:r>
          </w:p>
        </w:tc>
        <w:tc>
          <w:tcPr>
            <w:tcW w:type="dxa" w:w="2880"/>
          </w:tcPr>
          <w:p>
            <w:r>
              <w:rPr>
                <w:b/>
              </w:rPr>
              <w:t>Class</w:t>
            </w:r>
          </w:p>
        </w:tc>
      </w:tr>
      <w:tr>
        <w:tc>
          <w:tcPr>
            <w:tcW w:type="dxa" w:w="2880"/>
          </w:tcPr>
          <w:p>
            <w:r>
              <w:t>QUAL -&gt; COMP</w:t>
            </w:r>
          </w:p>
        </w:tc>
        <w:tc>
          <w:tcPr>
            <w:tcW w:type="dxa" w:w="2880"/>
          </w:tcPr>
          <w:p>
            <w:r>
              <w:t>0.144</w:t>
            </w:r>
          </w:p>
        </w:tc>
        <w:tc>
          <w:tcPr>
            <w:tcW w:type="dxa" w:w="2880"/>
          </w:tcPr>
          <w:p>
            <w:r>
              <w:t>small</w:t>
            </w:r>
          </w:p>
        </w:tc>
      </w:tr>
      <w:tr>
        <w:tc>
          <w:tcPr>
            <w:tcW w:type="dxa" w:w="2880"/>
          </w:tcPr>
          <w:p>
            <w:r>
              <w:t>QUAL -&gt; LIKE</w:t>
            </w:r>
          </w:p>
        </w:tc>
        <w:tc>
          <w:tcPr>
            <w:tcW w:type="dxa" w:w="2880"/>
          </w:tcPr>
          <w:p>
            <w:r>
              <w:t>0.094</w:t>
            </w:r>
          </w:p>
        </w:tc>
        <w:tc>
          <w:tcPr>
            <w:tcW w:type="dxa" w:w="2880"/>
          </w:tcPr>
          <w:p>
            <w:r>
              <w:t>small</w:t>
            </w:r>
          </w:p>
        </w:tc>
      </w:tr>
      <w:tr>
        <w:tc>
          <w:tcPr>
            <w:tcW w:type="dxa" w:w="2880"/>
          </w:tcPr>
          <w:p>
            <w:r>
              <w:t>PERF -&gt; COMP</w:t>
            </w:r>
          </w:p>
        </w:tc>
        <w:tc>
          <w:tcPr>
            <w:tcW w:type="dxa" w:w="2880"/>
          </w:tcPr>
          <w:p>
            <w:r>
              <w:t>0.076</w:t>
            </w:r>
          </w:p>
        </w:tc>
        <w:tc>
          <w:tcPr>
            <w:tcW w:type="dxa" w:w="2880"/>
          </w:tcPr>
          <w:p>
            <w:r>
              <w:t>small</w:t>
            </w:r>
          </w:p>
        </w:tc>
      </w:tr>
      <w:tr>
        <w:tc>
          <w:tcPr>
            <w:tcW w:type="dxa" w:w="2880"/>
          </w:tcPr>
          <w:p>
            <w:r>
              <w:t>PERF -&gt; LIKE</w:t>
            </w:r>
          </w:p>
        </w:tc>
        <w:tc>
          <w:tcPr>
            <w:tcW w:type="dxa" w:w="2880"/>
          </w:tcPr>
          <w:p>
            <w:r>
              <w:t>0.011</w:t>
            </w:r>
          </w:p>
        </w:tc>
        <w:tc>
          <w:tcPr>
            <w:tcW w:type="dxa" w:w="2880"/>
          </w:tcPr>
          <w:p>
            <w:r>
              <w:t>negligible</w:t>
            </w:r>
          </w:p>
        </w:tc>
      </w:tr>
      <w:tr>
        <w:tc>
          <w:tcPr>
            <w:tcW w:type="dxa" w:w="2880"/>
          </w:tcPr>
          <w:p>
            <w:r>
              <w:t>CSOR -&gt; COMP</w:t>
            </w:r>
          </w:p>
        </w:tc>
        <w:tc>
          <w:tcPr>
            <w:tcW w:type="dxa" w:w="2880"/>
          </w:tcPr>
          <w:p>
            <w:r>
              <w:t>0.005</w:t>
            </w:r>
          </w:p>
        </w:tc>
        <w:tc>
          <w:tcPr>
            <w:tcW w:type="dxa" w:w="2880"/>
          </w:tcPr>
          <w:p>
            <w:r>
              <w:t>negligible</w:t>
            </w:r>
          </w:p>
        </w:tc>
      </w:tr>
      <w:tr>
        <w:tc>
          <w:tcPr>
            <w:tcW w:type="dxa" w:w="2880"/>
          </w:tcPr>
          <w:p>
            <w:r>
              <w:t>CSOR -&gt; LIKE</w:t>
            </w:r>
          </w:p>
        </w:tc>
        <w:tc>
          <w:tcPr>
            <w:tcW w:type="dxa" w:w="2880"/>
          </w:tcPr>
          <w:p>
            <w:r>
              <w:t>0.034</w:t>
            </w:r>
          </w:p>
        </w:tc>
        <w:tc>
          <w:tcPr>
            <w:tcW w:type="dxa" w:w="2880"/>
          </w:tcPr>
          <w:p>
            <w:r>
              <w:t>small</w:t>
            </w:r>
          </w:p>
        </w:tc>
      </w:tr>
      <w:tr>
        <w:tc>
          <w:tcPr>
            <w:tcW w:type="dxa" w:w="2880"/>
          </w:tcPr>
          <w:p>
            <w:r>
              <w:t>ATTR -&gt; COMP</w:t>
            </w:r>
          </w:p>
        </w:tc>
        <w:tc>
          <w:tcPr>
            <w:tcW w:type="dxa" w:w="2880"/>
          </w:tcPr>
          <w:p>
            <w:r>
              <w:t>0.009</w:t>
            </w:r>
          </w:p>
        </w:tc>
        <w:tc>
          <w:tcPr>
            <w:tcW w:type="dxa" w:w="2880"/>
          </w:tcPr>
          <w:p>
            <w:r>
              <w:t>negligible</w:t>
            </w:r>
          </w:p>
        </w:tc>
      </w:tr>
      <w:tr>
        <w:tc>
          <w:tcPr>
            <w:tcW w:type="dxa" w:w="2880"/>
          </w:tcPr>
          <w:p>
            <w:r>
              <w:t>ATTR -&gt; LIKE</w:t>
            </w:r>
          </w:p>
        </w:tc>
        <w:tc>
          <w:tcPr>
            <w:tcW w:type="dxa" w:w="2880"/>
          </w:tcPr>
          <w:p>
            <w:r>
              <w:t>0.030</w:t>
            </w:r>
          </w:p>
        </w:tc>
        <w:tc>
          <w:tcPr>
            <w:tcW w:type="dxa" w:w="2880"/>
          </w:tcPr>
          <w:p>
            <w:r>
              <w:t>small</w:t>
            </w:r>
          </w:p>
        </w:tc>
      </w:tr>
      <w:tr>
        <w:tc>
          <w:tcPr>
            <w:tcW w:type="dxa" w:w="2880"/>
          </w:tcPr>
          <w:p>
            <w:r>
              <w:t>COMP -&gt; CUSA</w:t>
            </w:r>
          </w:p>
        </w:tc>
        <w:tc>
          <w:tcPr>
            <w:tcW w:type="dxa" w:w="2880"/>
          </w:tcPr>
          <w:p>
            <w:r>
              <w:t>0.018</w:t>
            </w:r>
          </w:p>
        </w:tc>
        <w:tc>
          <w:tcPr>
            <w:tcW w:type="dxa" w:w="2880"/>
          </w:tcPr>
          <w:p>
            <w:r>
              <w:t>negligible</w:t>
            </w:r>
          </w:p>
        </w:tc>
      </w:tr>
      <w:tr>
        <w:tc>
          <w:tcPr>
            <w:tcW w:type="dxa" w:w="2880"/>
          </w:tcPr>
          <w:p>
            <w:r>
              <w:t>COMP -&gt; CUSL</w:t>
            </w:r>
          </w:p>
        </w:tc>
        <w:tc>
          <w:tcPr>
            <w:tcW w:type="dxa" w:w="2880"/>
          </w:tcPr>
          <w:p>
            <w:r>
              <w:t>0.000</w:t>
            </w:r>
          </w:p>
        </w:tc>
        <w:tc>
          <w:tcPr>
            <w:tcW w:type="dxa" w:w="2880"/>
          </w:tcPr>
          <w:p>
            <w:r>
              <w:t>negligible</w:t>
            </w:r>
          </w:p>
        </w:tc>
      </w:tr>
      <w:tr>
        <w:tc>
          <w:tcPr>
            <w:tcW w:type="dxa" w:w="2880"/>
          </w:tcPr>
          <w:p>
            <w:r>
              <w:t>LIKE -&gt; CUSA</w:t>
            </w:r>
          </w:p>
        </w:tc>
        <w:tc>
          <w:tcPr>
            <w:tcW w:type="dxa" w:w="2880"/>
          </w:tcPr>
          <w:p>
            <w:r>
              <w:t>0.159</w:t>
            </w:r>
          </w:p>
        </w:tc>
        <w:tc>
          <w:tcPr>
            <w:tcW w:type="dxa" w:w="2880"/>
          </w:tcPr>
          <w:p>
            <w:r>
              <w:t>medium</w:t>
            </w:r>
          </w:p>
        </w:tc>
      </w:tr>
      <w:tr>
        <w:tc>
          <w:tcPr>
            <w:tcW w:type="dxa" w:w="2880"/>
          </w:tcPr>
          <w:p>
            <w:r>
              <w:t>LIKE -&gt; CUSL</w:t>
            </w:r>
          </w:p>
        </w:tc>
        <w:tc>
          <w:tcPr>
            <w:tcW w:type="dxa" w:w="2880"/>
          </w:tcPr>
          <w:p>
            <w:r>
              <w:t>0.138</w:t>
            </w:r>
          </w:p>
        </w:tc>
        <w:tc>
          <w:tcPr>
            <w:tcW w:type="dxa" w:w="2880"/>
          </w:tcPr>
          <w:p>
            <w:r>
              <w:t>small</w:t>
            </w:r>
          </w:p>
        </w:tc>
      </w:tr>
      <w:tr>
        <w:tc>
          <w:tcPr>
            <w:tcW w:type="dxa" w:w="2880"/>
          </w:tcPr>
          <w:p>
            <w:r>
              <w:t>CUSA -&gt; CUSL</w:t>
            </w:r>
          </w:p>
        </w:tc>
        <w:tc>
          <w:tcPr>
            <w:tcW w:type="dxa" w:w="2880"/>
          </w:tcPr>
          <w:p>
            <w:r>
              <w:t>0.403</w:t>
            </w:r>
          </w:p>
        </w:tc>
        <w:tc>
          <w:tcPr>
            <w:tcW w:type="dxa" w:w="2880"/>
          </w:tcPr>
          <w:p>
            <w:r>
              <w:t>large</w:t>
            </w:r>
          </w:p>
        </w:tc>
      </w:tr>
    </w:tbl>
    <w:p>
      <w:pPr>
        <w:pStyle w:val="Heading1"/>
      </w:pPr>
      <w:r>
        <w:t>4. Summary</w:t>
      </w:r>
    </w:p>
    <w:p>
      <w:r>
        <w:t>9 of 13 hypothesized paths are supported. Measurement/structural checks: 38 pass, 2 to review, 0 fail.</w:t>
      </w:r>
    </w:p>
    <w:p>
      <w:r>
        <w:t>Outer-weight significance testing for formative constructs (ATTR, CSOR, PERF, QUAL) ships in the next increment.</w:t>
      </w:r>
    </w:p>
    <w:p>
      <w:pPr>
        <w:pStyle w:val="Heading1"/>
      </w:pPr>
      <w:r>
        <w:t>5. Results Narrative</w:t>
      </w:r>
    </w:p>
    <w:p>
      <w:r>
        <w:t>The measurement model was evaluated prior to examining the structural relationships. For the reflectively measured constructs, all outer loadings exceeded the 0.708 threshold recommended by Hair et al. (2022): COMP ranged from 0.821 (comp_2) to 0.844 (comp_3), LIKE from 0.844 (like_3) to 0.880 (like_1), and CUSL from 0.833 (cusl_1) to 0.917 (cusl_2). Internal consistency reliability was likewise satisfactory across these constructs, with all coefficients falling inside the recommended 0.70–0.95 range: COMP returned a Cronbach's alpha of 0.776, rho_A of 0.786, and composite reliability rho_C of 0.869; LIKE returned 0.831, 0.836, and 0.899; and CUSL returned 0.831, 0.839, and 0.899. Convergent validity was confirmed, as the average variance extracted values of 0.688 for COMP, 0.747 for LIKE, and 0.748 for CUSL all surpassed the 0.50 minimum (Hair et al., 2022). Discriminant validity was supported for every construct pair using the HTMT criterion of Henseler et al. (2015), with the highest ratio being 0.780 for COMP / LIKE and all remaining values, including CUSA / CUSL at 0.755 and CUSL / LIKE at 0.737, comfortably below the 0.85 threshold. The formative constructs (QUAL, PERF, CSOR, and ATTR) were included in the model; formal outer-weight significance testing for these constructs was not available in the present analysis increment and is therefore not reported.</w:t>
      </w:r>
    </w:p>
    <w:p>
      <w:r>
        <w:t>Before interpreting the structural paths, inner collinearity was assessed. Most inner VIF values fell below the ideal cut-off of 3, ranging from 1.412 (CUSA -&gt; CUSL) to 2.889 (PERF -&gt; COMP and PERF -&gt; LIKE), and all remained within the acceptable limit of 5 (Hair et al., 2022). Two paths, QUAL -&gt; COMP and QUAL -&gt; LIKE, both returned an inner VIF of 3.487 and were flagged for review, as they exceed the ideal threshold while remaining under the acceptable ceiling. The model explained a moderate share of variance in COMP (R^2 = 0.631), LIKE (R^2 = 0.558), and CUSL (R^2 = 0.562), and a weak share in CUSA (R^2 = 0.292).</w:t>
      </w:r>
    </w:p>
    <w:p>
      <w:r>
        <w:t>Of the thirteen hypothesised paths, nine were supported on the basis of 95% percentile bootstrap confidence intervals that exclude zero. QUAL exerted a significant effect on both COMP (H1: β = 0.430, t = 6.603, CI [0.303, 0.552]) and LIKE (H2: β = 0.380, t = 5.699, CI [0.253, 0.514]), with small effect sizes of f^2 = 0.144 and 0.094 respectively. PERF significantly predicted COMP (H3: β = 0.295, t = 4.611, CI [0.173, 0.422]; f^2 = 0.076, small) but not LIKE (H4: β = 0.117, t = 1.613, CI [-0.011, 0.261]; f^2 = 0.011, negligible), so H4 was not supported. CSOR did not significantly influence COMP (H5: β = 0.059, t = 1.084, CI [-0.044, 0.165]; f^2 = 0.005, negligible) and H5 was not supported, whereas its effect on LIKE was significant (H6: β = 0.178, t = 3.205, CI [0.065, 0.282]; f^2 = 0.034, small). A similar pattern emerged for ATTR, which did not significantly affect COMP (H7: β = 0.086, t = 1.565, CI [-0.018, 0.194]; f^2 = 0.009, negligible) but did affect LIKE (H8: β = 0.167, t = 2.573, CI [0.034, 0.291]; f^2 = 0.030, small); H7 was not supported while H8 was. COMP significantly predicted CUSA (H9: β = 0.146, t = 2.047, CI [0.007, 0.281]; f^2 = 0.018, negligible) but not CUSL (H10: β = 0.006, t = 0.104, CI [-0.104, 0.115]; f^2 = 0.000, negligible), leaving H10 not supported. LIKE was a significant driver of both CUSA (H11: β = 0.436, t = 7.069, CI [0.312, 0.555]; f^2 = 0.159, medium) and CUSL (H12: β = 0.344, t = 6.175, CI [0.231, 0.449]; f^2 = 0.138, small). The strongest relationship in the model was that of CUSA on CUSL (H13: β = 0.505, t = 12.074, CI [0.420, 0.586]; f^2 = 0.403, large).</w:t>
      </w:r>
    </w:p>
    <w:p>
      <w:pPr>
        <w:pStyle w:val="Heading1"/>
      </w:pPr>
      <w:r>
        <w:t>6. Discussion</w:t>
      </w:r>
    </w:p>
    <w:p>
      <w:r>
        <w:t>The findings offer a nuanced account of how the antecedents of corporate reputation translate into customer loyalty among mobile network operators. Consistent with the two-dimensional conceptualisation of reputation, the study distinguishes between a cognitive competence dimension (COMP) and an affective likeability dimension (LIKE), and the results indicate that these two dimensions are driven by different antecedents and carry different downstream consequences. Perceived quality (QUAL) stands out as the most consistent driver, shaping both the competence and the likeability facets of reputation, which suggests that customers' overall quality perceptions inform both how capable and how likeable they judge an operator to be. Performance (PERF) contributed to the competence dimension but not to likeability, indicating that performance perceptions register primarily as an evidence-based, cognitive signal rather than an emotional one.</w:t>
      </w:r>
    </w:p>
    <w:p>
      <w:r>
        <w:t>Corporate social responsibility (CSOR) and attractiveness (ATTR) followed the opposite pattern: neither significantly influenced the competence dimension, yet both significantly shaped likeability. This is coherent with the interpretation that social responsibility and attractiveness operate through affective rather than competence-based evaluations. The non-significant paths from CSOR and ATTR to COMP (H5 and H7), together with the non-significant PERF-to-LIKE path (H4), should be read as meaningful boundary conditions rather than as anomalies: they show that reputation antecedents are not interchangeable across the two dimensions and that customers compartmentalise the informational and emotional content of these signals.</w:t>
      </w:r>
    </w:p>
    <w:p>
      <w:r>
        <w:t>On the outcome side, the affective likeability dimension proved decisive. LIKE significantly predicted both customer satisfaction (CUSA) and customer loyalty (CUSL), and carried the largest effect among the reputation-to-outcome paths. In contrast, the competence dimension had only a modest, negligible-effect-size link to satisfaction and no significant link to loyalty (H10 not supported), implying that being seen as competent is not, by itself, sufficient to retain customers once affective evaluations are accounted for. The dominant mechanism for loyalty was the satisfaction-to-loyalty relationship (H13), which was both significant and large, reinforcing the well-established centrality of satisfaction as the proximal determinant of loyalty. Taken together, the moderate explanatory power for COMP, LIKE, and CUSL and the weaker explanatory power for CUSA indicate that the modelled antecedents capture the reputation and loyalty outcomes more fully than they capture satisfaction, which is likely subject to additional drivers not included here. The elevated inner VIF of 3.487 for the two QUAL paths, flagged for review, signals some overlap between QUAL and the other formative antecedents and warrants caution in interpreting the relative magnitude of those specific coefficients.</w:t>
      </w:r>
    </w:p>
    <w:p>
      <w:pPr>
        <w:pStyle w:val="Heading1"/>
      </w:pPr>
      <w:r>
        <w:t>7. Managerial Implications</w:t>
      </w:r>
    </w:p>
    <w:p>
      <w:r>
        <w:t>For managers of mobile network operators, the results point to a clear order of priorities. Because perceived quality significantly strengthened both the competence and the likeability dimensions of reputation, sustained investment in service quality offers the broadest reputational return, improving how customers judge both the capability and the appeal of the operator. To build the affective likeability that most strongly drives satisfaction and loyalty, managers should also act on corporate social responsibility and attractiveness, both of which significantly shaped likeability; concrete initiatives such as visible social and community commitments and efforts to make the brand more appealing feed directly into the emotional evaluation that matters most for retention. Performance improvements can be positioned to reinforce perceptions of competence, where they had a significant effect. Above all, because customer satisfaction was by far the strongest determinant of loyalty and likeability was a significant driver of both satisfaction and loyalty, retention programmes should concentrate on raising satisfaction and cultivating the affective bond with customers rather than relying on competence-based messaging alone, since the competence dimension did not translate into loyalty in this study.</w:t>
      </w:r>
    </w:p>
    <w:p>
      <w:pPr>
        <w:pStyle w:val="Heading1"/>
      </w:pPr>
      <w:r>
        <w:t>8. Limitations</w:t>
      </w:r>
    </w:p>
    <w:p>
      <w:r>
        <w:t>Several limitations should be borne in mind. The analysis rests on cross-sectional survey data, so the hypothesised paths describe associations rather than demonstrably causal effects, and their stability over time cannot be established. The findings are specific to customers of mobile network operators and may not generalise to other industries or service contexts. Two structural paths, QUAL -&gt; COMP and QUAL -&gt; LIKE, returned inner VIF values of 3.487 and were flagged for review because they exceed the ideal collinearity threshold of 3, though they remain within the acceptable limit of 5; the associated coefficients should therefore be interpreted with some caution regarding their relative magnitude. Finally, the four exogenous constructs (QUAL, PERF, CSOR, and ATTR) were measured formatively, and formal outer-weight significance testing for these constructs was not available in the present analysis increment; a complete appraisal of the formative measurement models awaits that assessment.</w:t>
      </w:r>
    </w:p>
    <w:p>
      <w:pPr>
        <w:pStyle w:val="Heading1"/>
      </w:pPr>
      <w:r>
        <w:t>9. Conclusion</w:t>
      </w:r>
    </w:p>
    <w:p>
      <w:r>
        <w:t>This study examined the drivers of corporate reputation and customer loyalty among mobile network operators, modelling reputation as a two-dimensional construct comprising competence and likeability. Nine of the thirteen hypothesised paths were supported. Perceived quality emerged as the only antecedent to influence both reputation dimensions, performance contributed to competence alone, and corporate social responsibility and attractiveness contributed to likeability alone. The affective likeability dimension, rather than the cognitive competence dimension, was the more consequential route to satisfaction and loyalty, and customer satisfaction was the strongest single predictor of loyalty. The measurement model met all reliability and validity criteria for the reflective constructs, and the structural model explained a moderate proportion of variance in competence, likeability, and loyalty and a weak proportion in satisfaction. These results collectively suggest that, in this sector, loyalty is built primarily through the affective appeal of the operator and through customer satisfaction, with competence perceptions playing a comparatively limited direct role.</w:t>
      </w:r>
    </w:p>
    <w:p>
      <w:r>
        <w:t>Narrative sections were drafted by an AI writer constrained to the engine-computed statistics and threshold verdicts reported above; review before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