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32"/>
          <w:szCs w:val="32"/>
        </w:rPr>
        <w:t xml:space="preserve">TCET</w:t>
      </w:r>
    </w:p>
    <w:p>
      <w:pPr>
        <w:spacing w:after="120"/>
        <w:jc w:val="center"/>
      </w:pPr>
      <w:r>
        <w:rPr>
          <w:rFonts w:ascii="Times New Roman" w:cs="Times New Roman" w:eastAsia="Times New Roman" w:hAnsi="Times New Roman"/>
          <w:b/>
          <w:bCs/>
          <w:i w:val="false"/>
          <w:iCs w:val="false"/>
          <w:sz w:val="20"/>
          <w:szCs w:val="20"/>
        </w:rPr>
        <w:t xml:space="preserve">THAKUR COLLEGE OF ENGINEERING &amp; TECHNOLOGY</w:t>
      </w:r>
    </w:p>
    <w:p>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val="false"/>
          <w:bCs w:val="false"/>
          <w:i w:val="false"/>
          <w:iCs w:val="false"/>
          <w:sz w:val="26"/>
          <w:szCs w:val="26"/>
        </w:rPr>
        <w:t xml:space="preserve">Project Report (Part I)</w:t>
      </w:r>
    </w:p>
    <w:p>
      <w:pPr>
        <w:spacing w:after="120"/>
        <w:jc w:val="center"/>
      </w:pPr>
      <w:r>
        <w:rPr>
          <w:rFonts w:ascii="Times New Roman" w:cs="Times New Roman" w:eastAsia="Times New Roman" w:hAnsi="Times New Roman"/>
          <w:b w:val="false"/>
          <w:bCs w:val="false"/>
          <w:i w:val="false"/>
          <w:iCs w:val="false"/>
          <w:sz w:val="24"/>
          <w:szCs w:val="24"/>
        </w:rPr>
        <w:t xml:space="preserve">on</w:t>
      </w:r>
    </w:p>
    <w:p>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i w:val="false"/>
          <w:iCs w:val="false"/>
          <w:sz w:val="34"/>
          <w:szCs w:val="34"/>
        </w:rPr>
        <w:t xml:space="preserve">API-CIA: An AI-Enhanced API Change Impact Analyzer for Reliable and Secure Software Evolution</w:t>
      </w:r>
    </w:p>
    <w:p>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val="false"/>
          <w:bCs w:val="false"/>
          <w:i/>
          <w:iCs/>
          <w:sz w:val="24"/>
          <w:szCs w:val="24"/>
        </w:rPr>
        <w:t xml:space="preserve">Submitted in partial fulfillment for the award of the degree of</w:t>
      </w:r>
    </w:p>
    <w:p>
      <w:pPr>
        <w:spacing w:after="120"/>
        <w:jc w:val="center"/>
      </w:pPr>
      <w:r>
        <w:rPr>
          <w:rFonts w:ascii="Times New Roman" w:cs="Times New Roman" w:eastAsia="Times New Roman" w:hAnsi="Times New Roman"/>
          <w:b/>
          <w:bCs/>
          <w:i w:val="false"/>
          <w:iCs w:val="false"/>
          <w:sz w:val="30"/>
          <w:szCs w:val="30"/>
        </w:rPr>
        <w:t xml:space="preserve">BACHELOR OF ENGINEERING</w:t>
      </w:r>
    </w:p>
    <w:p>
      <w:pPr>
        <w:spacing w:after="120"/>
        <w:jc w:val="center"/>
      </w:pPr>
      <w:r>
        <w:rPr>
          <w:rFonts w:ascii="Times New Roman" w:cs="Times New Roman" w:eastAsia="Times New Roman" w:hAnsi="Times New Roman"/>
          <w:b w:val="false"/>
          <w:bCs w:val="false"/>
          <w:i/>
          <w:iCs/>
          <w:sz w:val="24"/>
          <w:szCs w:val="24"/>
        </w:rPr>
        <w:t xml:space="preserve">in</w:t>
      </w:r>
    </w:p>
    <w:p>
      <w:pPr>
        <w:spacing w:after="120"/>
        <w:jc w:val="center"/>
      </w:pPr>
      <w:r>
        <w:rPr>
          <w:rFonts w:ascii="Times New Roman" w:cs="Times New Roman" w:eastAsia="Times New Roman" w:hAnsi="Times New Roman"/>
          <w:b/>
          <w:bCs/>
          <w:i w:val="false"/>
          <w:iCs w:val="false"/>
          <w:sz w:val="30"/>
          <w:szCs w:val="30"/>
        </w:rPr>
        <w:t xml:space="preserve">COMPUTER ENGINEERING</w:t>
      </w:r>
    </w:p>
    <w:p>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val="false"/>
          <w:bCs w:val="false"/>
          <w:i w:val="false"/>
          <w:iCs w:val="false"/>
          <w:sz w:val="24"/>
          <w:szCs w:val="24"/>
        </w:rPr>
        <w:t xml:space="preserve">Submitted by</w:t>
      </w:r>
    </w:p>
    <w:p>
      <w:pPr>
        <w:spacing w:after="120"/>
        <w:jc w:val="center"/>
      </w:pPr>
      <w:r>
        <w:rPr>
          <w:rFonts w:ascii="Times New Roman" w:cs="Times New Roman" w:eastAsia="Times New Roman" w:hAnsi="Times New Roman"/>
          <w:b w:val="false"/>
          <w:bCs w:val="false"/>
          <w:i w:val="false"/>
          <w:iCs w:val="false"/>
          <w:sz w:val="24"/>
          <w:szCs w:val="24"/>
        </w:rPr>
        <w:t xml:space="preserve">&lt;Name of Group Member 1&gt; (Roll No. &lt;____&gt;)</w:t>
      </w:r>
    </w:p>
    <w:p>
      <w:pPr>
        <w:spacing w:after="120"/>
        <w:jc w:val="center"/>
      </w:pPr>
      <w:r>
        <w:rPr>
          <w:rFonts w:ascii="Times New Roman" w:cs="Times New Roman" w:eastAsia="Times New Roman" w:hAnsi="Times New Roman"/>
          <w:b w:val="false"/>
          <w:bCs w:val="false"/>
          <w:i w:val="false"/>
          <w:iCs w:val="false"/>
          <w:sz w:val="24"/>
          <w:szCs w:val="24"/>
        </w:rPr>
        <w:t xml:space="preserve">&lt;Name of Group Member 2&gt; (Roll No. &lt;____&gt;)</w:t>
      </w:r>
    </w:p>
    <w:p>
      <w:pPr>
        <w:spacing w:after="120"/>
        <w:jc w:val="center"/>
      </w:pPr>
      <w:r>
        <w:rPr>
          <w:rFonts w:ascii="Times New Roman" w:cs="Times New Roman" w:eastAsia="Times New Roman" w:hAnsi="Times New Roman"/>
          <w:b w:val="false"/>
          <w:bCs w:val="false"/>
          <w:i w:val="false"/>
          <w:iCs w:val="false"/>
          <w:sz w:val="24"/>
          <w:szCs w:val="24"/>
        </w:rPr>
        <w:t xml:space="preserve">&lt;Name of Group Member 3&gt; (Roll No. &lt;____&gt;)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i/>
          <w:iCs/>
          <w:sz w:val="24"/>
          <w:szCs w:val="24"/>
        </w:rPr>
        <w:t xml:space="preserve">Under the Guidance of</w:t>
      </w:r>
    </w:p>
    <w:p>
      <w:pPr>
        <w:spacing w:after="120"/>
        <w:jc w:val="center"/>
      </w:pPr>
      <w:r>
        <w:rPr>
          <w:rFonts w:ascii="Times New Roman" w:cs="Times New Roman" w:eastAsia="Times New Roman" w:hAnsi="Times New Roman"/>
          <w:b/>
          <w:bCs/>
          <w:i w:val="false"/>
          <w:iCs w:val="false"/>
          <w:sz w:val="28"/>
          <w:szCs w:val="28"/>
        </w:rPr>
        <w:t xml:space="preserve">&lt;Guide Name&gt;</w:t>
      </w:r>
    </w:p>
    <w:p>
      <w:pPr>
        <w:spacing w:after="120"/>
        <w:jc w:val="center"/>
      </w:pPr>
      <w:r>
        <w:rPr>
          <w:rFonts w:ascii="Times New Roman" w:cs="Times New Roman" w:eastAsia="Times New Roman" w:hAnsi="Times New Roman"/>
          <w:b/>
          <w:bCs/>
          <w:i w:val="false"/>
          <w:iCs w:val="false"/>
          <w:sz w:val="28"/>
          <w:szCs w:val="28"/>
        </w:rPr>
        <w:t xml:space="preserve">&lt;Designation&gt;</w:t>
      </w:r>
    </w:p>
    <w:p>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i w:val="false"/>
          <w:iCs w:val="false"/>
          <w:sz w:val="28"/>
          <w:szCs w:val="28"/>
        </w:rPr>
        <w:t xml:space="preserve">Department of Computer Engineering</w:t>
      </w:r>
    </w:p>
    <w:p>
      <w:pPr>
        <w:spacing w:after="120"/>
        <w:jc w:val="center"/>
      </w:pPr>
      <w:r>
        <w:rPr>
          <w:rFonts w:ascii="Times New Roman" w:cs="Times New Roman" w:eastAsia="Times New Roman" w:hAnsi="Times New Roman"/>
          <w:b/>
          <w:bCs/>
          <w:i w:val="false"/>
          <w:iCs w:val="false"/>
          <w:sz w:val="28"/>
          <w:szCs w:val="28"/>
        </w:rPr>
        <w:t xml:space="preserve">(Academic Year 2026-27)</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i w:val="false"/>
          <w:iCs w:val="false"/>
          <w:sz w:val="22"/>
          <w:szCs w:val="22"/>
        </w:rPr>
        <w:t xml:space="preserve">THAKUR COLLEGE OF ENGINEERING &amp; TECHNOLOGY</w:t>
      </w:r>
    </w:p>
    <w:p>
      <w:pPr>
        <w:spacing w:after="120"/>
        <w:jc w:val="center"/>
      </w:pPr>
      <w:r>
        <w:rPr>
          <w:rFonts w:ascii="Times New Roman" w:cs="Times New Roman" w:eastAsia="Times New Roman" w:hAnsi="Times New Roman"/>
          <w:b w:val="false"/>
          <w:bCs w:val="false"/>
          <w:i w:val="false"/>
          <w:iCs w:val="false"/>
          <w:sz w:val="18"/>
          <w:szCs w:val="18"/>
        </w:rPr>
        <w:t xml:space="preserve">Approved by AICTE &amp; Govt. of Maharashtra | Affiliated to University of Mumbai (UoM)</w:t>
      </w:r>
    </w:p>
    <w:p>
      <w:pPr>
        <w:spacing w:after="120"/>
        <w:jc w:val="center"/>
      </w:pPr>
      <w:r>
        <w:rPr>
          <w:rFonts w:ascii="Times New Roman" w:cs="Times New Roman" w:eastAsia="Times New Roman" w:hAnsi="Times New Roman"/>
          <w:b w:val="false"/>
          <w:bCs w:val="false"/>
          <w:i w:val="false"/>
          <w:iCs w:val="false"/>
          <w:sz w:val="18"/>
          <w:szCs w:val="18"/>
        </w:rPr>
        <w:t xml:space="preserve">Conferred Autonomous Status by UGC for 10 years w.e.f. A.Y. 2019-20</w:t>
      </w:r>
    </w:p>
    <w:p>
      <w:pPr>
        <w:spacing w:after="120"/>
        <w:jc w:val="center"/>
      </w:pPr>
      <w:r>
        <w:rPr>
          <w:rFonts w:ascii="Times New Roman" w:cs="Times New Roman" w:eastAsia="Times New Roman" w:hAnsi="Times New Roman"/>
          <w:b w:val="false"/>
          <w:bCs w:val="false"/>
          <w:i w:val="false"/>
          <w:iCs w:val="false"/>
          <w:sz w:val="18"/>
          <w:szCs w:val="18"/>
        </w:rPr>
        <w:t xml:space="preserve">Accredited with 'A' Grade by National Assessment &amp; Accreditation Council (NAAC)</w:t>
      </w:r>
    </w:p>
    <w:p>
      <w:pPr>
        <w:spacing w:after="120"/>
        <w:jc w:val="center"/>
      </w:pPr>
      <w:r>
        <w:rPr>
          <w:rFonts w:ascii="Times New Roman" w:cs="Times New Roman" w:eastAsia="Times New Roman" w:hAnsi="Times New Roman"/>
          <w:b w:val="false"/>
          <w:bCs w:val="false"/>
          <w:i w:val="false"/>
          <w:iCs w:val="false"/>
          <w:sz w:val="18"/>
          <w:szCs w:val="18"/>
        </w:rPr>
        <w:t xml:space="preserve">Programmes Accredited by National Board of Accreditation (NBA)</w:t>
      </w:r>
    </w:p>
    <w:p>
      <w:pPr>
        <w:spacing w:after="120"/>
        <w:jc w:val="center"/>
      </w:pPr>
      <w:r>
        <w:rPr>
          <w:rFonts w:ascii="Times New Roman" w:cs="Times New Roman" w:eastAsia="Times New Roman" w:hAnsi="Times New Roman"/>
          <w:b w:val="false"/>
          <w:bCs w:val="false"/>
          <w:i w:val="false"/>
          <w:iCs w:val="false"/>
          <w:sz w:val="18"/>
          <w:szCs w:val="18"/>
        </w:rPr>
        <w:t xml:space="preserve">Empowered Autonomous Status Conferred by University of Mumbai for 10 years w.e.f. A.Y. 2025-26</w:t>
      </w:r>
    </w:p>
    <w:p>
      <w:pPr>
        <w:sectPr>
          <w:headerReference w:type="default" r:id="rId7"/>
          <w:footerReference w:type="default" r:id="rId8"/>
          <w:pgSz w:w="11906" w:h="16838" w:orient="portrait"/>
          <w:pgMar w:top="1440" w:right="1440" w:bottom="1440" w:left="1440" w:header="708" w:footer="708" w:gutter="0"/>
          <w:pgNumType/>
          <w:titlePg/>
          <w:docGrid w:linePitch="360"/>
        </w:sectPr>
      </w:pPr>
    </w:p>
    <w:p>
      <w:pPr>
        <w:spacing w:after="120"/>
        <w:jc w:val="center"/>
      </w:pPr>
      <w:r>
        <w:rPr>
          <w:rFonts w:ascii="Times New Roman" w:cs="Times New Roman" w:eastAsia="Times New Roman" w:hAnsi="Times New Roman"/>
          <w:b/>
          <w:bCs/>
          <w:i w:val="false"/>
          <w:iCs w:val="false"/>
          <w:sz w:val="20"/>
          <w:szCs w:val="20"/>
        </w:rPr>
        <w:t xml:space="preserve">TCET  |  THAKUR COLLEGE OF ENGINEERING &amp; TECHNOLOGY</w:t>
      </w:r>
    </w:p>
    <w:p>
      <w:pPr>
        <w:spacing w:after="120"/>
        <w:jc w:val="center"/>
      </w:pPr>
      <w:r>
        <w:rPr>
          <w:rFonts w:ascii="Times New Roman" w:cs="Times New Roman" w:eastAsia="Times New Roman" w:hAnsi="Times New Roman"/>
          <w:b w:val="false"/>
          <w:bCs w:val="false"/>
          <w:i w:val="false"/>
          <w:iCs w:val="false"/>
          <w:sz w:val="16"/>
          <w:szCs w:val="16"/>
        </w:rPr>
        <w:t xml:space="preserve">Approved by AICTE &amp; Govt. of Maharashtra | Affiliated to University of Mumbai (UoM)</w:t>
      </w:r>
    </w:p>
    <w:p>
      <w:pPr>
        <w:spacing w:after="120"/>
        <w:jc w:val="center"/>
      </w:pPr>
      <w:r>
        <w:rPr>
          <w:rFonts w:ascii="Times New Roman" w:cs="Times New Roman" w:eastAsia="Times New Roman" w:hAnsi="Times New Roman"/>
          <w:b w:val="false"/>
          <w:bCs w:val="false"/>
          <w:i w:val="false"/>
          <w:iCs w:val="false"/>
          <w:sz w:val="16"/>
          <w:szCs w:val="16"/>
        </w:rPr>
        <w:t xml:space="preserve">Conferred Autonomous Status by UGC for 10 years w.e.f. A.Y. 2019-20 | Accredited 'A' Grade NAAC | NBA Accredited | Empowered Autonomous Status (UoM) w.e.f. A.Y. 2025-26</w:t>
      </w:r>
    </w:p>
    <w:p>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i w:val="false"/>
          <w:iCs w:val="false"/>
          <w:sz w:val="32"/>
          <w:szCs w:val="32"/>
        </w:rPr>
        <w:t xml:space="preserve">CERTIFICATE</w:t>
      </w:r>
    </w:p>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sz w:val="24"/>
          <w:szCs w:val="24"/>
        </w:rPr>
        <w:t xml:space="preserve">This is to certify that the project entitled </w:t>
      </w:r>
      <w:r>
        <w:rPr>
          <w:rFonts w:ascii="Times New Roman" w:cs="Times New Roman" w:eastAsia="Times New Roman" w:hAnsi="Times New Roman"/>
          <w:b/>
          <w:bCs/>
          <w:sz w:val="24"/>
          <w:szCs w:val="24"/>
        </w:rPr>
        <w:t xml:space="preserve">"API-CIA: An AI-Enhanced API Change Impact Analyzer for Reliable and Secure Software Evolution"</w:t>
      </w:r>
      <w:r>
        <w:rPr>
          <w:rFonts w:ascii="Times New Roman" w:cs="Times New Roman" w:eastAsia="Times New Roman" w:hAnsi="Times New Roman"/>
          <w:sz w:val="24"/>
          <w:szCs w:val="24"/>
        </w:rPr>
        <w:t xml:space="preserve"> is a bonafide work of </w:t>
      </w:r>
      <w:r>
        <w:rPr>
          <w:rFonts w:ascii="Times New Roman" w:cs="Times New Roman" w:eastAsia="Times New Roman" w:hAnsi="Times New Roman"/>
          <w:b/>
          <w:bCs/>
          <w:sz w:val="24"/>
          <w:szCs w:val="24"/>
        </w:rPr>
        <w:t xml:space="preserve">&lt;Name of Student 1&gt; (Roll No. &lt;____&gt;), &lt;Name of Student 2&gt; (Roll No. &lt;____&gt;), &lt;Name of Student 3&gt; (Roll No. &lt;____&gt;)</w:t>
      </w:r>
      <w:r>
        <w:rPr>
          <w:rFonts w:ascii="Times New Roman" w:cs="Times New Roman" w:eastAsia="Times New Roman" w:hAnsi="Times New Roman"/>
          <w:sz w:val="24"/>
          <w:szCs w:val="24"/>
        </w:rPr>
        <w:t xml:space="preserve"> submitted to the Thakur College of Engineering and Technology, Mumbai (An Autonomous College affiliated to University of Mumbai) in partial fulfillment of the requirement for </w:t>
      </w:r>
      <w:r>
        <w:rPr>
          <w:rFonts w:ascii="Times New Roman" w:cs="Times New Roman" w:eastAsia="Times New Roman" w:hAnsi="Times New Roman"/>
          <w:b/>
          <w:bCs/>
          <w:sz w:val="24"/>
          <w:szCs w:val="24"/>
        </w:rPr>
        <w:t xml:space="preserve">Project-I</w:t>
      </w:r>
      <w:r>
        <w:rPr>
          <w:rFonts w:ascii="Times New Roman" w:cs="Times New Roman" w:eastAsia="Times New Roman" w:hAnsi="Times New Roman"/>
          <w:sz w:val="24"/>
          <w:szCs w:val="24"/>
        </w:rPr>
        <w:t xml:space="preserve"> for the award of the degree of </w:t>
      </w:r>
      <w:r>
        <w:rPr>
          <w:rFonts w:ascii="Times New Roman" w:cs="Times New Roman" w:eastAsia="Times New Roman" w:hAnsi="Times New Roman"/>
          <w:b/>
          <w:bCs/>
          <w:sz w:val="24"/>
          <w:szCs w:val="24"/>
        </w:rPr>
        <w:t xml:space="preserve">"Bachelor of Engineering"</w:t>
      </w:r>
      <w:r>
        <w:rPr>
          <w:rFonts w:ascii="Times New Roman" w:cs="Times New Roman" w:eastAsia="Times New Roman" w:hAnsi="Times New Roman"/>
          <w:sz w:val="24"/>
          <w:szCs w:val="24"/>
        </w:rPr>
        <w:t xml:space="preserve"> in </w:t>
      </w:r>
      <w:r>
        <w:rPr>
          <w:rFonts w:ascii="Times New Roman" w:cs="Times New Roman" w:eastAsia="Times New Roman" w:hAnsi="Times New Roman"/>
          <w:b/>
          <w:bCs/>
          <w:sz w:val="24"/>
          <w:szCs w:val="24"/>
        </w:rPr>
        <w:t xml:space="preserve">"Computer Engineering"</w:t>
      </w:r>
      <w:r>
        <w:rPr>
          <w:rFonts w:ascii="Times New Roman" w:cs="Times New Roman" w:eastAsia="Times New Roman" w:hAnsi="Times New Roman"/>
          <w:sz w:val="24"/>
          <w:szCs w:val="24"/>
        </w:rPr>
        <w:t xml:space="preserv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Mar>
              <w:top w:type="dxa" w:w="60"/>
              <w:left w:type="dxa" w:w="0"/>
              <w:bottom w:type="dxa" w:w="60"/>
              <w:right w:type="dxa" w:w="200"/>
            </w:tcMar>
          </w:tcPr>
          <w:p>
            <w:pPr>
              <w:spacing w:after="160"/>
            </w:pPr>
            <w:r>
              <w:rPr>
                <w:rFonts w:ascii="Times New Roman" w:cs="Times New Roman" w:eastAsia="Times New Roman" w:hAnsi="Times New Roman"/>
                <w:sz w:val="24"/>
                <w:szCs w:val="24"/>
              </w:rPr>
              <w:t xml:space="preserve">Signature with Date: ______________</w:t>
            </w:r>
          </w:p>
          <w:p>
            <w:pPr>
              <w:spacing w:after="160"/>
            </w:pPr>
            <w:r>
              <w:rPr>
                <w:rFonts w:ascii="Times New Roman" w:cs="Times New Roman" w:eastAsia="Times New Roman" w:hAnsi="Times New Roman"/>
                <w:sz w:val="24"/>
                <w:szCs w:val="24"/>
              </w:rPr>
              <w:t xml:space="preserve">Name of Guide: &lt;Guide Name&gt;</w:t>
            </w:r>
          </w:p>
          <w:p>
            <w:pPr>
              <w:spacing w:after="160"/>
            </w:pPr>
            <w:r>
              <w:rPr>
                <w:rFonts w:ascii="Times New Roman" w:cs="Times New Roman" w:eastAsia="Times New Roman" w:hAnsi="Times New Roman"/>
                <w:sz w:val="24"/>
                <w:szCs w:val="24"/>
              </w:rPr>
              <w:t xml:space="preserve">Designation: &lt;Designation&gt;</w:t>
            </w:r>
          </w:p>
        </w:tc>
        <w:tc>
          <w:tcPr>
            <w:tcW w:type="dxa" w:w="4500"/>
            <w:tcMar>
              <w:top w:type="dxa" w:w="60"/>
              <w:left w:type="dxa" w:w="0"/>
              <w:bottom w:type="dxa" w:w="60"/>
              <w:right w:type="dxa" w:w="200"/>
            </w:tcMar>
          </w:tcPr>
          <w:p>
            <w:pPr>
              <w:spacing w:after="160"/>
            </w:pPr>
            <w:r>
              <w:rPr>
                <w:rFonts w:ascii="Times New Roman" w:cs="Times New Roman" w:eastAsia="Times New Roman" w:hAnsi="Times New Roman"/>
                <w:sz w:val="24"/>
                <w:szCs w:val="24"/>
              </w:rPr>
              <w:t xml:space="preserve">Signature with Date: ______________</w:t>
            </w:r>
          </w:p>
          <w:p>
            <w:pPr>
              <w:spacing w:after="160"/>
            </w:pPr>
            <w:r>
              <w:rPr>
                <w:rFonts w:ascii="Times New Roman" w:cs="Times New Roman" w:eastAsia="Times New Roman" w:hAnsi="Times New Roman"/>
                <w:sz w:val="24"/>
                <w:szCs w:val="24"/>
              </w:rPr>
              <w:t xml:space="preserve">Name of HOD: Dr. Vaishali Kaiche</w:t>
            </w:r>
          </w:p>
          <w:p>
            <w:pPr>
              <w:spacing w:after="160"/>
            </w:pPr>
            <w:r>
              <w:rPr>
                <w:rFonts w:ascii="Times New Roman" w:cs="Times New Roman" w:eastAsia="Times New Roman" w:hAnsi="Times New Roman"/>
                <w:sz w:val="24"/>
                <w:szCs w:val="24"/>
              </w:rPr>
              <w:t xml:space="preserve">Name of Department: Computer Engineering</w:t>
            </w:r>
          </w:p>
        </w:tc>
      </w:tr>
    </w:tbl>
    <w:p>
      <w:r>
        <w:br w:type="page"/>
      </w:r>
    </w:p>
    <w:p>
      <w:pPr>
        <w:spacing w:after="120"/>
        <w:jc w:val="center"/>
      </w:pPr>
      <w:r>
        <w:rPr>
          <w:rFonts w:ascii="Times New Roman" w:cs="Times New Roman" w:eastAsia="Times New Roman" w:hAnsi="Times New Roman"/>
          <w:b/>
          <w:bCs/>
          <w:i w:val="false"/>
          <w:iCs w:val="false"/>
          <w:sz w:val="20"/>
          <w:szCs w:val="20"/>
        </w:rPr>
        <w:t xml:space="preserve">TCET  |  THAKUR COLLEGE OF ENGINEERING &amp; TECHNOLOGY</w:t>
      </w:r>
    </w:p>
    <w:p>
      <w:pPr>
        <w:spacing w:after="120"/>
        <w:jc w:val="center"/>
      </w:pPr>
      <w:r>
        <w:rPr>
          <w:rFonts w:ascii="Times New Roman" w:cs="Times New Roman" w:eastAsia="Times New Roman" w:hAnsi="Times New Roman"/>
          <w:b w:val="false"/>
          <w:bCs w:val="false"/>
          <w:i w:val="false"/>
          <w:iCs w:val="false"/>
          <w:sz w:val="16"/>
          <w:szCs w:val="16"/>
        </w:rPr>
        <w:t xml:space="preserve">Approved by AICTE &amp; Govt. of Maharashtra | Affiliated to University of Mumbai (UoM)</w:t>
      </w:r>
    </w:p>
    <w:p>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i w:val="false"/>
          <w:iCs w:val="false"/>
          <w:sz w:val="32"/>
          <w:szCs w:val="32"/>
        </w:rPr>
        <w:t xml:space="preserve">PROJECT APPROVAL CERTIFICATE</w:t>
      </w:r>
    </w:p>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sz w:val="24"/>
          <w:szCs w:val="24"/>
        </w:rPr>
        <w:t xml:space="preserve">This project report entitled </w:t>
      </w:r>
      <w:r>
        <w:rPr>
          <w:rFonts w:ascii="Times New Roman" w:cs="Times New Roman" w:eastAsia="Times New Roman" w:hAnsi="Times New Roman"/>
          <w:b/>
          <w:bCs/>
          <w:i/>
          <w:iCs/>
          <w:sz w:val="24"/>
          <w:szCs w:val="24"/>
        </w:rPr>
        <w:t xml:space="preserve">"API-CIA: An AI-Enhanced API Change Impact Analyzer for Reliable and Secure Software Evolution"</w:t>
      </w:r>
      <w:r>
        <w:rPr>
          <w:rFonts w:ascii="Times New Roman" w:cs="Times New Roman" w:eastAsia="Times New Roman" w:hAnsi="Times New Roman"/>
          <w:sz w:val="24"/>
          <w:szCs w:val="24"/>
        </w:rPr>
        <w:t xml:space="preserve"> by </w:t>
      </w:r>
      <w:r>
        <w:rPr>
          <w:rFonts w:ascii="Times New Roman" w:cs="Times New Roman" w:eastAsia="Times New Roman" w:hAnsi="Times New Roman"/>
          <w:b/>
          <w:bCs/>
          <w:i/>
          <w:iCs/>
          <w:sz w:val="24"/>
          <w:szCs w:val="24"/>
        </w:rPr>
        <w:t xml:space="preserve">&lt;Name of Student 1&gt; (Roll No. &lt;____&gt;), &lt;Name of Student 2&gt; (Roll No. &lt;____&gt;), &lt;Name of Student 3&gt; (Roll No. &lt;____&gt;)</w:t>
      </w:r>
      <w:r>
        <w:rPr>
          <w:rFonts w:ascii="Times New Roman" w:cs="Times New Roman" w:eastAsia="Times New Roman" w:hAnsi="Times New Roman"/>
          <w:sz w:val="24"/>
          <w:szCs w:val="24"/>
        </w:rPr>
        <w:t xml:space="preserve"> is approved for the degree of </w:t>
      </w:r>
      <w:r>
        <w:rPr>
          <w:rFonts w:ascii="Times New Roman" w:cs="Times New Roman" w:eastAsia="Times New Roman" w:hAnsi="Times New Roman"/>
          <w:b/>
          <w:bCs/>
          <w:sz w:val="24"/>
          <w:szCs w:val="24"/>
        </w:rPr>
        <w:t xml:space="preserve">"Bachelor of Engineering"</w:t>
      </w:r>
      <w:r>
        <w:rPr>
          <w:rFonts w:ascii="Times New Roman" w:cs="Times New Roman" w:eastAsia="Times New Roman" w:hAnsi="Times New Roman"/>
          <w:sz w:val="24"/>
          <w:szCs w:val="24"/>
        </w:rPr>
        <w:t xml:space="preserve"> in </w:t>
      </w:r>
      <w:r>
        <w:rPr>
          <w:rFonts w:ascii="Times New Roman" w:cs="Times New Roman" w:eastAsia="Times New Roman" w:hAnsi="Times New Roman"/>
          <w:b/>
          <w:bCs/>
          <w:sz w:val="24"/>
          <w:szCs w:val="24"/>
        </w:rPr>
        <w:t xml:space="preserve">"Computer Engineering"</w:t>
      </w:r>
      <w:r>
        <w:rPr>
          <w:rFonts w:ascii="Times New Roman" w:cs="Times New Roman" w:eastAsia="Times New Roman" w:hAnsi="Times New Roman"/>
          <w:sz w:val="24"/>
          <w:szCs w:val="24"/>
        </w:rPr>
        <w:t xml:space="preserv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Mar>
              <w:top w:type="dxa" w:w="60"/>
              <w:left w:type="dxa" w:w="0"/>
              <w:bottom w:type="dxa" w:w="60"/>
              <w:right w:type="dxa" w:w="200"/>
            </w:tcMar>
          </w:tcPr>
          <w:p>
            <w:pPr>
              <w:spacing w:after="160"/>
            </w:pPr>
            <w:r>
              <w:rPr>
                <w:rFonts w:ascii="Times New Roman" w:cs="Times New Roman" w:eastAsia="Times New Roman" w:hAnsi="Times New Roman"/>
                <w:sz w:val="24"/>
                <w:szCs w:val="24"/>
              </w:rPr>
              <w:t xml:space="preserve">Internal Examiner:</w:t>
            </w:r>
          </w:p>
          <w:p>
            <w:pPr>
              <w:spacing w:after="16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Signature: ____________________</w:t>
            </w:r>
          </w:p>
          <w:p>
            <w:pPr>
              <w:spacing w:after="160"/>
            </w:pPr>
            <w:r>
              <w:rPr>
                <w:rFonts w:ascii="Times New Roman" w:cs="Times New Roman" w:eastAsia="Times New Roman" w:hAnsi="Times New Roman"/>
                <w:sz w:val="24"/>
                <w:szCs w:val="24"/>
              </w:rPr>
              <w:t xml:space="preserve">Name: __________________________</w:t>
            </w:r>
          </w:p>
        </w:tc>
        <w:tc>
          <w:tcPr>
            <w:tcW w:type="dxa" w:w="4500"/>
            <w:tcMar>
              <w:top w:type="dxa" w:w="60"/>
              <w:left w:type="dxa" w:w="0"/>
              <w:bottom w:type="dxa" w:w="60"/>
              <w:right w:type="dxa" w:w="200"/>
            </w:tcMar>
          </w:tcPr>
          <w:p>
            <w:pPr>
              <w:spacing w:after="160"/>
            </w:pPr>
            <w:r>
              <w:rPr>
                <w:rFonts w:ascii="Times New Roman" w:cs="Times New Roman" w:eastAsia="Times New Roman" w:hAnsi="Times New Roman"/>
                <w:sz w:val="24"/>
                <w:szCs w:val="24"/>
              </w:rPr>
              <w:t xml:space="preserve">External Examiner:</w:t>
            </w:r>
          </w:p>
          <w:p>
            <w:pPr>
              <w:spacing w:after="16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Signature: ____________________</w:t>
            </w:r>
          </w:p>
          <w:p>
            <w:pPr>
              <w:spacing w:after="160"/>
            </w:pPr>
            <w:r>
              <w:rPr>
                <w:rFonts w:ascii="Times New Roman" w:cs="Times New Roman" w:eastAsia="Times New Roman" w:hAnsi="Times New Roman"/>
                <w:sz w:val="24"/>
                <w:szCs w:val="24"/>
              </w:rPr>
              <w:t xml:space="preserve">Name: __________________________</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Date: __________________</w:t>
      </w:r>
    </w:p>
    <w:p>
      <w:pPr>
        <w:spacing w:after="200" w:line="360"/>
        <w:jc w:val="both"/>
      </w:pPr>
      <w:r>
        <w:rPr>
          <w:rFonts w:ascii="Times New Roman" w:cs="Times New Roman" w:eastAsia="Times New Roman" w:hAnsi="Times New Roman"/>
          <w:b w:val="false"/>
          <w:bCs w:val="false"/>
          <w:i w:val="false"/>
          <w:iCs w:val="false"/>
          <w:sz w:val="24"/>
          <w:szCs w:val="24"/>
        </w:rPr>
        <w:t xml:space="preserve">Place: Mumbai</w:t>
      </w:r>
    </w:p>
    <w:p>
      <w:r>
        <w:br w:type="page"/>
      </w:r>
    </w:p>
    <w:p>
      <w:pPr>
        <w:spacing w:after="120"/>
        <w:jc w:val="center"/>
      </w:pPr>
      <w:r>
        <w:rPr>
          <w:rFonts w:ascii="Times New Roman" w:cs="Times New Roman" w:eastAsia="Times New Roman" w:hAnsi="Times New Roman"/>
          <w:b/>
          <w:bCs/>
          <w:i w:val="false"/>
          <w:iCs w:val="false"/>
          <w:sz w:val="32"/>
          <w:szCs w:val="32"/>
        </w:rPr>
        <w:t xml:space="preserve">ACKNOWLEDGEMENT</w:t>
      </w:r>
    </w:p>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It would be unfair if we do not acknowledge the help and support given by our professors, peers, and family throughout the course of this project. We sincerely thank our guide, &lt;Guide Name&gt;, for the technical guidance, continuous encouragement, and the patient review of every design decision — from the initial scoping of the API Change Impact Analyzer through the structural, dependency, and security analysis modules described in this report.</w:t>
      </w:r>
    </w:p>
    <w:p>
      <w:pPr>
        <w:spacing w:after="200" w:line="360"/>
        <w:jc w:val="both"/>
      </w:pPr>
      <w:r>
        <w:rPr>
          <w:rFonts w:ascii="Times New Roman" w:cs="Times New Roman" w:eastAsia="Times New Roman" w:hAnsi="Times New Roman"/>
          <w:b w:val="false"/>
          <w:bCs w:val="false"/>
          <w:i w:val="false"/>
          <w:iCs w:val="false"/>
          <w:sz w:val="24"/>
          <w:szCs w:val="24"/>
        </w:rPr>
        <w:t xml:space="preserve">We are grateful to our project coordinators for arranging the laboratory access, review sessions, and evaluation schedules that kept the project on track. We also thank our peers and the open-source communities behind Spring Boot, JavaParser, and the Swagger/OpenAPI tooling ecosystem, whose libraries form the technical foundation of our implementation.</w:t>
      </w:r>
    </w:p>
    <w:p>
      <w:pPr>
        <w:spacing w:after="200" w:line="360"/>
        <w:jc w:val="both"/>
      </w:pPr>
      <w:r>
        <w:rPr>
          <w:rFonts w:ascii="Times New Roman" w:cs="Times New Roman" w:eastAsia="Times New Roman" w:hAnsi="Times New Roman"/>
          <w:b w:val="false"/>
          <w:bCs w:val="false"/>
          <w:i w:val="false"/>
          <w:iCs w:val="false"/>
          <w:sz w:val="24"/>
          <w:szCs w:val="24"/>
        </w:rPr>
        <w:t xml:space="preserve">We thank the HOD, Dr. Vaishali Kaiche, the Principal, Dr. B. K. Mishra, and the college management of Thakur College of Engineering &amp; Technology for their constant support and for providing an environment conducive to independent research and system-building.</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1. &lt;Name of Student 1&gt; (Roll No. &lt;____&gt;)</w:t>
      </w:r>
    </w:p>
    <w:p>
      <w:pPr>
        <w:spacing w:after="200" w:line="360"/>
        <w:jc w:val="both"/>
      </w:pPr>
      <w:r>
        <w:rPr>
          <w:rFonts w:ascii="Times New Roman" w:cs="Times New Roman" w:eastAsia="Times New Roman" w:hAnsi="Times New Roman"/>
          <w:b w:val="false"/>
          <w:bCs w:val="false"/>
          <w:i w:val="false"/>
          <w:iCs w:val="false"/>
          <w:sz w:val="24"/>
          <w:szCs w:val="24"/>
        </w:rPr>
        <w:t xml:space="preserve">2. &lt;Name of Student 2&gt; (Roll No. &lt;____&gt;)</w:t>
      </w:r>
    </w:p>
    <w:p>
      <w:pPr>
        <w:spacing w:after="200" w:line="360"/>
        <w:jc w:val="both"/>
      </w:pPr>
      <w:r>
        <w:rPr>
          <w:rFonts w:ascii="Times New Roman" w:cs="Times New Roman" w:eastAsia="Times New Roman" w:hAnsi="Times New Roman"/>
          <w:b w:val="false"/>
          <w:bCs w:val="false"/>
          <w:i w:val="false"/>
          <w:iCs w:val="false"/>
          <w:sz w:val="24"/>
          <w:szCs w:val="24"/>
        </w:rPr>
        <w:t xml:space="preserve">3. &lt;Name of Student 3&gt; (Roll No. &lt;____&gt;)</w:t>
      </w:r>
    </w:p>
    <w:p>
      <w:r>
        <w:br w:type="page"/>
      </w:r>
    </w:p>
    <w:p>
      <w:pPr>
        <w:spacing w:after="120"/>
        <w:jc w:val="center"/>
      </w:pPr>
      <w:r>
        <w:rPr>
          <w:rFonts w:ascii="Times New Roman" w:cs="Times New Roman" w:eastAsia="Times New Roman" w:hAnsi="Times New Roman"/>
          <w:b/>
          <w:bCs/>
          <w:i w:val="false"/>
          <w:iCs w:val="false"/>
          <w:sz w:val="30"/>
          <w:szCs w:val="30"/>
        </w:rPr>
        <w:t xml:space="preserve">BLUE BOOK PLAGIARISM REPORT</w:t>
      </w:r>
    </w:p>
    <w:p>
      <w:r>
        <w:rPr>
          <w:rFonts w:ascii="Times New Roman" w:cs="Times New Roman" w:eastAsia="Times New Roman" w:hAnsi="Times New Roman"/>
          <w:sz w:val="24"/>
          <w:szCs w:val="24"/>
        </w:rPr>
        <w:t xml:space="preserve"/>
      </w:r>
    </w:p>
    <w:p>
      <w:pPr>
        <w:spacing w:after="200" w:line="360"/>
        <w:jc w:val="center"/>
      </w:pPr>
      <w:r>
        <w:rPr>
          <w:rFonts w:ascii="Times New Roman" w:cs="Times New Roman" w:eastAsia="Times New Roman" w:hAnsi="Times New Roman"/>
          <w:b w:val="false"/>
          <w:bCs w:val="false"/>
          <w:i w:val="false"/>
          <w:iCs w:val="false"/>
          <w:sz w:val="24"/>
          <w:szCs w:val="24"/>
        </w:rPr>
        <w:t xml:space="preserve">[Placeholder — to be inserted from the Department Turnitin account only, as per institutional policy. The originality report for this Project Report (Part I) must be generated by the Department of Computer Engineering and appended here prior to final submission.]</w:t>
      </w:r>
    </w:p>
    <w:p>
      <w:r>
        <w:br w:type="page"/>
      </w:r>
    </w:p>
    <w:p>
      <w:pPr>
        <w:spacing w:after="120"/>
        <w:jc w:val="center"/>
      </w:pPr>
      <w:r>
        <w:rPr>
          <w:rFonts w:ascii="Times New Roman" w:cs="Times New Roman" w:eastAsia="Times New Roman" w:hAnsi="Times New Roman"/>
          <w:b/>
          <w:bCs/>
          <w:i w:val="false"/>
          <w:iCs w:val="false"/>
          <w:sz w:val="32"/>
          <w:szCs w:val="32"/>
        </w:rPr>
        <w:t xml:space="preserve">ABSTRACT</w:t>
      </w:r>
    </w:p>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Modern software teams evolve REST APIs continuously, and every change to an OpenAPI/Swagger contract carries a risk of silently breaking one or more downstream consumers. Existing practice largely relies on manual diffing of specification files — a process that does not scale as the number of endpoints and dependent client applications grows, and that offers no structured signal on dependency blast radius or security posture. This project presents API-CIA, an API Change Impact Analyzer built on a layered Spring Boot 4.1 / Java 17 backend, that automates this comparison across three complementary analysis pillars: a Structural / Governance Module (SGM) that runs a rule-engine of independent design-rule checks (versioning, naming convention, removed/renamed endpoints, parameter-type and required-field changes, HTTP method changes, and security-configuration changes) against a pair of parsed OpenAPI documents; a Security Analysis Module (SAM) that evaluates authentication removal, sensitive-field exposure, and HTTPS-downgrade risks between specification versions; and a Service/Dependency Mapping Module (SPM) that constructs an API usage graph per specification and computes a structural diff between graph states to detect flow-level change.</w:t>
      </w:r>
    </w:p>
    <w:p>
      <w:pPr>
        <w:spacing w:after="200" w:line="360"/>
        <w:jc w:val="both"/>
      </w:pPr>
      <w:r>
        <w:rPr>
          <w:rFonts w:ascii="Times New Roman" w:cs="Times New Roman" w:eastAsia="Times New Roman" w:hAnsi="Times New Roman"/>
          <w:b w:val="false"/>
          <w:bCs w:val="false"/>
          <w:i w:val="false"/>
          <w:iCs w:val="false"/>
          <w:sz w:val="24"/>
          <w:szCs w:val="24"/>
        </w:rPr>
        <w:t xml:space="preserve">Two independent input pipelines feed the same analysis core: OpenAPI specifications may be uploaded manually, or generated automatically by statically parsing a Java source tree with JavaParser to reconstruct an OpenAPI document from Spring MVC controller annotations, without compiling or running the target application. A companion Dependency Scanner statically inspects consumer codebases for Feign-client, RestTemplate, and WebClient call sites to build a map of which projects depend on which endpoints, laying the foundation for blast-radius reporting. Each comparison yields a weighted composite impact score (sTotal = w1·dStruct + w2·dApi + w3·aSec), a LOW/MEDIUM/HIGH/CRITICAL risk band, and a persisted, queryable audit trail of every detected violation and security alert.</w:t>
      </w:r>
    </w:p>
    <w:p>
      <w:pPr>
        <w:spacing w:after="200" w:line="360"/>
        <w:jc w:val="both"/>
      </w:pPr>
      <w:r>
        <w:rPr>
          <w:rFonts w:ascii="Times New Roman" w:cs="Times New Roman" w:eastAsia="Times New Roman" w:hAnsi="Times New Roman"/>
          <w:b w:val="false"/>
          <w:bCs w:val="false"/>
          <w:i w:val="false"/>
          <w:iCs w:val="false"/>
          <w:sz w:val="24"/>
          <w:szCs w:val="24"/>
        </w:rPr>
        <w:t xml:space="preserve">This Part I report documents the problem definition, literature survey, requirement analysis, and system design of API-CIA, including the layered architecture, entity-relationship model, technology stack, and the use-case, activity, and sequence models governing the core change-comparison workflow. The structural analysis pillar and its rule engine are implemented and unit-tested at the time of this report; the security and dependency-mapping pillars are in active development, with their design, data contracts, and partial implementations described herein as the basis for completion in Project Report (Part II).</w:t>
      </w:r>
    </w:p>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API change impact analysis, OpenAPI/Swagger diffing, breaking-change detection, static code analysis, JavaParser, Spring Boot, dependency blast radius, API security posture, risk scoring.</w:t>
      </w:r>
    </w:p>
    <w:p>
      <w:pPr>
        <w:sectPr>
          <w:headerReference w:type="default" r:id="rId9"/>
          <w:footerReference w:type="default" r:id="rId10"/>
          <w:pgSz w:w="11906" w:h="16838" w:orient="portrait"/>
          <w:pgMar w:top="1440" w:right="1440" w:bottom="1440" w:left="1440" w:header="708" w:footer="708" w:gutter="0"/>
          <w:pgNumType/>
          <w:docGrid w:linePitch="360"/>
        </w:sectPr>
      </w:pPr>
    </w:p>
    <w:p>
      <w:pPr>
        <w:spacing w:after="120"/>
        <w:jc w:val="center"/>
      </w:pPr>
      <w:r>
        <w:rPr>
          <w:rFonts w:ascii="Times New Roman" w:cs="Times New Roman" w:eastAsia="Times New Roman" w:hAnsi="Times New Roman"/>
          <w:b/>
          <w:bCs/>
          <w:i w:val="false"/>
          <w:iCs w:val="false"/>
          <w:sz w:val="32"/>
          <w:szCs w:val="32"/>
        </w:rPr>
        <w:t xml:space="preserve">INDEX</w:t>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cantSplit w:val="false"/>
        </w:trPr>
        <w:tc>
          <w:tcPr>
            <w:tcW w:type="dxa" w:w="78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tcPr>
          <w:p>
            <w:r>
              <w:rPr>
                <w:rFonts w:ascii="Times New Roman" w:cs="Times New Roman" w:eastAsia="Times New Roman" w:hAnsi="Times New Roman"/>
                <w:b/>
                <w:bCs/>
                <w:sz w:val="24"/>
                <w:szCs w:val="24"/>
              </w:rPr>
              <w:t xml:space="preserve">Chapter No. / Topic</w:t>
            </w:r>
          </w:p>
        </w:tc>
        <w:tc>
          <w:tcPr>
            <w:tcW w:type="dxa" w:w="12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Page No.</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List of Figures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I</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List of Tables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II</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Abstract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III</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Chapter 1: Introduction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11</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1.1  Overview of the Project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11</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1.2  Motivation &amp; Application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11</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1.3  Problem Definition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12</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1.4  Objective &amp; Scope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12</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1.5  Expected Outcome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14</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1.6  Organization of the Report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14</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Chapter 2: Literature Survey &amp; Proposed System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15</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2.1  Literature Review of Existing System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15</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2.2  Limitations of Existing System &amp; Gap Analysis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16</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2.3  Proposed System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17</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Chapter 3: Requirement Gathering, Analysis and Planning</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19</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3.1  Requirement Specification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19</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3.2  Feasibility Study</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22</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3.3  Methodology</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23</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3.4  Technology Stack</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23</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3.5  Gantt Chart and Process Model</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25</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3.6  System Analysis (Functional, Structural, Behavioral Models)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25</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Chapter 4: System Design and Experimental Set Up</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29</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4.3  User Interface &amp; Input Data Design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29</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4.4  Experimental Setup and Tools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31</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4.5  Implementation, Deployment and Testing</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33</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4.6  Performance Evaluation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38</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4.7  Chapter Summary</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40</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Chapter 5: Results &amp; Discussion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41</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5.1  Outputs &amp; Outcomes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41</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5.2  Analysis of Results &amp; Interpretation of Data</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43</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5.3  Discussion of Results &amp; Limitations of the System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44</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Chapter 6: Conclusion &amp; Future Scope*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References*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Appendix A: Abbreviations and Symbols*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Appendix B: Definitions*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3"/>
                <w:szCs w:val="23"/>
              </w:rPr>
              <w:t xml:space="preserve">Appendix C: List of Publications*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i/>
          <w:iCs/>
          <w:sz w:val="20"/>
          <w:szCs w:val="20"/>
        </w:rPr>
        <w:t xml:space="preserve">* Chapter 6, References, and Appendices A–C are out of scope for Project Report (Part I) and will be completed and indexed in Project Report (Part II).</w:t>
      </w:r>
    </w:p>
    <w:p>
      <w:r>
        <w:br w:type="page"/>
      </w:r>
    </w:p>
    <w:p>
      <w:pPr>
        <w:spacing w:after="120"/>
        <w:jc w:val="center"/>
      </w:pPr>
      <w:r>
        <w:rPr>
          <w:rFonts w:ascii="Times New Roman" w:cs="Times New Roman" w:eastAsia="Times New Roman" w:hAnsi="Times New Roman"/>
          <w:b/>
          <w:bCs/>
          <w:i w:val="false"/>
          <w:iCs w:val="false"/>
          <w:sz w:val="32"/>
          <w:szCs w:val="32"/>
        </w:rPr>
        <w:t xml:space="preserve">LIST OF FIGURES</w:t>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cantSplit w:val="false"/>
        </w:trPr>
        <w:tc>
          <w:tcPr>
            <w:tcW w:type="dxa" w:w="7800"/>
            <w:tcBorders>
              <w:top w:val="single" w:color="808080" w:sz="4"/>
              <w:left w:val="single" w:color="808080" w:sz="4"/>
              <w:bottom w:val="single" w:color="808080" w:sz="4"/>
              <w:right w:val="single" w:color="808080" w:sz="4"/>
            </w:tcBorders>
            <w:shd w:fill="D9D9D9"/>
          </w:tcPr>
          <w:p>
            <w:r>
              <w:rPr>
                <w:rFonts w:ascii="Times New Roman" w:cs="Times New Roman" w:eastAsia="Times New Roman" w:hAnsi="Times New Roman"/>
                <w:b/>
                <w:bCs/>
                <w:sz w:val="24"/>
                <w:szCs w:val="24"/>
              </w:rPr>
              <w:t xml:space="preserve">Figure</w:t>
            </w:r>
          </w:p>
        </w:tc>
        <w:tc>
          <w:tcPr>
            <w:tcW w:type="dxa" w:w="1200"/>
            <w:tcBorders>
              <w:top w:val="single" w:color="808080" w:sz="4"/>
              <w:left w:val="single" w:color="808080" w:sz="4"/>
              <w:bottom w:val="single" w:color="808080" w:sz="4"/>
              <w:right w:val="single" w:color="808080" w:sz="4"/>
            </w:tcBorders>
            <w:shd w:fill="D9D9D9"/>
          </w:tcPr>
          <w:p>
            <w:pPr>
              <w:jc w:val="center"/>
            </w:pPr>
            <w:r>
              <w:rPr>
                <w:rFonts w:ascii="Times New Roman" w:cs="Times New Roman" w:eastAsia="Times New Roman" w:hAnsi="Times New Roman"/>
                <w:b/>
                <w:bCs/>
                <w:sz w:val="24"/>
                <w:szCs w:val="24"/>
              </w:rPr>
              <w:t xml:space="preserve">Page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1: Layered architecture of API-CIA (Controller → Service → Repository → Database)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2: Dual input pipeline — manual upload vs. static source extraction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3: Entity-Relationship Diagram of the API-CIA data model</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4: SGM rule engine execution sequence for POST /api/analysis/compare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5: Comparative positioning of API-CIA against existing tools (radar view)</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6: Gap Analysis mapping: existing-tool shortfalls vs. API-CIA solutions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7: Three-pillar composite risk scoring model (SGM + SPM + SAM)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8: Gantt Chart — Project-I execution timeline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9: Use Case Diagram — API-CIA core actors and use cases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10: Activity Diagram — End-to-end API comparison workflow</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11: Sequence Diagram — POST /api/analysis/compare request trace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12: Proposed Dockerfile (multi-stage build, Java 17)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13: Proposed docker-compose.yml (application + PostgreSQL)</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Figure 14: Representative AnalysisResponseDTO JSON (illustrative, built from the verified DTO contract)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bl>
    <w:p>
      <w:r>
        <w:br w:type="page"/>
      </w:r>
    </w:p>
    <w:p>
      <w:pPr>
        <w:spacing w:after="120"/>
        <w:jc w:val="center"/>
      </w:pPr>
      <w:r>
        <w:rPr>
          <w:rFonts w:ascii="Times New Roman" w:cs="Times New Roman" w:eastAsia="Times New Roman" w:hAnsi="Times New Roman"/>
          <w:b/>
          <w:bCs/>
          <w:i w:val="false"/>
          <w:iCs w:val="false"/>
          <w:sz w:val="32"/>
          <w:szCs w:val="32"/>
        </w:rPr>
        <w:t xml:space="preserve">LIST OF TABLES</w:t>
      </w:r>
    </w:p>
    <w:p>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cantSplit w:val="false"/>
        </w:trPr>
        <w:tc>
          <w:tcPr>
            <w:tcW w:type="dxa" w:w="7800"/>
            <w:tcBorders>
              <w:top w:val="single" w:color="808080" w:sz="4"/>
              <w:left w:val="single" w:color="808080" w:sz="4"/>
              <w:bottom w:val="single" w:color="808080" w:sz="4"/>
              <w:right w:val="single" w:color="808080" w:sz="4"/>
            </w:tcBorders>
            <w:shd w:fill="D9D9D9"/>
          </w:tcPr>
          <w:p>
            <w:r>
              <w:rPr>
                <w:rFonts w:ascii="Times New Roman" w:cs="Times New Roman" w:eastAsia="Times New Roman" w:hAnsi="Times New Roman"/>
                <w:b/>
                <w:bCs/>
                <w:sz w:val="24"/>
                <w:szCs w:val="24"/>
              </w:rPr>
              <w:t xml:space="preserve">Table</w:t>
            </w:r>
          </w:p>
        </w:tc>
        <w:tc>
          <w:tcPr>
            <w:tcW w:type="dxa" w:w="1200"/>
            <w:tcBorders>
              <w:top w:val="single" w:color="808080" w:sz="4"/>
              <w:left w:val="single" w:color="808080" w:sz="4"/>
              <w:bottom w:val="single" w:color="808080" w:sz="4"/>
              <w:right w:val="single" w:color="808080" w:sz="4"/>
            </w:tcBorders>
            <w:shd w:fill="D9D9D9"/>
          </w:tcPr>
          <w:p>
            <w:pPr>
              <w:jc w:val="center"/>
            </w:pPr>
            <w:r>
              <w:rPr>
                <w:rFonts w:ascii="Times New Roman" w:cs="Times New Roman" w:eastAsia="Times New Roman" w:hAnsi="Times New Roman"/>
                <w:b/>
                <w:bCs/>
                <w:sz w:val="24"/>
                <w:szCs w:val="24"/>
              </w:rPr>
              <w:t xml:space="preserve">Page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1: Comparative Survey of Existing API Change/Contract Analysis Approaches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2: Gap Analysis — Existing System Shortfalls Mapped to API-CIA Solutions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3: Functional Requirements — Module-wise Breakdown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4: Non-Functional Requirements — Latency, Security, Scalability</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5: Hardware Requirements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6: Software Requirements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7: Technology Stack — Layer-by-Layer Breakdown with Justification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8: SGM Rule Dictionary (SGM-001 to SGM-009)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9: Composite Risk Score Bands (LOW / MEDIUM / HIGH / CRITICAL)</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10: Gantt Chart — Task Schedule (Weeks 1–16)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11: UI Component Breakdown — Controller-Generated Swagger UI Sections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12: Input Validation Rules by DTO Field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13: Exception-to-HTTP-Status Mapping (GlobalExceptionHandler)</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14: Runtime and Build Dependency Configuration (pom.xml)</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15: application.properties — Key Configuration Parameters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16: Key Module Implementations — File, Route/Signature, and Behavior</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17: Test Case Table (12 of 18 total JUnit test methods)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18: Core Algorithm Micro-Benchmarks (measured, JDK 21, single-threaded)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19: SGM Aggregation Latency vs. Specification Size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r>
        <w:trPr>
          <w:cantSplit w:val="false"/>
        </w:trPr>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Table 20: Synthetic OpenAPI Payload Sizing (measured)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t>
            </w:r>
          </w:p>
        </w:tc>
      </w:tr>
    </w:tbl>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pageBreakBefore/>
        <w:spacing w:after="300" w:before="200"/>
        <w:jc w:val="center"/>
      </w:pPr>
      <w:r>
        <w:rPr>
          <w:rFonts w:ascii="Times New Roman" w:cs="Times New Roman" w:eastAsia="Times New Roman" w:hAnsi="Times New Roman"/>
          <w:b/>
          <w:bCs/>
          <w:sz w:val="36"/>
          <w:szCs w:val="36"/>
        </w:rPr>
        <w:t xml:space="preserve">Chapter 1: Introduction</w:t>
      </w:r>
    </w:p>
    <w:p>
      <w:pPr>
        <w:pStyle w:val="Heading2"/>
        <w:spacing w:after="200" w:before="360"/>
      </w:pPr>
      <w:r>
        <w:rPr>
          <w:rFonts w:ascii="Times New Roman" w:cs="Times New Roman" w:eastAsia="Times New Roman" w:hAnsi="Times New Roman"/>
          <w:b/>
          <w:bCs/>
          <w:sz w:val="32"/>
          <w:szCs w:val="32"/>
        </w:rPr>
        <w:t xml:space="preserve">1.1 Overview of the Project</w:t>
      </w:r>
    </w:p>
    <w:p>
      <w:pPr>
        <w:spacing w:after="200" w:line="360"/>
        <w:jc w:val="both"/>
      </w:pPr>
      <w:r>
        <w:rPr>
          <w:rFonts w:ascii="Times New Roman" w:cs="Times New Roman" w:eastAsia="Times New Roman" w:hAnsi="Times New Roman"/>
          <w:b w:val="false"/>
          <w:bCs w:val="false"/>
          <w:i w:val="false"/>
          <w:iCs w:val="false"/>
          <w:sz w:val="24"/>
          <w:szCs w:val="24"/>
        </w:rPr>
        <w:t xml:space="preserve">API-CIA (“API Change Impact Analyzer”) is a backend analysis platform, implemented as a Spring Boot 4.1 / Java 17 service (Maven artifact com.apicia:api-cia), that automates the comparison of two versions of a REST API described by an OpenAPI/Swagger specification and reports, in a structured and auditable form, what changed and how risky that change is for the consumers of the API. The system ingests specification pairs through two independent pipelines — direct manual upload of OpenAPI JSON/YAML files, or automatic static extraction of an OpenAPI document from a Java Spring MVC source tree using the JavaParser abstract-syntax-tree library — and routes both into a single orchestrating service, AnalysisService, which runs the change through a Structural/Governance Module (SGM), a Security Analysis Module (SAM), and a Service/Dependency Mapping Module (SPM) before persisting a scored, queryable AnalysisReport.</w:t>
      </w:r>
    </w:p>
    <w:p>
      <w:pPr>
        <w:spacing w:after="200" w:line="360"/>
        <w:jc w:val="both"/>
      </w:pPr>
      <w:r>
        <w:rPr>
          <w:rFonts w:ascii="Times New Roman" w:cs="Times New Roman" w:eastAsia="Times New Roman" w:hAnsi="Times New Roman"/>
          <w:b w:val="false"/>
          <w:bCs w:val="false"/>
          <w:i w:val="false"/>
          <w:iCs w:val="false"/>
          <w:sz w:val="24"/>
          <w:szCs w:val="24"/>
        </w:rPr>
        <w:t xml:space="preserve">The project is motivated by a concrete engineering pain point: as an organization's REST surface grows and the number of internal and external consumers multiplies, a seemingly minor specification edit — a renamed field, a newly required parameter, a route that quietly changes HTTP verb, or an authentication requirement that is removed or added — can silently break one or more downstream clients. API-CIA formalizes the detection of such changes into a deterministic, rule-based engine (mirroring, in spirit, static-analysis and contract-testing tools such as Pact, but without requiring live consumer/provider verification), producing a single composite impact score and a human-readable list of violations that a reviewer can act on before a specification change is merged or deployed.</w:t>
      </w:r>
    </w:p>
    <w:p>
      <w:pPr>
        <w:pStyle w:val="Heading2"/>
        <w:spacing w:after="200" w:before="360"/>
      </w:pPr>
      <w:r>
        <w:rPr>
          <w:rFonts w:ascii="Times New Roman" w:cs="Times New Roman" w:eastAsia="Times New Roman" w:hAnsi="Times New Roman"/>
          <w:b/>
          <w:bCs/>
          <w:sz w:val="32"/>
          <w:szCs w:val="32"/>
        </w:rPr>
        <w:t xml:space="preserve">1.2 Motivation &amp; Application</w:t>
      </w:r>
    </w:p>
    <w:p>
      <w:pPr>
        <w:spacing w:after="200" w:line="360"/>
        <w:jc w:val="both"/>
      </w:pPr>
      <w:r>
        <w:rPr>
          <w:rFonts w:ascii="Times New Roman" w:cs="Times New Roman" w:eastAsia="Times New Roman" w:hAnsi="Times New Roman"/>
          <w:b w:val="false"/>
          <w:bCs w:val="false"/>
          <w:i w:val="false"/>
          <w:iCs w:val="false"/>
          <w:sz w:val="24"/>
          <w:szCs w:val="24"/>
        </w:rPr>
        <w:t xml:space="preserve">Contract-first and API-first development has become the default mode of building distributed and microservice-based systems: teams publish an OpenAPI specification as the source of truth for a service boundary, and multiple consumer teams build against that contract independently. In this model, the cost of a breaking change is not local to the team that made it — it is distributed across every consumer that depends on the affected endpoint, and that consumer set is frequently invisible to the provider team at review time.</w:t>
      </w:r>
    </w:p>
    <w:p>
      <w:pPr>
        <w:spacing w:after="200" w:line="360"/>
        <w:jc w:val="both"/>
      </w:pPr>
      <w:r>
        <w:rPr>
          <w:rFonts w:ascii="Times New Roman" w:cs="Times New Roman" w:eastAsia="Times New Roman" w:hAnsi="Times New Roman"/>
          <w:b w:val="false"/>
          <w:bCs w:val="false"/>
          <w:i w:val="false"/>
          <w:iCs w:val="false"/>
          <w:sz w:val="24"/>
          <w:szCs w:val="24"/>
        </w:rPr>
        <w:t xml:space="preserve">The motivation for this project is threefold:</w:t>
      </w:r>
    </w:p>
    <w:p>
      <w:pPr>
        <w:pStyle w:val="ListParagraph"/>
        <w:numPr>
          <w:ilvl w:val="0"/>
          <w:numId w:val="1"/>
        </w:numPr>
        <w:spacing w:after="100" w:line="300"/>
      </w:pPr>
      <w:r>
        <w:rPr>
          <w:rFonts w:ascii="Times New Roman" w:cs="Times New Roman" w:eastAsia="Times New Roman" w:hAnsi="Times New Roman"/>
          <w:sz w:val="24"/>
          <w:szCs w:val="24"/>
        </w:rPr>
        <w:t xml:space="preserve">Manual specification review does not scale. Reviewing a multi-hundred-endpoint OpenAPI diff by eye is slow, error-prone, and inconsistent across reviewers; a rule-based engine applies the same checks every time.</w:t>
      </w:r>
    </w:p>
    <w:p>
      <w:pPr>
        <w:pStyle w:val="ListParagraph"/>
        <w:numPr>
          <w:ilvl w:val="0"/>
          <w:numId w:val="1"/>
        </w:numPr>
        <w:spacing w:after="100" w:line="300"/>
      </w:pPr>
      <w:r>
        <w:rPr>
          <w:rFonts w:ascii="Times New Roman" w:cs="Times New Roman" w:eastAsia="Times New Roman" w:hAnsi="Times New Roman"/>
          <w:sz w:val="24"/>
          <w:szCs w:val="24"/>
        </w:rPr>
        <w:t xml:space="preserve">Existing open-source diff tools (see Chapter 2, Literature Survey) report structural differences only — they do not incorporate dependency/consumer context or security-posture context into a single actionable risk signal.</w:t>
      </w:r>
    </w:p>
    <w:p>
      <w:pPr>
        <w:pStyle w:val="ListParagraph"/>
        <w:numPr>
          <w:ilvl w:val="0"/>
          <w:numId w:val="1"/>
        </w:numPr>
        <w:spacing w:after="100" w:line="300"/>
      </w:pPr>
      <w:r>
        <w:rPr>
          <w:rFonts w:ascii="Times New Roman" w:cs="Times New Roman" w:eastAsia="Times New Roman" w:hAnsi="Times New Roman"/>
          <w:sz w:val="24"/>
          <w:szCs w:val="24"/>
        </w:rPr>
        <w:t xml:space="preserve">Security regressions frequently travel inside otherwise “safe-looking” specification changes — for example, an authentication requirement silently dropped from an endpoint is a structurally trivial diff but a critical security regression, and generic diff tools do not distinguish it from a harmless field rename.</w:t>
      </w:r>
    </w:p>
    <w:p>
      <w:pPr>
        <w:spacing w:after="200" w:line="360"/>
        <w:jc w:val="both"/>
      </w:pPr>
      <w:r>
        <w:rPr>
          <w:rFonts w:ascii="Times New Roman" w:cs="Times New Roman" w:eastAsia="Times New Roman" w:hAnsi="Times New Roman"/>
          <w:b w:val="false"/>
          <w:bCs w:val="false"/>
          <w:i w:val="false"/>
          <w:iCs w:val="false"/>
          <w:sz w:val="24"/>
          <w:szCs w:val="24"/>
        </w:rPr>
        <w:t xml:space="preserve">Applications of this system include CI/CD pipeline gating (blocking a merge or deployment when a specification comparison crosses a configured risk threshold), pre-release API governance review for platform/API-management teams, and onboarding documentation for consumer teams who need a quick, auditable answer to “what changed since the last version I integrated against, and does it affect me?”</w:t>
      </w:r>
    </w:p>
    <w:p>
      <w:pPr>
        <w:pStyle w:val="Heading2"/>
        <w:spacing w:after="200" w:before="360"/>
      </w:pPr>
      <w:r>
        <w:rPr>
          <w:rFonts w:ascii="Times New Roman" w:cs="Times New Roman" w:eastAsia="Times New Roman" w:hAnsi="Times New Roman"/>
          <w:b/>
          <w:bCs/>
          <w:sz w:val="32"/>
          <w:szCs w:val="32"/>
        </w:rPr>
        <w:t xml:space="preserve">1.3 Problem Definition</w:t>
      </w:r>
    </w:p>
    <w:p>
      <w:pPr>
        <w:spacing w:after="200" w:line="360"/>
        <w:jc w:val="both"/>
      </w:pPr>
      <w:r>
        <w:rPr>
          <w:rFonts w:ascii="Times New Roman" w:cs="Times New Roman" w:eastAsia="Times New Roman" w:hAnsi="Times New Roman"/>
          <w:b w:val="false"/>
          <w:bCs w:val="false"/>
          <w:i w:val="false"/>
          <w:iCs w:val="false"/>
          <w:sz w:val="24"/>
          <w:szCs w:val="24"/>
        </w:rPr>
        <w:t xml:space="preserve">Given two versions of an OpenAPI specification for the same service (or a specification reconstructed by static analysis of the service's own source code), design and implement a system that:</w:t>
      </w:r>
    </w:p>
    <w:p>
      <w:pPr>
        <w:pStyle w:val="ListParagraph"/>
        <w:numPr>
          <w:ilvl w:val="0"/>
          <w:numId w:val="1"/>
        </w:numPr>
        <w:spacing w:after="100" w:line="300"/>
      </w:pPr>
      <w:r>
        <w:rPr>
          <w:rFonts w:ascii="Times New Roman" w:cs="Times New Roman" w:eastAsia="Times New Roman" w:hAnsi="Times New Roman"/>
          <w:sz w:val="24"/>
          <w:szCs w:val="24"/>
        </w:rPr>
        <w:t xml:space="preserve">Deterministically classifies every detected difference between the two versions by rule category and severity (INFO / WARNING / BREAKING / CRITICAL);</w:t>
      </w:r>
    </w:p>
    <w:p>
      <w:pPr>
        <w:pStyle w:val="ListParagraph"/>
        <w:numPr>
          <w:ilvl w:val="0"/>
          <w:numId w:val="1"/>
        </w:numPr>
        <w:spacing w:after="100" w:line="300"/>
      </w:pPr>
      <w:r>
        <w:rPr>
          <w:rFonts w:ascii="Times New Roman" w:cs="Times New Roman" w:eastAsia="Times New Roman" w:hAnsi="Times New Roman"/>
          <w:sz w:val="24"/>
          <w:szCs w:val="24"/>
        </w:rPr>
        <w:t xml:space="preserve">Computes a normalized structural change magnitude (dStruct) from the classified differences;</w:t>
      </w:r>
    </w:p>
    <w:p>
      <w:pPr>
        <w:pStyle w:val="ListParagraph"/>
        <w:numPr>
          <w:ilvl w:val="0"/>
          <w:numId w:val="1"/>
        </w:numPr>
        <w:spacing w:after="100" w:line="300"/>
      </w:pPr>
      <w:r>
        <w:rPr>
          <w:rFonts w:ascii="Times New Roman" w:cs="Times New Roman" w:eastAsia="Times New Roman" w:hAnsi="Times New Roman"/>
          <w:sz w:val="24"/>
          <w:szCs w:val="24"/>
        </w:rPr>
        <w:t xml:space="preserve">Extends this structural signal with a security-posture change signal (aSec) and a dependency/usage-flow change signal (dApi), each computed by an independent analysis pillar operating on the same specification pair;</w:t>
      </w:r>
    </w:p>
    <w:p>
      <w:pPr>
        <w:pStyle w:val="ListParagraph"/>
        <w:numPr>
          <w:ilvl w:val="0"/>
          <w:numId w:val="1"/>
        </w:numPr>
        <w:spacing w:after="100" w:line="300"/>
      </w:pPr>
      <w:r>
        <w:rPr>
          <w:rFonts w:ascii="Times New Roman" w:cs="Times New Roman" w:eastAsia="Times New Roman" w:hAnsi="Times New Roman"/>
          <w:sz w:val="24"/>
          <w:szCs w:val="24"/>
        </w:rPr>
        <w:t xml:space="preserve">Combines the three signals into a single weighted composite score (sTotal) and a discrete risk band (LOW/MEDIUM/HIGH/CRITICAL) that a human reviewer or an automated gate can act on;</w:t>
      </w:r>
    </w:p>
    <w:p>
      <w:pPr>
        <w:pStyle w:val="ListParagraph"/>
        <w:numPr>
          <w:ilvl w:val="0"/>
          <w:numId w:val="1"/>
        </w:numPr>
        <w:spacing w:after="100" w:line="300"/>
      </w:pPr>
      <w:r>
        <w:rPr>
          <w:rFonts w:ascii="Times New Roman" w:cs="Times New Roman" w:eastAsia="Times New Roman" w:hAnsi="Times New Roman"/>
          <w:sz w:val="24"/>
          <w:szCs w:val="24"/>
        </w:rPr>
        <w:t xml:space="preserve">Persists every comparison as an auditable report, queryable after the fact, without requiring the reviewer to re-run the comparison to see historical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The problem is explicitly scoped to statically available information — the specification text itself, and (optionally) the source code that generates it or consumes it — rather than runtime traffic monitoring or dynamic contract verification, so that impact analysis can run entirely within a build/CI pipeline without a live environment.</w:t>
      </w:r>
    </w:p>
    <w:p>
      <w:pPr>
        <w:pStyle w:val="Heading2"/>
        <w:spacing w:after="200" w:before="360"/>
      </w:pPr>
      <w:r>
        <w:rPr>
          <w:rFonts w:ascii="Times New Roman" w:cs="Times New Roman" w:eastAsia="Times New Roman" w:hAnsi="Times New Roman"/>
          <w:b/>
          <w:bCs/>
          <w:sz w:val="32"/>
          <w:szCs w:val="32"/>
        </w:rPr>
        <w:t xml:space="preserve">1.4 Objective &amp; Scope</w:t>
      </w:r>
    </w:p>
    <w:p>
      <w:pPr>
        <w:pStyle w:val="Heading3"/>
        <w:spacing w:after="160" w:before="240"/>
      </w:pPr>
      <w:r>
        <w:rPr>
          <w:rFonts w:ascii="Times New Roman" w:cs="Times New Roman" w:eastAsia="Times New Roman" w:hAnsi="Times New Roman"/>
          <w:b/>
          <w:bCs/>
          <w:sz w:val="28"/>
          <w:szCs w:val="28"/>
        </w:rPr>
        <w:t xml:space="preserve">1.4.1 Objectives</w:t>
      </w:r>
    </w:p>
    <w:p>
      <w:pPr>
        <w:pStyle w:val="ListParagraph"/>
        <w:numPr>
          <w:ilvl w:val="0"/>
          <w:numId w:val="1"/>
        </w:numPr>
        <w:spacing w:after="100" w:line="300"/>
      </w:pPr>
      <w:r>
        <w:rPr>
          <w:rFonts w:ascii="Times New Roman" w:cs="Times New Roman" w:eastAsia="Times New Roman" w:hAnsi="Times New Roman"/>
          <w:sz w:val="24"/>
          <w:szCs w:val="24"/>
        </w:rPr>
        <w:t xml:space="preserve">Design and implement a layered Spring Boot backend that accepts two OpenAPI specification versions and returns a structured, persisted comparison report.</w:t>
      </w:r>
    </w:p>
    <w:p>
      <w:pPr>
        <w:pStyle w:val="ListParagraph"/>
        <w:numPr>
          <w:ilvl w:val="0"/>
          <w:numId w:val="1"/>
        </w:numPr>
        <w:spacing w:after="100" w:line="300"/>
      </w:pPr>
      <w:r>
        <w:rPr>
          <w:rFonts w:ascii="Times New Roman" w:cs="Times New Roman" w:eastAsia="Times New Roman" w:hAnsi="Times New Roman"/>
          <w:sz w:val="24"/>
          <w:szCs w:val="24"/>
        </w:rPr>
        <w:t xml:space="preserve">Implement a Structural/Governance Module (SGM) as an extensible, Spring-managed strategy pattern of independent DesignRule implementations (versioning, naming convention, endpoint removal/rename, parameter-type change, required-field change, HTTP-method change, security-configuration change), so that adding a new rule requires no change to the orchestrating service.</w:t>
      </w:r>
    </w:p>
    <w:p>
      <w:pPr>
        <w:pStyle w:val="ListParagraph"/>
        <w:numPr>
          <w:ilvl w:val="0"/>
          <w:numId w:val="1"/>
        </w:numPr>
        <w:spacing w:after="100" w:line="300"/>
      </w:pPr>
      <w:r>
        <w:rPr>
          <w:rFonts w:ascii="Times New Roman" w:cs="Times New Roman" w:eastAsia="Times New Roman" w:hAnsi="Times New Roman"/>
          <w:sz w:val="24"/>
          <w:szCs w:val="24"/>
        </w:rPr>
        <w:t xml:space="preserve">Implement a static source-extraction pipeline using JavaParser that reconstructs an OpenAPI-shaped document directly from Spring MVC controller annotations, removing the dependency on a hand-maintained specification file for the provider side.</w:t>
      </w:r>
    </w:p>
    <w:p>
      <w:pPr>
        <w:pStyle w:val="ListParagraph"/>
        <w:numPr>
          <w:ilvl w:val="0"/>
          <w:numId w:val="1"/>
        </w:numPr>
        <w:spacing w:after="100" w:line="300"/>
      </w:pPr>
      <w:r>
        <w:rPr>
          <w:rFonts w:ascii="Times New Roman" w:cs="Times New Roman" w:eastAsia="Times New Roman" w:hAnsi="Times New Roman"/>
          <w:sz w:val="24"/>
          <w:szCs w:val="24"/>
        </w:rPr>
        <w:t xml:space="preserve">Design and progressively implement a Security Analysis Module (SAM) that detects authentication removal, sensitive-field exposure, and transport-security (HTTPS → HTTP) downgrades between specification versions.</w:t>
      </w:r>
    </w:p>
    <w:p>
      <w:pPr>
        <w:pStyle w:val="ListParagraph"/>
        <w:numPr>
          <w:ilvl w:val="0"/>
          <w:numId w:val="1"/>
        </w:numPr>
        <w:spacing w:after="100" w:line="300"/>
      </w:pPr>
      <w:r>
        <w:rPr>
          <w:rFonts w:ascii="Times New Roman" w:cs="Times New Roman" w:eastAsia="Times New Roman" w:hAnsi="Times New Roman"/>
          <w:sz w:val="24"/>
          <w:szCs w:val="24"/>
        </w:rPr>
        <w:t xml:space="preserve">Design and progressively implement a Service/Dependency Mapping Module (SPM) that builds a per-specification API usage graph and computes a graph-level diff to flag flow-level change, and a companion static Dependency Scanner that maps consumer codebases (Feign/RestTemplate/WebClient call sites) to the endpoints they call.</w:t>
      </w:r>
    </w:p>
    <w:p>
      <w:pPr>
        <w:pStyle w:val="ListParagraph"/>
        <w:numPr>
          <w:ilvl w:val="0"/>
          <w:numId w:val="1"/>
        </w:numPr>
        <w:spacing w:after="100" w:line="300"/>
      </w:pPr>
      <w:r>
        <w:rPr>
          <w:rFonts w:ascii="Times New Roman" w:cs="Times New Roman" w:eastAsia="Times New Roman" w:hAnsi="Times New Roman"/>
          <w:sz w:val="24"/>
          <w:szCs w:val="24"/>
        </w:rPr>
        <w:t xml:space="preserve">Define and implement a transparent, independently-testable composite scoring formula (sTotal = w1·dStruct + w2·dApi + w3·aSec) with externally configurable weights.</w:t>
      </w:r>
    </w:p>
    <w:p>
      <w:pPr>
        <w:pStyle w:val="ListParagraph"/>
        <w:numPr>
          <w:ilvl w:val="0"/>
          <w:numId w:val="1"/>
        </w:numPr>
        <w:spacing w:after="100" w:line="300"/>
      </w:pPr>
      <w:r>
        <w:rPr>
          <w:rFonts w:ascii="Times New Roman" w:cs="Times New Roman" w:eastAsia="Times New Roman" w:hAnsi="Times New Roman"/>
          <w:sz w:val="24"/>
          <w:szCs w:val="24"/>
        </w:rPr>
        <w:t xml:space="preserve">Persist every analysis as a relational report (PostgreSQL via Spring Data JPA) with full violation/alert detail, retrievable by ID or listable in summary form.</w:t>
      </w:r>
    </w:p>
    <w:p>
      <w:pPr>
        <w:pStyle w:val="Heading3"/>
        <w:spacing w:after="160" w:before="240"/>
      </w:pPr>
      <w:r>
        <w:rPr>
          <w:rFonts w:ascii="Times New Roman" w:cs="Times New Roman" w:eastAsia="Times New Roman" w:hAnsi="Times New Roman"/>
          <w:b/>
          <w:bCs/>
          <w:sz w:val="28"/>
          <w:szCs w:val="28"/>
        </w:rPr>
        <w:t xml:space="preserve">1.4.2 Scope Boundaries</w:t>
      </w:r>
    </w:p>
    <w:p>
      <w:pPr>
        <w:spacing w:after="200" w:line="360"/>
        <w:jc w:val="both"/>
      </w:pPr>
      <w:r>
        <w:rPr>
          <w:rFonts w:ascii="Times New Roman" w:cs="Times New Roman" w:eastAsia="Times New Roman" w:hAnsi="Times New Roman"/>
          <w:b/>
          <w:bCs/>
          <w:sz w:val="24"/>
          <w:szCs w:val="24"/>
        </w:rPr>
        <w:t xml:space="preserve">In-scope for this project:</w:t>
      </w:r>
    </w:p>
    <w:p>
      <w:pPr>
        <w:pStyle w:val="ListParagraph"/>
        <w:numPr>
          <w:ilvl w:val="0"/>
          <w:numId w:val="1"/>
        </w:numPr>
        <w:spacing w:after="100" w:line="300"/>
      </w:pPr>
      <w:r>
        <w:rPr>
          <w:rFonts w:ascii="Times New Roman" w:cs="Times New Roman" w:eastAsia="Times New Roman" w:hAnsi="Times New Roman"/>
          <w:sz w:val="24"/>
          <w:szCs w:val="24"/>
        </w:rPr>
        <w:t xml:space="preserve">Comparison of REST APIs described in OpenAPI 3.x (JSON/YAML), parsed via swagger-parser.</w:t>
      </w:r>
    </w:p>
    <w:p>
      <w:pPr>
        <w:pStyle w:val="ListParagraph"/>
        <w:numPr>
          <w:ilvl w:val="0"/>
          <w:numId w:val="1"/>
        </w:numPr>
        <w:spacing w:after="100" w:line="300"/>
      </w:pPr>
      <w:r>
        <w:rPr>
          <w:rFonts w:ascii="Times New Roman" w:cs="Times New Roman" w:eastAsia="Times New Roman" w:hAnsi="Times New Roman"/>
          <w:sz w:val="24"/>
          <w:szCs w:val="24"/>
        </w:rPr>
        <w:t xml:space="preserve">Static, source-code-based endpoint and dependency extraction for Java/Spring Boot codebases specifically (via JavaParser).</w:t>
      </w:r>
    </w:p>
    <w:p>
      <w:pPr>
        <w:pStyle w:val="ListParagraph"/>
        <w:numPr>
          <w:ilvl w:val="0"/>
          <w:numId w:val="1"/>
        </w:numPr>
        <w:spacing w:after="100" w:line="300"/>
      </w:pPr>
      <w:r>
        <w:rPr>
          <w:rFonts w:ascii="Times New Roman" w:cs="Times New Roman" w:eastAsia="Times New Roman" w:hAnsi="Times New Roman"/>
          <w:sz w:val="24"/>
          <w:szCs w:val="24"/>
        </w:rPr>
        <w:t xml:space="preserve">Structural, security, and usage-graph analysis pillars (SGM fully implemented and tested at the time of this report; SAM and SPM designed, partially implemented, and scheduled for completion and validation in Project Report Part II).</w:t>
      </w:r>
    </w:p>
    <w:p>
      <w:pPr>
        <w:pStyle w:val="ListParagraph"/>
        <w:numPr>
          <w:ilvl w:val="0"/>
          <w:numId w:val="1"/>
        </w:numPr>
        <w:spacing w:after="100" w:line="300"/>
      </w:pPr>
      <w:r>
        <w:rPr>
          <w:rFonts w:ascii="Times New Roman" w:cs="Times New Roman" w:eastAsia="Times New Roman" w:hAnsi="Times New Roman"/>
          <w:sz w:val="24"/>
          <w:szCs w:val="24"/>
        </w:rPr>
        <w:t xml:space="preserve">A REST API surface for triggering comparisons, listing/retrieving reports, and managing dependency-scanner registrations — exposed via Swagger UI (springdoc-openapi) for manual and CI-driven use.</w:t>
      </w:r>
    </w:p>
    <w:p>
      <w:pPr>
        <w:spacing w:after="200" w:line="360"/>
        <w:jc w:val="both"/>
      </w:pPr>
      <w:r>
        <w:rPr>
          <w:rFonts w:ascii="Times New Roman" w:cs="Times New Roman" w:eastAsia="Times New Roman" w:hAnsi="Times New Roman"/>
          <w:b/>
          <w:bCs/>
          <w:sz w:val="24"/>
          <w:szCs w:val="24"/>
        </w:rPr>
        <w:t xml:space="preserve">Out-of-scope for this project:</w:t>
      </w:r>
    </w:p>
    <w:p>
      <w:pPr>
        <w:pStyle w:val="ListParagraph"/>
        <w:numPr>
          <w:ilvl w:val="0"/>
          <w:numId w:val="1"/>
        </w:numPr>
        <w:spacing w:after="100" w:line="300"/>
      </w:pPr>
      <w:r>
        <w:rPr>
          <w:rFonts w:ascii="Times New Roman" w:cs="Times New Roman" w:eastAsia="Times New Roman" w:hAnsi="Times New Roman"/>
          <w:sz w:val="24"/>
          <w:szCs w:val="24"/>
        </w:rPr>
        <w:t xml:space="preserve">A dedicated front-end / dashboard UI (the current interface surface is the REST API and its generated Swagger UI; a graphical dashboard is identified as future work in Chapter 6).</w:t>
      </w:r>
    </w:p>
    <w:p>
      <w:pPr>
        <w:pStyle w:val="ListParagraph"/>
        <w:numPr>
          <w:ilvl w:val="0"/>
          <w:numId w:val="1"/>
        </w:numPr>
        <w:spacing w:after="100" w:line="300"/>
      </w:pPr>
      <w:r>
        <w:rPr>
          <w:rFonts w:ascii="Times New Roman" w:cs="Times New Roman" w:eastAsia="Times New Roman" w:hAnsi="Times New Roman"/>
          <w:sz w:val="24"/>
          <w:szCs w:val="24"/>
        </w:rPr>
        <w:t xml:space="preserve">Runtime/dynamic contract verification (live traffic capture, consumer-driven contract testing against a running instance) — the system is deliberately restricted to static analysis of specification text and source code.</w:t>
      </w:r>
    </w:p>
    <w:p>
      <w:pPr>
        <w:pStyle w:val="ListParagraph"/>
        <w:numPr>
          <w:ilvl w:val="0"/>
          <w:numId w:val="1"/>
        </w:numPr>
        <w:spacing w:after="100" w:line="300"/>
      </w:pPr>
      <w:r>
        <w:rPr>
          <w:rFonts w:ascii="Times New Roman" w:cs="Times New Roman" w:eastAsia="Times New Roman" w:hAnsi="Times New Roman"/>
          <w:sz w:val="24"/>
          <w:szCs w:val="24"/>
        </w:rPr>
        <w:t xml:space="preserve">Support for non-Java provider/consumer codebases (Node.js, Go, Python, etc.) in the static extraction and dependency-scanning pipelines.</w:t>
      </w:r>
    </w:p>
    <w:p>
      <w:pPr>
        <w:pStyle w:val="ListParagraph"/>
        <w:numPr>
          <w:ilvl w:val="0"/>
          <w:numId w:val="1"/>
        </w:numPr>
        <w:spacing w:after="100" w:line="300"/>
      </w:pPr>
      <w:r>
        <w:rPr>
          <w:rFonts w:ascii="Times New Roman" w:cs="Times New Roman" w:eastAsia="Times New Roman" w:hAnsi="Times New Roman"/>
          <w:sz w:val="24"/>
          <w:szCs w:val="24"/>
        </w:rPr>
        <w:t xml:space="preserve">Machine-learning-based classification of API changes; despite the project's working title, all classification in the current implementation is deterministic, rule-based logic, not a trained model.</w:t>
      </w:r>
    </w:p>
    <w:p>
      <w:pPr>
        <w:pStyle w:val="ListParagraph"/>
        <w:numPr>
          <w:ilvl w:val="0"/>
          <w:numId w:val="1"/>
        </w:numPr>
        <w:spacing w:after="100" w:line="300"/>
      </w:pPr>
      <w:r>
        <w:rPr>
          <w:rFonts w:ascii="Times New Roman" w:cs="Times New Roman" w:eastAsia="Times New Roman" w:hAnsi="Times New Roman"/>
          <w:sz w:val="24"/>
          <w:szCs w:val="24"/>
        </w:rPr>
        <w:t xml:space="preserve">Automated Git-hook-triggered end-to-end analysis; a webhook receiver and repository-cloning scaffold exist, but the trigger-to-analysis wiring is explicitly future work (see Chapter 6).</w:t>
      </w:r>
    </w:p>
    <w:p>
      <w:pPr>
        <w:pStyle w:val="Heading2"/>
        <w:spacing w:after="200" w:before="360"/>
      </w:pPr>
      <w:r>
        <w:rPr>
          <w:rFonts w:ascii="Times New Roman" w:cs="Times New Roman" w:eastAsia="Times New Roman" w:hAnsi="Times New Roman"/>
          <w:b/>
          <w:bCs/>
          <w:sz w:val="32"/>
          <w:szCs w:val="32"/>
        </w:rPr>
        <w:t xml:space="preserve">1.5 Expected Outcome</w:t>
      </w:r>
    </w:p>
    <w:p>
      <w:pPr>
        <w:spacing w:after="200" w:line="360"/>
        <w:jc w:val="both"/>
      </w:pPr>
      <w:r>
        <w:rPr>
          <w:rFonts w:ascii="Times New Roman" w:cs="Times New Roman" w:eastAsia="Times New Roman" w:hAnsi="Times New Roman"/>
          <w:b w:val="false"/>
          <w:bCs w:val="false"/>
          <w:i w:val="false"/>
          <w:iCs w:val="false"/>
          <w:sz w:val="24"/>
          <w:szCs w:val="24"/>
        </w:rPr>
        <w:t xml:space="preserve">On completion of Project Report Part I, the expected outcomes are: a working, unit-tested SGM structural comparison engine covering eight independent rule checks; a functioning dual-pipeline specification ingestion path (manual upload and static extraction); a normalized PostgreSQL schema for specification versions, analysis reports, and violations; a documented and partially implemented SAM/SPM design with working prototype services (three security checks and a graph-diff engine); a working static dependency scanner capable of mapping consumer call sites to normalized endpoint paths; and a fully specified, externally configurable composite risk-scoring formula. By the completion of Project Report Part II, the expected outcome is a fully wired three-pillar analysis pipeline (SGM + SAM + SPM contributing to a single composite score for every comparison), a blast-radius report that joins scanned consumer dependencies against detected violations, and CI/CD-oriented automation via the Git-hook ingestion path.</w:t>
      </w:r>
    </w:p>
    <w:p>
      <w:pPr>
        <w:pStyle w:val="Heading2"/>
        <w:spacing w:after="200" w:before="360"/>
      </w:pPr>
      <w:r>
        <w:rPr>
          <w:rFonts w:ascii="Times New Roman" w:cs="Times New Roman" w:eastAsia="Times New Roman" w:hAnsi="Times New Roman"/>
          <w:b/>
          <w:bCs/>
          <w:sz w:val="32"/>
          <w:szCs w:val="32"/>
        </w:rPr>
        <w:t xml:space="preserve">1.6 Organization of the Report</w:t>
      </w:r>
    </w:p>
    <w:p>
      <w:pPr>
        <w:spacing w:after="200" w:line="360"/>
        <w:jc w:val="both"/>
      </w:pPr>
      <w:r>
        <w:rPr>
          <w:rFonts w:ascii="Times New Roman" w:cs="Times New Roman" w:eastAsia="Times New Roman" w:hAnsi="Times New Roman"/>
          <w:b w:val="false"/>
          <w:bCs w:val="false"/>
          <w:i w:val="false"/>
          <w:iCs w:val="false"/>
          <w:sz w:val="24"/>
          <w:szCs w:val="24"/>
        </w:rPr>
        <w:t xml:space="preserve">The remainder of this report is organized as follows. Chapter 2 surveys existing API-diffing, contract-testing, and API-governance tools, analyzes their limitations, and positions the proposed system against that landscape. Chapter 3 details requirement gathering and analysis: functional and non-functional requirements per module, feasibility study, SDLC methodology, the technology stack with justification, the project execution timeline (Gantt chart), and the functional/structural/behavioral system-analysis models (use case, activity, and sequence diagrams) for the core comparison workflow. Chapters 4 through 6, references, and appendices — covering detailed system design, implementation, experimental results, and conclusions — are reserved for Project Report Part II, as indicated in the Index of this report.</w:t>
      </w:r>
    </w:p>
    <w:p>
      <w:pPr>
        <w:pStyle w:val="Heading1"/>
        <w:pageBreakBefore/>
        <w:spacing w:after="300" w:before="200"/>
        <w:jc w:val="center"/>
      </w:pPr>
      <w:r>
        <w:rPr>
          <w:rFonts w:ascii="Times New Roman" w:cs="Times New Roman" w:eastAsia="Times New Roman" w:hAnsi="Times New Roman"/>
          <w:b/>
          <w:bCs/>
          <w:sz w:val="36"/>
          <w:szCs w:val="36"/>
        </w:rPr>
        <w:t xml:space="preserve">Chapter 2: Literature Survey &amp; Proposed System</w:t>
      </w:r>
    </w:p>
    <w:p>
      <w:pPr>
        <w:pStyle w:val="Heading2"/>
        <w:spacing w:after="200" w:before="360"/>
      </w:pPr>
      <w:r>
        <w:rPr>
          <w:rFonts w:ascii="Times New Roman" w:cs="Times New Roman" w:eastAsia="Times New Roman" w:hAnsi="Times New Roman"/>
          <w:b/>
          <w:bCs/>
          <w:sz w:val="32"/>
          <w:szCs w:val="32"/>
        </w:rPr>
        <w:t xml:space="preserve">2.1 Literature Review of Existing System</w:t>
      </w:r>
    </w:p>
    <w:p>
      <w:pPr>
        <w:spacing w:after="200" w:line="360"/>
        <w:jc w:val="both"/>
      </w:pPr>
      <w:r>
        <w:rPr>
          <w:rFonts w:ascii="Times New Roman" w:cs="Times New Roman" w:eastAsia="Times New Roman" w:hAnsi="Times New Roman"/>
          <w:b w:val="false"/>
          <w:bCs w:val="false"/>
          <w:i w:val="false"/>
          <w:iCs w:val="false"/>
          <w:sz w:val="24"/>
          <w:szCs w:val="24"/>
        </w:rPr>
        <w:t xml:space="preserve">API change management and contract testing have been addressed from several distinct angles in both open-source tooling and prior research: pure structural specification diffing, consumer-driven contract verification, and runtime API-governance enforcement. Each represents a different point on the trade-off between static (pre-merge) applicability and consumer-awareness. Related academic work on graph-based API misuse analysis and OpenAPI graph transformation/clustering techniques informed the design of this project's usage-graph (SPM) pillar, though these prior techniques were not adopted directly — API-CIA's ApiUsageGraph model is a purpose-built, lightweight node/edge structure keyed on method:path identifiers rather than a general-purpose graph-analysis framework.</w:t>
      </w:r>
    </w:p>
    <w:p>
      <w:pPr>
        <w:spacing w:after="300" w:before="120"/>
        <w:jc w:val="center"/>
      </w:pPr>
      <w:r>
        <w:rPr>
          <w:rFonts w:ascii="Times New Roman" w:cs="Times New Roman" w:eastAsia="Times New Roman" w:hAnsi="Times New Roman"/>
          <w:b/>
          <w:bCs/>
          <w:i/>
          <w:iCs/>
          <w:sz w:val="22"/>
          <w:szCs w:val="22"/>
        </w:rPr>
        <w:t xml:space="preserve">Table 1: Comparative Survey of Existing API Change/Contract Analysis Approaches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100"/>
        <w:gridCol w:w="2100"/>
        <w:gridCol w:w="1800"/>
      </w:tblGrid>
      <w:tr>
        <w:tc>
          <w:tcPr>
            <w:tcW w:type="dxa" w:w="13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Approach</w:t>
            </w:r>
          </w:p>
        </w:tc>
        <w:tc>
          <w:tcPr>
            <w:tcW w:type="dxa" w:w="17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Methodology</w:t>
            </w:r>
          </w:p>
        </w:tc>
        <w:tc>
          <w:tcPr>
            <w:tcW w:type="dxa" w:w="21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Advantages</w:t>
            </w:r>
          </w:p>
        </w:tc>
        <w:tc>
          <w:tcPr>
            <w:tcW w:type="dxa" w:w="21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Limitations</w:t>
            </w:r>
          </w:p>
        </w:tc>
        <w:tc>
          <w:tcPr>
            <w:tcW w:type="dxa" w:w="18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Dependency / Security Context</w:t>
            </w:r>
          </w:p>
        </w:tc>
      </w:tr>
      <w:t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openapi-diff / oasdiff (open-source CLI)</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Structural JSON/YAML diff of two OpenAPI documents against a fixed breaking-change rule set.</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Lightweight, scriptable, CI-friendly; fast for small specs.</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Fixed, non-extensible rule set; no persistence or historical audit trail; no scoring — binary breaking/non-breaking flag only.</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None — purely structural, no consumer or security awareness.</w:t>
            </w:r>
          </w:p>
        </w:tc>
      </w:tr>
      <w:t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Swagger Diff / OpenAPI-Diff (Java libraries)</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Object-model comparison of two parsed Swagger/OpenAPI models via library APIs, embedded into custom tooling.</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Programmatic integration into a host application; reasonably mature parsing layer.</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Provides raw diff objects, not a risk score or severity classification; requires the integrator to build all scoring/reporting logic from scratch.</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None built-in.</w:t>
            </w:r>
          </w:p>
        </w:tc>
      </w:tr>
      <w:t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Pact (Consumer-Driven Contract Testing)</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Runtime verification: consumers record interaction expectations; a Pact Broker verifies the provider against recorded contracts during CI.</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Strong consumer-awareness — verification is per actual consumer, not inferred; catches real runtime incompatibilities.</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Requires every consumer team to adopt Pact and publish contracts; heavyweight broker infrastructure; cannot analyze a specification change before any consumer test exists.</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Strong dependency context (consumer-driven); no security-posture analysis.</w:t>
            </w:r>
          </w:p>
        </w:tc>
      </w:tr>
      <w:t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API Gateway-level Governance Tools (e.g., commercial API management suites)</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Policy engines applied at the gateway layer — schema validation, rate-limit and auth-policy enforcement at request time.</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Enforces policy at runtime, catches violations in production traffic.</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Reactive, not pre-merge/pre-deploy; expensive commercial licensing; not designed as a static pre-release diffing tool.</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Runtime security enforcement only; no pre-change structural diffing.</w:t>
            </w:r>
          </w:p>
        </w:tc>
      </w:tr>
      <w:t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API-CIA (Proposed System)</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Static, rule-engine-based structural diff (SGM) + security-posture diff (SAM) + usage-graph diff (SPM) over parsed OpenAPI models, fed by manual upload or JavaParser-based static source extraction.</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Extensible strategy-pattern rule/check engine; composite weighted risk score with per-pillar breakdown; persisted, queryable audit trail; no consumer-side tooling adoption required (static dependency scanning instead).</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Static analysis only — cannot catch runtime-only incompatibilities that Pact-style verification would; currently Java/Spring-specific for source extraction.</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Built-in: SAM pillar for security regressions, SPM pillar + static Dependency Scanner for usage/consumer context.</w:t>
            </w:r>
          </w:p>
        </w:tc>
      </w:tr>
    </w:tbl>
    <w:p>
      <w:r>
        <w:rPr>
          <w:rFonts w:ascii="Times New Roman" w:cs="Times New Roman" w:eastAsia="Times New Roman" w:hAnsi="Times New Roman"/>
          <w:sz w:val="24"/>
          <w:szCs w:val="24"/>
        </w:rPr>
        <w:t xml:space="preserve"/>
      </w:r>
    </w:p>
    <w:p>
      <w:pPr>
        <w:pStyle w:val="Heading2"/>
        <w:spacing w:after="200" w:before="360"/>
      </w:pPr>
      <w:r>
        <w:rPr>
          <w:rFonts w:ascii="Times New Roman" w:cs="Times New Roman" w:eastAsia="Times New Roman" w:hAnsi="Times New Roman"/>
          <w:b/>
          <w:bCs/>
          <w:sz w:val="32"/>
          <w:szCs w:val="32"/>
        </w:rPr>
        <w:t xml:space="preserve">2.2 Limitations of Existing System &amp; Gap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Table 1 surfaces a consistent pattern across the surveyed approaches: tools that are strong on structural diffing (openapi-diff, Swagger Diff libraries) provide no dependency or security context and no persisted audit trail; tools that are strong on dependency awareness (Pact) require heavyweight, opt-in instrumentation from every consumer and cannot pre-emptively analyze a specification change before a consumer test exists; and tools that enforce security policy (gateway-level governance suites) operate reactively, on live traffic, rather than proactively, before a change is merged or deployed. No surveyed approach unifies all three concerns — structural correctness, dependency blast radius, and security posture — into a single, extensible, pre-merge risk signal. Table 2 maps each identified shortfall to the specific technical mechanism in API-CIA designed to close it.</w:t>
      </w:r>
    </w:p>
    <w:p>
      <w:pPr>
        <w:spacing w:after="300" w:before="120"/>
        <w:jc w:val="center"/>
      </w:pPr>
      <w:r>
        <w:rPr>
          <w:rFonts w:ascii="Times New Roman" w:cs="Times New Roman" w:eastAsia="Times New Roman" w:hAnsi="Times New Roman"/>
          <w:b/>
          <w:bCs/>
          <w:i/>
          <w:iCs/>
          <w:sz w:val="22"/>
          <w:szCs w:val="22"/>
        </w:rPr>
        <w:t xml:space="preserve">Table 2: Gap Analysis — Existing System Shortfalls Mapped to API-CIA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050"/>
        <w:gridCol w:w="3250"/>
      </w:tblGrid>
      <w:tr>
        <w:tc>
          <w:tcPr>
            <w:tcW w:type="dxa" w:w="27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Shortfall of Existing Systems</w:t>
            </w:r>
          </w:p>
        </w:tc>
        <w:tc>
          <w:tcPr>
            <w:tcW w:type="dxa" w:w="305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Consequence</w:t>
            </w:r>
          </w:p>
        </w:tc>
        <w:tc>
          <w:tcPr>
            <w:tcW w:type="dxa" w:w="325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API-CIA Technical Solution</w:t>
            </w:r>
          </w:p>
        </w:tc>
      </w:tr>
      <w:tr>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Structural diff tools report raw differences without severity/risk classification.</w:t>
            </w:r>
          </w:p>
        </w:tc>
        <w:tc>
          <w:tcPr>
            <w:tcW w:type="dxa" w:w="30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Reviewers must manually judge which differences matter; no consistent gating threshold for CI/CD.</w:t>
            </w:r>
          </w:p>
        </w:tc>
        <w:tc>
          <w:tcPr>
            <w:tcW w:type="dxa" w:w="32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SGM assigns a rule ID and severity (INFO/WARNING/BREAKING/CRITICAL) to every ViolationDTO and derives a normalized dStruct score; ImpactScoringService bands the composite score into LOW/MEDIUM/HIGH/CRITICAL.</w:t>
            </w:r>
          </w:p>
        </w:tc>
      </w:tr>
      <w:tr>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Fixed, non-extensible rule sets in most open-source diff CLIs.</w:t>
            </w:r>
          </w:p>
        </w:tc>
        <w:tc>
          <w:tcPr>
            <w:tcW w:type="dxa" w:w="30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Teams cannot add organization-specific governance rules (e.g., custom naming conventions) without forking the tool.</w:t>
            </w:r>
          </w:p>
        </w:tc>
        <w:tc>
          <w:tcPr>
            <w:tcW w:type="dxa" w:w="32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SGM rules are independent Spring @Component beans implementing a common DesignRule interface; SGMService constructor-injects List&lt;DesignRule&gt; and Spring auto-collects every bean — a new rule requires only a new class, zero changes to orchestration code.</w:t>
            </w:r>
          </w:p>
        </w:tc>
      </w:tr>
      <w:tr>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 tool in the survey combines structural, dependency, and security context into one score.</w:t>
            </w:r>
          </w:p>
        </w:tc>
        <w:tc>
          <w:tcPr>
            <w:tcW w:type="dxa" w:w="30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Security regressions (e.g., authentication silently removed) are structurally minor and can be missed entirely by a pure structural diff.</w:t>
            </w:r>
          </w:p>
        </w:tc>
        <w:tc>
          <w:tcPr>
            <w:tcW w:type="dxa" w:w="32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 three-pillar composite formula (sTotal = w1·dStruct + w2·dApi + w3·aSec) combines SGM's structural score with SAM's security-alert score (aSec) and SPM's usage-graph-diff score (dApi), with independently configurable weights.</w:t>
            </w:r>
          </w:p>
        </w:tc>
      </w:tr>
      <w:tr>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Consumer-driven contract testing (Pact) requires every consumer team to instrument and publish contracts.</w:t>
            </w:r>
          </w:p>
        </w:tc>
        <w:tc>
          <w:tcPr>
            <w:tcW w:type="dxa" w:w="30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High adoption cost; a provider cannot get any dependency signal from consumers who have not adopted the tooling.</w:t>
            </w:r>
          </w:p>
        </w:tc>
        <w:tc>
          <w:tcPr>
            <w:tcW w:type="dxa" w:w="32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DependencyScannerService statically scans consumer source trees for Feign/RestTemplate/WebClient call sites and normalizes call paths against provider endpoints — no consumer-side tooling adoption required.</w:t>
            </w:r>
          </w:p>
        </w:tc>
      </w:tr>
      <w:tr>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Provider-side specification maintenance is manual — the OpenAPI file can drift from the actual controller code.</w:t>
            </w:r>
          </w:p>
        </w:tc>
        <w:tc>
          <w:tcPr>
            <w:tcW w:type="dxa" w:w="30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artifact being diffed may not reflect the true current API surface.</w:t>
            </w:r>
          </w:p>
        </w:tc>
        <w:tc>
          <w:tcPr>
            <w:tcW w:type="dxa" w:w="32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StaticEndpointExtractionService parses the provider's own Java source with JavaParser and reconstructs an OpenAPI document directly from @RestController/@*Mapping annotations, removing hand-maintenance as a source of drift.</w:t>
            </w:r>
          </w:p>
        </w:tc>
      </w:tr>
      <w:tr>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Most CLI-based tools produce ephemeral output (console/CI log) with no historical audit trail.</w:t>
            </w:r>
          </w:p>
        </w:tc>
        <w:tc>
          <w:tcPr>
            <w:tcW w:type="dxa" w:w="30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Past comparisons cannot be reviewed or trended over time without re-running the tool against archived spec files.</w:t>
            </w:r>
          </w:p>
        </w:tc>
        <w:tc>
          <w:tcPr>
            <w:tcW w:type="dxa" w:w="32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Every comparison persists an AnalysisReport plus one Violation/SecurityAlert row per finding in PostgreSQL via Spring Data JPA, retrievable via GET /api/analysis/reports and GET /api/analysis/reports/{id}.</w:t>
            </w:r>
          </w:p>
        </w:tc>
      </w:tr>
    </w:tbl>
    <w:p>
      <w:r>
        <w:rPr>
          <w:rFonts w:ascii="Times New Roman" w:cs="Times New Roman" w:eastAsia="Times New Roman" w:hAnsi="Times New Roman"/>
          <w:sz w:val="24"/>
          <w:szCs w:val="24"/>
        </w:rPr>
        <w:t xml:space="preserve"/>
      </w:r>
    </w:p>
    <w:p>
      <w:pPr>
        <w:pStyle w:val="Heading2"/>
        <w:spacing w:after="200" w:before="360"/>
      </w:pPr>
      <w:r>
        <w:rPr>
          <w:rFonts w:ascii="Times New Roman" w:cs="Times New Roman" w:eastAsia="Times New Roman" w:hAnsi="Times New Roman"/>
          <w:b/>
          <w:bCs/>
          <w:sz w:val="32"/>
          <w:szCs w:val="32"/>
        </w:rPr>
        <w:t xml:space="preserve">2.3 Proposed System</w:t>
      </w:r>
    </w:p>
    <w:p>
      <w:pPr>
        <w:spacing w:after="200" w:line="360"/>
        <w:jc w:val="both"/>
      </w:pPr>
      <w:r>
        <w:rPr>
          <w:rFonts w:ascii="Times New Roman" w:cs="Times New Roman" w:eastAsia="Times New Roman" w:hAnsi="Times New Roman"/>
          <w:b w:val="false"/>
          <w:bCs w:val="false"/>
          <w:i w:val="false"/>
          <w:iCs w:val="false"/>
          <w:sz w:val="24"/>
          <w:szCs w:val="24"/>
        </w:rPr>
        <w:t xml:space="preserve">API-CIA is architected as a classic layered Spring Boot application (Controller → Service → Repository → Database), with three cross-cutting design principles guiding every module: extensibility via the strategy pattern, pillar independence with weighted composition, and static-analysis-only operation.</w:t>
      </w:r>
    </w:p>
    <w:p>
      <w:pPr>
        <w:pStyle w:val="Heading3"/>
        <w:spacing w:after="160" w:before="240"/>
      </w:pPr>
      <w:r>
        <w:rPr>
          <w:rFonts w:ascii="Times New Roman" w:cs="Times New Roman" w:eastAsia="Times New Roman" w:hAnsi="Times New Roman"/>
          <w:b/>
          <w:bCs/>
          <w:sz w:val="28"/>
          <w:szCs w:val="28"/>
        </w:rPr>
        <w:t xml:space="preserve">2.3.1 Core Design Principles</w:t>
      </w:r>
    </w:p>
    <w:p>
      <w:pPr>
        <w:pStyle w:val="ListParagraph"/>
        <w:numPr>
          <w:ilvl w:val="0"/>
          <w:numId w:val="1"/>
        </w:numPr>
        <w:spacing w:after="100" w:line="300"/>
      </w:pPr>
      <w:r>
        <w:rPr>
          <w:rFonts w:ascii="Times New Roman" w:cs="Times New Roman" w:eastAsia="Times New Roman" w:hAnsi="Times New Roman"/>
          <w:sz w:val="24"/>
          <w:szCs w:val="24"/>
        </w:rPr>
        <w:t xml:space="preserve">Strategy-pattern extensibility: Both the SGM rule engine and the SAM security-check engine are implemented as a common interface (DesignRule, SecurityCheck respectively) with independent Spring-managed implementations, auto-collected via constructor-injected List&lt;T&gt;. Adding a new structural rule or security check is a closed, additive operation that touches no existing orchestration code.</w:t>
      </w:r>
    </w:p>
    <w:p>
      <w:pPr>
        <w:pStyle w:val="ListParagraph"/>
        <w:numPr>
          <w:ilvl w:val="0"/>
          <w:numId w:val="1"/>
        </w:numPr>
        <w:spacing w:after="100" w:line="300"/>
      </w:pPr>
      <w:r>
        <w:rPr>
          <w:rFonts w:ascii="Times New Roman" w:cs="Times New Roman" w:eastAsia="Times New Roman" w:hAnsi="Times New Roman"/>
          <w:sz w:val="24"/>
          <w:szCs w:val="24"/>
        </w:rPr>
        <w:t xml:space="preserve">Pillar independence with weighted composition: SGM, SAM, and SPM each compute an independent normalized score (dStruct, aSec, dApi respectively) from the same input specification pair, without depending on one another's internals. ImpactScoringService composes them via sTotal = w1·dStruct + w2·dApi + w3·aSec, with weights externalized to application.properties — an organization can, for example, weight security regressions more heavily than naming-convention violations without touching Java code.</w:t>
      </w:r>
    </w:p>
    <w:p>
      <w:pPr>
        <w:pStyle w:val="ListParagraph"/>
        <w:numPr>
          <w:ilvl w:val="0"/>
          <w:numId w:val="1"/>
        </w:numPr>
        <w:spacing w:after="100" w:line="300"/>
      </w:pPr>
      <w:r>
        <w:rPr>
          <w:rFonts w:ascii="Times New Roman" w:cs="Times New Roman" w:eastAsia="Times New Roman" w:hAnsi="Times New Roman"/>
          <w:sz w:val="24"/>
          <w:szCs w:val="24"/>
        </w:rPr>
        <w:t xml:space="preserve">Static-analysis-only operation: every input to every pillar is derived from specification text or source code available at build/review time — no live traffic capture, no consumer-side test instrumentation — so the full analysis can run inside a CI pipeline before a change reaches a running environment.</w:t>
      </w:r>
    </w:p>
    <w:p>
      <w:pPr>
        <w:pStyle w:val="Heading3"/>
        <w:spacing w:after="160" w:before="240"/>
      </w:pPr>
      <w:r>
        <w:rPr>
          <w:rFonts w:ascii="Times New Roman" w:cs="Times New Roman" w:eastAsia="Times New Roman" w:hAnsi="Times New Roman"/>
          <w:b/>
          <w:bCs/>
          <w:sz w:val="28"/>
          <w:szCs w:val="28"/>
        </w:rPr>
        <w:t xml:space="preserve">2.3.2 Functional Advantages</w:t>
      </w:r>
    </w:p>
    <w:p>
      <w:pPr>
        <w:pStyle w:val="ListParagraph"/>
        <w:numPr>
          <w:ilvl w:val="0"/>
          <w:numId w:val="1"/>
        </w:numPr>
        <w:spacing w:after="100" w:line="300"/>
      </w:pPr>
      <w:r>
        <w:rPr>
          <w:rFonts w:ascii="Times New Roman" w:cs="Times New Roman" w:eastAsia="Times New Roman" w:hAnsi="Times New Roman"/>
          <w:sz w:val="24"/>
          <w:szCs w:val="24"/>
        </w:rPr>
        <w:t xml:space="preserve">Dual ingestion pipelines (manual upload and JavaParser-based static extraction) mean the system can analyze a specification whether or not the provider team maintains a hand-written OpenAPI file.</w:t>
      </w:r>
    </w:p>
    <w:p>
      <w:pPr>
        <w:pStyle w:val="ListParagraph"/>
        <w:numPr>
          <w:ilvl w:val="0"/>
          <w:numId w:val="1"/>
        </w:numPr>
        <w:spacing w:after="100" w:line="300"/>
      </w:pPr>
      <w:r>
        <w:rPr>
          <w:rFonts w:ascii="Times New Roman" w:cs="Times New Roman" w:eastAsia="Times New Roman" w:hAnsi="Times New Roman"/>
          <w:sz w:val="24"/>
          <w:szCs w:val="24"/>
        </w:rPr>
        <w:t xml:space="preserve">A single orchestrating method, AnalysisService.compare(), unifies both ingestion pipelines and all three analysis pillars behind one transactional boundary, so a partial failure never leaves an inconsistent report persisted.</w:t>
      </w:r>
    </w:p>
    <w:p>
      <w:pPr>
        <w:pStyle w:val="ListParagraph"/>
        <w:numPr>
          <w:ilvl w:val="0"/>
          <w:numId w:val="1"/>
        </w:numPr>
        <w:spacing w:after="100" w:line="300"/>
      </w:pPr>
      <w:r>
        <w:rPr>
          <w:rFonts w:ascii="Times New Roman" w:cs="Times New Roman" w:eastAsia="Times New Roman" w:hAnsi="Times New Roman"/>
          <w:sz w:val="24"/>
          <w:szCs w:val="24"/>
        </w:rPr>
        <w:t xml:space="preserve">Per-rule and per-check exception isolation (each DesignRule/SecurityCheck execution is individually try/caught) means one malformed or failing check degrades gracefully rather than aborting the entire comparison.</w:t>
      </w:r>
    </w:p>
    <w:p>
      <w:pPr>
        <w:pStyle w:val="ListParagraph"/>
        <w:numPr>
          <w:ilvl w:val="0"/>
          <w:numId w:val="1"/>
        </w:numPr>
        <w:spacing w:after="100" w:line="300"/>
      </w:pPr>
      <w:r>
        <w:rPr>
          <w:rFonts w:ascii="Times New Roman" w:cs="Times New Roman" w:eastAsia="Times New Roman" w:hAnsi="Times New Roman"/>
          <w:sz w:val="24"/>
          <w:szCs w:val="24"/>
        </w:rPr>
        <w:t xml:space="preserve">A static Dependency Scanner extends the model with consumer-side context without requiring consumer teams to adopt any new tooling — addressing the single largest adoption barrier identified against Pact-style contract testing in Table 1.</w:t>
      </w:r>
    </w:p>
    <w:p>
      <w:pPr>
        <w:pStyle w:val="ListParagraph"/>
        <w:numPr>
          <w:ilvl w:val="0"/>
          <w:numId w:val="1"/>
        </w:numPr>
        <w:spacing w:after="100" w:line="300"/>
      </w:pPr>
      <w:r>
        <w:rPr>
          <w:rFonts w:ascii="Times New Roman" w:cs="Times New Roman" w:eastAsia="Times New Roman" w:hAnsi="Times New Roman"/>
          <w:sz w:val="24"/>
          <w:szCs w:val="24"/>
        </w:rPr>
        <w:t xml:space="preserve">Full persistence of every report, violation, and security alert in a normalized relational schema (PostgreSQL, Spring Data JPA) supports historical trend analysis, which none of the surveyed CLI-based tools provide out of the box.</w:t>
      </w:r>
    </w:p>
    <w:p>
      <w:pPr>
        <w:pStyle w:val="Heading1"/>
        <w:pageBreakBefore/>
        <w:spacing w:after="300" w:before="200"/>
        <w:jc w:val="center"/>
      </w:pPr>
      <w:r>
        <w:rPr>
          <w:rFonts w:ascii="Times New Roman" w:cs="Times New Roman" w:eastAsia="Times New Roman" w:hAnsi="Times New Roman"/>
          <w:b/>
          <w:bCs/>
          <w:sz w:val="36"/>
          <w:szCs w:val="36"/>
        </w:rPr>
        <w:t xml:space="preserve">Chapter 3: Requirement Gathering, Analysis and Planning</w:t>
      </w:r>
    </w:p>
    <w:p>
      <w:pPr>
        <w:pStyle w:val="Heading2"/>
        <w:spacing w:after="200" w:before="360"/>
      </w:pPr>
      <w:r>
        <w:rPr>
          <w:rFonts w:ascii="Times New Roman" w:cs="Times New Roman" w:eastAsia="Times New Roman" w:hAnsi="Times New Roman"/>
          <w:b/>
          <w:bCs/>
          <w:sz w:val="32"/>
          <w:szCs w:val="32"/>
        </w:rPr>
        <w:t xml:space="preserve">3.1 Requirement Specification</w:t>
      </w:r>
    </w:p>
    <w:p>
      <w:pPr>
        <w:pStyle w:val="Heading3"/>
        <w:spacing w:after="160" w:before="240"/>
      </w:pPr>
      <w:r>
        <w:rPr>
          <w:rFonts w:ascii="Times New Roman" w:cs="Times New Roman" w:eastAsia="Times New Roman" w:hAnsi="Times New Roman"/>
          <w:b/>
          <w:bCs/>
          <w:sz w:val="28"/>
          <w:szCs w:val="28"/>
        </w:rPr>
        <w:t xml:space="preserve">3.1.1 Functional Requirements (Module-wise)</w:t>
      </w:r>
    </w:p>
    <w:p>
      <w:pPr>
        <w:spacing w:after="300" w:before="120"/>
        <w:jc w:val="center"/>
      </w:pPr>
      <w:r>
        <w:rPr>
          <w:rFonts w:ascii="Times New Roman" w:cs="Times New Roman" w:eastAsia="Times New Roman" w:hAnsi="Times New Roman"/>
          <w:b/>
          <w:bCs/>
          <w:i/>
          <w:iCs/>
          <w:sz w:val="22"/>
          <w:szCs w:val="22"/>
        </w:rPr>
        <w:t xml:space="preserve">Table 3: Functional Requirements — Module-wise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4750"/>
        <w:gridCol w:w="1350"/>
      </w:tblGrid>
      <w:tr>
        <w:tc>
          <w:tcPr>
            <w:tcW w:type="dxa" w:w="12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ID</w:t>
            </w:r>
          </w:p>
        </w:tc>
        <w:tc>
          <w:tcPr>
            <w:tcW w:type="dxa" w:w="17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Module</w:t>
            </w:r>
          </w:p>
        </w:tc>
        <w:tc>
          <w:tcPr>
            <w:tcW w:type="dxa" w:w="475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Requirement</w:t>
            </w:r>
          </w:p>
        </w:tc>
        <w:tc>
          <w:tcPr>
            <w:tcW w:type="dxa" w:w="135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Realized By</w:t>
            </w:r>
          </w:p>
        </w:tc>
      </w:tr>
      <w:tr>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FR-01</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Spec Ingestion</w:t>
            </w:r>
          </w:p>
        </w:tc>
        <w:tc>
          <w:tcPr>
            <w:tcW w:type="dxa" w:w="47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accept an OpenAPI 3.x specification file (JSON/YAML) via multipart upload, validate it as a well-formed OpenAPI document, and persist it as a versioned record.</w:t>
            </w:r>
          </w:p>
        </w:tc>
        <w:tc>
          <w:tcPr>
            <w:tcW w:type="dxa" w:w="13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SpecController, swagger-parser OpenAPIParser, SpecVersionRepository</w:t>
            </w:r>
          </w:p>
        </w:tc>
      </w:tr>
      <w:tr>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FR-02</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Spec Extraction</w:t>
            </w:r>
          </w:p>
        </w:tc>
        <w:tc>
          <w:tcPr>
            <w:tcW w:type="dxa" w:w="47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be able to statically scan a configured Java source tree and reconstruct an OpenAPI-shaped document from Spring MVC controller annotations, without compiling or executing the target application.</w:t>
            </w:r>
          </w:p>
        </w:tc>
        <w:tc>
          <w:tcPr>
            <w:tcW w:type="dxa" w:w="13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StaticEndpointExtractionService, ExtractionController, JavaParser</w:t>
            </w:r>
          </w:p>
        </w:tc>
      </w:tr>
      <w:tr>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FR-03</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Structural Analysis (SGM)</w:t>
            </w:r>
          </w:p>
        </w:tc>
        <w:tc>
          <w:tcPr>
            <w:tcW w:type="dxa" w:w="47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compare two specification versions and report, for each detected difference, a rule ID, severity, affected endpoint, and old/new value, across versioning, naming-convention, endpoint removal/rename, parameter-type, required-field, HTTP-method, and security-configuration rule categories.</w:t>
            </w:r>
          </w:p>
        </w:tc>
        <w:tc>
          <w:tcPr>
            <w:tcW w:type="dxa" w:w="13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SGMService, service.sgm.rules.* (8 DesignRule implementations)</w:t>
            </w:r>
          </w:p>
        </w:tc>
      </w:tr>
      <w:tr>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FR-04</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Security Analysis (SAM)</w:t>
            </w:r>
          </w:p>
        </w:tc>
        <w:tc>
          <w:tcPr>
            <w:tcW w:type="dxa" w:w="47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detect, between two specification versions, removal of authentication requirements, newly exposed sensitive response fields, and downgrade of server transport from HTTPS to HTTP, each as a severity-classified security alert.</w:t>
            </w:r>
          </w:p>
        </w:tc>
        <w:tc>
          <w:tcPr>
            <w:tcW w:type="dxa" w:w="13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SAMService, AuthRemovedCheck, SensitiveFieldCheck, HttpsDowngradeCheck</w:t>
            </w:r>
          </w:p>
        </w:tc>
      </w:tr>
      <w:tr>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FR-05</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Dependency Mapping (SPM)</w:t>
            </w:r>
          </w:p>
        </w:tc>
        <w:tc>
          <w:tcPr>
            <w:tcW w:type="dxa" w:w="47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construct a directed usage graph of API operations per specification version and compute a node/edge-level diff between two graph states to flag added, removed, and changed operations and usage-flow changes.</w:t>
            </w:r>
          </w:p>
        </w:tc>
        <w:tc>
          <w:tcPr>
            <w:tcW w:type="dxa" w:w="13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SPMService, ApiUsageGraph, GraphDiffEngine</w:t>
            </w:r>
          </w:p>
        </w:tc>
      </w:tr>
      <w:tr>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FR-06</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Consumer Dependency Scan</w:t>
            </w:r>
          </w:p>
        </w:tc>
        <w:tc>
          <w:tcPr>
            <w:tcW w:type="dxa" w:w="47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statically scan a registered consumer project's source tree for Feign-client, RestTemplate, and WebClient HTTP call sites, normalize each call's target path, and persist it against the owning consumer project.</w:t>
            </w:r>
          </w:p>
        </w:tc>
        <w:tc>
          <w:tcPr>
            <w:tcW w:type="dxa" w:w="13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DependencyScannerService, DependencyController, ClientProject/ClientDependency entities</w:t>
            </w:r>
          </w:p>
        </w:tc>
      </w:tr>
      <w:tr>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FR-07</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Risk Scoring</w:t>
            </w:r>
          </w:p>
        </w:tc>
        <w:tc>
          <w:tcPr>
            <w:tcW w:type="dxa" w:w="47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compute a single composite impact score from the structural, security, and dependency-diff signals using externally configurable weights, and classify the result into a LOW/MEDIUM/HIGH/CRITICAL risk band.</w:t>
            </w:r>
          </w:p>
        </w:tc>
        <w:tc>
          <w:tcPr>
            <w:tcW w:type="dxa" w:w="13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ImpactScoringService, application.properties (cia.weights.w1/w2/w3)</w:t>
            </w:r>
          </w:p>
        </w:tc>
      </w:tr>
      <w:tr>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FR-08</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Report Persistence &amp; Retrieval</w:t>
            </w:r>
          </w:p>
        </w:tc>
        <w:tc>
          <w:tcPr>
            <w:tcW w:type="dxa" w:w="47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persist every comparison as an AnalysisReport with its full set of violations/alerts, and expose endpoints to list report summaries and retrieve a full report by ID.</w:t>
            </w:r>
          </w:p>
        </w:tc>
        <w:tc>
          <w:tcPr>
            <w:tcW w:type="dxa" w:w="13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AnalysisService, AnalysisReportRepository, ViolationRepository, AnalysisController</w:t>
            </w:r>
          </w:p>
        </w:tc>
      </w:tr>
      <w:tr>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FR-09</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Error Handling</w:t>
            </w:r>
          </w:p>
        </w:tc>
        <w:tc>
          <w:tcPr>
            <w:tcW w:type="dxa" w:w="47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return a consistent, machine-readable error response with the correct HTTP status for invalid specifications, missing resources, validation failures, and internal analysis errors.</w:t>
            </w:r>
          </w:p>
        </w:tc>
        <w:tc>
          <w:tcPr>
            <w:tcW w:type="dxa" w:w="135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GlobalExceptionHandler (@RestControllerAdvice)</w:t>
            </w:r>
          </w:p>
        </w:tc>
      </w:tr>
    </w:tbl>
    <w:p>
      <w:r>
        <w:rPr>
          <w:rFonts w:ascii="Times New Roman" w:cs="Times New Roman" w:eastAsia="Times New Roman" w:hAnsi="Times New Roman"/>
          <w:sz w:val="24"/>
          <w:szCs w:val="24"/>
        </w:rPr>
        <w:t xml:space="preserve"/>
      </w:r>
    </w:p>
    <w:p>
      <w:pPr>
        <w:pStyle w:val="Heading3"/>
        <w:spacing w:after="160" w:before="240"/>
      </w:pPr>
      <w:r>
        <w:rPr>
          <w:rFonts w:ascii="Times New Roman" w:cs="Times New Roman" w:eastAsia="Times New Roman" w:hAnsi="Times New Roman"/>
          <w:b/>
          <w:bCs/>
          <w:sz w:val="28"/>
          <w:szCs w:val="28"/>
        </w:rPr>
        <w:t xml:space="preserve">3.1.2 Non-Functional Requirements</w:t>
      </w:r>
    </w:p>
    <w:p>
      <w:pPr>
        <w:spacing w:after="300" w:before="120"/>
        <w:jc w:val="center"/>
      </w:pPr>
      <w:r>
        <w:rPr>
          <w:rFonts w:ascii="Times New Roman" w:cs="Times New Roman" w:eastAsia="Times New Roman" w:hAnsi="Times New Roman"/>
          <w:b/>
          <w:bCs/>
          <w:i/>
          <w:iCs/>
          <w:sz w:val="22"/>
          <w:szCs w:val="22"/>
        </w:rPr>
        <w:t xml:space="preserve">Table 4: Non-Functional Requirements — Latency, Security, Scalability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4800"/>
      </w:tblGrid>
      <w:tr>
        <w:tc>
          <w:tcPr>
            <w:tcW w:type="dxa" w:w="15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Category</w:t>
            </w:r>
          </w:p>
        </w:tc>
        <w:tc>
          <w:tcPr>
            <w:tcW w:type="dxa" w:w="27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Requirement</w:t>
            </w:r>
          </w:p>
        </w:tc>
        <w:tc>
          <w:tcPr>
            <w:tcW w:type="dxa" w:w="48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Design Response</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Latency</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 structural comparison of a typical (&lt;200 endpoint) specification pair shall complete within an interactive request/response cycle (target: under 3 seconds, single-node, warm JVM).</w:t>
            </w:r>
          </w:p>
        </w:tc>
        <w:tc>
          <w:tcPr>
            <w:tcW w:type="dxa" w:w="4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SGM rules operate on in-memory parsed OpenAPI objects, not repeated I/O; per-rule work is O(endpoints); DB writes are batched inside one @Transactional method to avoid per-violation round-trip overhead.</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Security</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Datastore credentials and extraction source paths shall not be committed to version control in plaintext; the analyzer's own findings (e.g., committed secrets) shall be treated as CRITICAL by convention.</w:t>
            </w:r>
          </w:p>
        </w:tc>
        <w:tc>
          <w:tcPr>
            <w:tcW w:type="dxa" w:w="4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Target-state design externalizes spring.datasource.username/password and endpoint-extraction.source-root via environment variables/Spring profiles rather than literal values in application.properties (identified as an open remediation item — see Chapter 6 handling in Part II).</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Scalability</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rule/check engines shall support adding new analysis rules without modifying orchestration code, and the schema shall support growth in report volume without redesign.</w:t>
            </w:r>
          </w:p>
        </w:tc>
        <w:tc>
          <w:tcPr>
            <w:tcW w:type="dxa" w:w="4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Strategy-pattern DesignRule/SecurityCheck interfaces with Spring auto-wired List&lt;T&gt; injection; identity-keyed auto-increment primary keys and indexed foreign keys (report_id, old_spec_id/new_spec_id) on the violations/security_alerts tables support high report volumes.</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Reliability</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 single failing or malformed rule/check shall not abort an entire comparison.</w:t>
            </w:r>
          </w:p>
        </w:tc>
        <w:tc>
          <w:tcPr>
            <w:tcW w:type="dxa" w:w="4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Each DesignRule.evaluate() and SecurityCheck.evaluate() invocation is individually try/caught inside SGMService/SAMService's iteration loop.</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Auditability</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Every comparison result shall be retrievable after the fact without re-running the analysis.</w:t>
            </w:r>
          </w:p>
        </w:tc>
        <w:tc>
          <w:tcPr>
            <w:tcW w:type="dxa" w:w="4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AnalysisReport, Violation, and SecurityAlert rows are persisted transactionally and exposed via GET /api/analysis/reports and GET /api/analysis/reports/{id}.</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Portability</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service shall build and run with a single, standard toolchain without requiring manual dependency installation.</w:t>
            </w:r>
          </w:p>
        </w:tc>
        <w:tc>
          <w:tcPr>
            <w:tcW w:type="dxa" w:w="4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Maven Wrapper (mvnw/mvnw.cmd) checked into the repository; ddl-auto=update removes the need for a separate migration step on first run.</w:t>
            </w:r>
          </w:p>
        </w:tc>
      </w:tr>
    </w:tbl>
    <w:p>
      <w:r>
        <w:rPr>
          <w:rFonts w:ascii="Times New Roman" w:cs="Times New Roman" w:eastAsia="Times New Roman" w:hAnsi="Times New Roman"/>
          <w:sz w:val="24"/>
          <w:szCs w:val="24"/>
        </w:rPr>
        <w:t xml:space="preserve"/>
      </w:r>
    </w:p>
    <w:p>
      <w:pPr>
        <w:pStyle w:val="Heading3"/>
        <w:spacing w:after="160" w:before="240"/>
      </w:pPr>
      <w:r>
        <w:rPr>
          <w:rFonts w:ascii="Times New Roman" w:cs="Times New Roman" w:eastAsia="Times New Roman" w:hAnsi="Times New Roman"/>
          <w:b/>
          <w:bCs/>
          <w:sz w:val="28"/>
          <w:szCs w:val="28"/>
        </w:rPr>
        <w:t xml:space="preserve">3.1.3 Hardware Requirements</w:t>
      </w:r>
    </w:p>
    <w:p>
      <w:pPr>
        <w:spacing w:after="300" w:before="120"/>
        <w:jc w:val="center"/>
      </w:pPr>
      <w:r>
        <w:rPr>
          <w:rFonts w:ascii="Times New Roman" w:cs="Times New Roman" w:eastAsia="Times New Roman" w:hAnsi="Times New Roman"/>
          <w:b/>
          <w:bCs/>
          <w:i/>
          <w:iCs/>
          <w:sz w:val="22"/>
          <w:szCs w:val="22"/>
        </w:rPr>
        <w:t xml:space="preserve">Table 5: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Component</w:t>
            </w:r>
          </w:p>
        </w:tc>
        <w:tc>
          <w:tcPr>
            <w:tcW w:type="dxa" w:w="60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Minimum Specification</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Processor</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Dual-core x64, 2.0 GHz or equivalent (JIT-compiled JVM workload)</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RAM</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8 GB (4 GB minimum for the JVM heap running Spring Boot + PostgreSQL locally; 8 GB recommended for comfortable IDE + build + DB co-location during development)</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Storage</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 GB free (application JAR, Maven dependency cache, PostgreSQL data directory, cloned source trees for extraction/dependency-scan targets)</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Network</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Internet access for Maven dependency resolution and, where the Git-hook ingestion path is exercised, outbound HTTPS/SSH access to clone target repositories</w:t>
            </w:r>
          </w:p>
        </w:tc>
      </w:tr>
    </w:tbl>
    <w:p>
      <w:r>
        <w:rPr>
          <w:rFonts w:ascii="Times New Roman" w:cs="Times New Roman" w:eastAsia="Times New Roman" w:hAnsi="Times New Roman"/>
          <w:sz w:val="24"/>
          <w:szCs w:val="24"/>
        </w:rPr>
        <w:t xml:space="preserve"/>
      </w:r>
    </w:p>
    <w:p>
      <w:pPr>
        <w:pStyle w:val="Heading3"/>
        <w:spacing w:after="160" w:before="240"/>
      </w:pPr>
      <w:r>
        <w:rPr>
          <w:rFonts w:ascii="Times New Roman" w:cs="Times New Roman" w:eastAsia="Times New Roman" w:hAnsi="Times New Roman"/>
          <w:b/>
          <w:bCs/>
          <w:sz w:val="28"/>
          <w:szCs w:val="28"/>
        </w:rPr>
        <w:t xml:space="preserve">3.1.4 Software Requirements</w:t>
      </w:r>
    </w:p>
    <w:p>
      <w:pPr>
        <w:spacing w:after="300" w:before="120"/>
        <w:jc w:val="center"/>
      </w:pPr>
      <w:r>
        <w:rPr>
          <w:rFonts w:ascii="Times New Roman" w:cs="Times New Roman" w:eastAsia="Times New Roman" w:hAnsi="Times New Roman"/>
          <w:b/>
          <w:bCs/>
          <w:i/>
          <w:iCs/>
          <w:sz w:val="22"/>
          <w:szCs w:val="22"/>
        </w:rPr>
        <w:t xml:space="preserve">Table 6: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Component</w:t>
            </w:r>
          </w:p>
        </w:tc>
        <w:tc>
          <w:tcPr>
            <w:tcW w:type="dxa" w:w="60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Version / Notes</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Operating System</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Windows 10/11, Linux, or macOS (platform-independent JVM application)</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JDK</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Java 17 (LTS)</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Build Tool</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Apache Maven 3.9+ (via the bundled Maven Wrapper, ./mvnw / mvnw.cmd)</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Framework</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Spring Boot 4.1.0 (spring-boot-starter-web, -data-jpa, -validation)</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Database</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PostgreSQL 14+ (local or reachable instance; database api_analyzer)</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Key Libraries</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swagger-parser 2.1.22 (io.swagger.parser.v3), javaparser-core 3.26.3, Lombok, ModelMapper 3.1.1, springdoc-openapi-starter-webmvc-ui 2.8.5, org.eclipse.jgit (Git-hook prototype)</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Testing</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spring-boot-starter-test (JUnit 5, Mockito)</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IDE / Tooling</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IntelliJ IDEA / VS Code / Eclipse; Postman or curl for manual API exercise; pgAdmin (optional) for schema inspection</w:t>
            </w:r>
          </w:p>
        </w:tc>
      </w:tr>
    </w:tbl>
    <w:p>
      <w:r>
        <w:rPr>
          <w:rFonts w:ascii="Times New Roman" w:cs="Times New Roman" w:eastAsia="Times New Roman" w:hAnsi="Times New Roman"/>
          <w:sz w:val="24"/>
          <w:szCs w:val="24"/>
        </w:rPr>
        <w:t xml:space="preserve"/>
      </w:r>
    </w:p>
    <w:p>
      <w:pPr>
        <w:pStyle w:val="Heading2"/>
        <w:spacing w:after="200" w:before="360"/>
      </w:pPr>
      <w:r>
        <w:rPr>
          <w:rFonts w:ascii="Times New Roman" w:cs="Times New Roman" w:eastAsia="Times New Roman" w:hAnsi="Times New Roman"/>
          <w:b/>
          <w:bCs/>
          <w:sz w:val="32"/>
          <w:szCs w:val="32"/>
        </w:rPr>
        <w:t xml:space="preserve">3.2 Feasibility Study</w:t>
      </w:r>
    </w:p>
    <w:p>
      <w:pPr>
        <w:pStyle w:val="Heading3"/>
        <w:spacing w:after="160" w:before="240"/>
      </w:pPr>
      <w:r>
        <w:rPr>
          <w:rFonts w:ascii="Times New Roman" w:cs="Times New Roman" w:eastAsia="Times New Roman" w:hAnsi="Times New Roman"/>
          <w:b/>
          <w:bCs/>
          <w:sz w:val="28"/>
          <w:szCs w:val="28"/>
        </w:rPr>
        <w:t xml:space="preserve">3.2.1 Technical Feasibility</w:t>
      </w:r>
    </w:p>
    <w:p>
      <w:pPr>
        <w:spacing w:after="200" w:line="360"/>
        <w:jc w:val="both"/>
      </w:pPr>
      <w:r>
        <w:rPr>
          <w:rFonts w:ascii="Times New Roman" w:cs="Times New Roman" w:eastAsia="Times New Roman" w:hAnsi="Times New Roman"/>
          <w:b w:val="false"/>
          <w:bCs w:val="false"/>
          <w:i w:val="false"/>
          <w:iCs w:val="false"/>
          <w:sz w:val="24"/>
          <w:szCs w:val="24"/>
        </w:rPr>
        <w:t xml:space="preserve">All core technologies used — Spring Boot, Spring Data JPA, PostgreSQL, swagger-parser, and JavaParser — are mature, actively maintained, and well documented, and the team has direct working familiarity with the Java/Spring ecosystem from prior coursework. The riskiest technical component, static AST-based endpoint and dependency extraction, has already been validated as feasible: StaticEndpointExtractionService and DependencyScannerService are both working, buildable implementations at the time of this report, not merely design sketches, confirming that JavaParser can reliably locate Spring MVC mapping annotations and common HTTP-client call idioms (Feign, RestTemplate, WebClient) without executing the target code. The project is therefore judged technically feasible within the team's existing skill set and toolchain.</w:t>
      </w:r>
    </w:p>
    <w:p>
      <w:pPr>
        <w:pStyle w:val="Heading3"/>
        <w:spacing w:after="160" w:before="240"/>
      </w:pPr>
      <w:r>
        <w:rPr>
          <w:rFonts w:ascii="Times New Roman" w:cs="Times New Roman" w:eastAsia="Times New Roman" w:hAnsi="Times New Roman"/>
          <w:b/>
          <w:bCs/>
          <w:sz w:val="28"/>
          <w:szCs w:val="28"/>
        </w:rPr>
        <w:t xml:space="preserve">3.2.2 Operational Feasibility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designed to be operated as a standard Spring Boot service, deployable to any environment that can run a JVM 17 process and reach a PostgreSQL instance — no specialized infrastructure, container orchestration, or proprietary platform dependency is required. The REST-first design (with a generated Swagger UI for manual exercise) means the system can be adopted incrementally: a team can begin by manually uploading specification pairs through the existing endpoints, then progressively enable static extraction and dependency scanning as source-tree access is configured, without any workflow disruption. This staged-adoption model directly addresses the operational adoption barrier identified against Pact-style contract testing in Chapter 2 (Table 1), where every consumer must instrument code before any signal is available.</w:t>
      </w:r>
    </w:p>
    <w:p>
      <w:pPr>
        <w:pStyle w:val="Heading3"/>
        <w:spacing w:after="160" w:before="240"/>
      </w:pPr>
      <w:r>
        <w:rPr>
          <w:rFonts w:ascii="Times New Roman" w:cs="Times New Roman" w:eastAsia="Times New Roman" w:hAnsi="Times New Roman"/>
          <w:b/>
          <w:bCs/>
          <w:sz w:val="28"/>
          <w:szCs w:val="28"/>
        </w:rPr>
        <w:t xml:space="preserve">3.2.3 Economic Feasibility</w:t>
      </w:r>
    </w:p>
    <w:p>
      <w:pPr>
        <w:spacing w:after="200" w:line="360"/>
        <w:jc w:val="both"/>
      </w:pPr>
      <w:r>
        <w:rPr>
          <w:rFonts w:ascii="Times New Roman" w:cs="Times New Roman" w:eastAsia="Times New Roman" w:hAnsi="Times New Roman"/>
          <w:b w:val="false"/>
          <w:bCs w:val="false"/>
          <w:i w:val="false"/>
          <w:iCs w:val="false"/>
          <w:sz w:val="24"/>
          <w:szCs w:val="24"/>
        </w:rPr>
        <w:t xml:space="preserve">Every dependency used in this project — Spring Boot, PostgreSQL, swagger-parser, JavaParser, Lombok, ModelMapper, springdoc-openapi, and JGit — is open-source and free of licensing cost. Development and testing require only commodity development hardware (see Table 5) and no paid third-party API or cloud service is called by the system at runtime, so the marginal cost of operating an instance of API-CIA is limited to standard compute/hosting cost for a small Java service and a PostgreSQL database, both of which run comfortably within free or low-cost cloud tiers for demonstration and evaluation purposes. The project is therefore economically feasible at academic-project scale, and remains cost-competitive against commercial API-governance/gateway suites at production scale.</w:t>
      </w:r>
    </w:p>
    <w:p>
      <w:pPr>
        <w:pStyle w:val="Heading2"/>
        <w:spacing w:after="200" w:before="360"/>
      </w:pPr>
      <w:r>
        <w:rPr>
          <w:rFonts w:ascii="Times New Roman" w:cs="Times New Roman" w:eastAsia="Times New Roman" w:hAnsi="Times New Roman"/>
          <w:b/>
          <w:bCs/>
          <w:sz w:val="32"/>
          <w:szCs w:val="32"/>
        </w:rPr>
        <w:t xml:space="preserve">3.3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The project follows an Incremental / Agile-inspired Software Development Life Cycle (SDLC), structured around independently deliverable analysis pillars rather than a single monolithic build-then-test waterfall pass. This choice was driven directly by the shape of the problem: SGM, SAM, and SPM are functionally independent (each consumes the same parsed OpenAPI pair and produces an independent score), which makes them natural, separable increments that can be designed, built, and unit-tested in parallel without blocking on one another's completion.</w:t>
      </w:r>
    </w:p>
    <w:p>
      <w:pPr>
        <w:spacing w:after="200" w:line="360"/>
        <w:jc w:val="both"/>
      </w:pPr>
      <w:r>
        <w:rPr>
          <w:rFonts w:ascii="Times New Roman" w:cs="Times New Roman" w:eastAsia="Times New Roman" w:hAnsi="Times New Roman"/>
          <w:b w:val="false"/>
          <w:bCs w:val="false"/>
          <w:i w:val="false"/>
          <w:iCs w:val="false"/>
          <w:sz w:val="24"/>
          <w:szCs w:val="24"/>
        </w:rPr>
        <w:t xml:space="preserve">Concretely, the team organized work into short, feature-scoped increments, each carried on its own working branch and merged after independent verification — for example, the structural rule engine (SGM) and static extraction pipeline were stabilized as one increment; the static dependency scanner and blast-radius data model as a second; and the security-check engine (SAM), usage-graph diff engine (SPM), and their wiring into a single three-signal composite score as a third. Each increment was independently buildable and independently testable (see the unit-test suites for VersionComparator, AnalysisService, ImpactScoringService, DependencyScannerService, and SecurityViolationRule), which is the defining characteristic of an incremental model over a strict waterfall approach. This also matches the project's realistic constraint of a fixed academic timeline with periodic evaluation checkpoints (see the Gantt chart, Section 3.5): each increment produces a demonstrable, working subset of the system rather than requiring the entire three-pillar design to be complete before anything can be evaluated.</w:t>
      </w:r>
    </w:p>
    <w:p>
      <w:pPr>
        <w:spacing w:after="200" w:line="360"/>
        <w:jc w:val="both"/>
      </w:pPr>
      <w:r>
        <w:rPr>
          <w:rFonts w:ascii="Times New Roman" w:cs="Times New Roman" w:eastAsia="Times New Roman" w:hAnsi="Times New Roman"/>
          <w:b w:val="false"/>
          <w:bCs w:val="false"/>
          <w:i w:val="false"/>
          <w:iCs w:val="false"/>
          <w:sz w:val="24"/>
          <w:szCs w:val="24"/>
        </w:rPr>
        <w:t xml:space="preserve">Requirements for each increment were captured up front (Section 3.1), followed by design (entity/DTO modeling, rule/check interface definition), implementation, and unit testing, with the orchestrating AnalysisService.compare() method acting as the stable integration point that every increment plugs into without altering its public contract for the increments implemented before it — directly reflecting the Open/Closed design principle applied at the module-integration level.</w:t>
      </w:r>
    </w:p>
    <w:p>
      <w:pPr>
        <w:pStyle w:val="Heading2"/>
        <w:spacing w:after="200" w:before="360"/>
      </w:pPr>
      <w:r>
        <w:rPr>
          <w:rFonts w:ascii="Times New Roman" w:cs="Times New Roman" w:eastAsia="Times New Roman" w:hAnsi="Times New Roman"/>
          <w:b/>
          <w:bCs/>
          <w:sz w:val="32"/>
          <w:szCs w:val="32"/>
        </w:rPr>
        <w:t xml:space="preserve">3.4 Technology Stack</w:t>
      </w:r>
    </w:p>
    <w:p>
      <w:pPr>
        <w:spacing w:after="200" w:line="360"/>
        <w:jc w:val="both"/>
      </w:pPr>
      <w:r>
        <w:rPr>
          <w:rFonts w:ascii="Times New Roman" w:cs="Times New Roman" w:eastAsia="Times New Roman" w:hAnsi="Times New Roman"/>
          <w:b w:val="false"/>
          <w:bCs w:val="false"/>
          <w:i w:val="false"/>
          <w:iCs w:val="false"/>
          <w:sz w:val="24"/>
          <w:szCs w:val="24"/>
        </w:rPr>
        <w:t xml:space="preserve">The technology stack is organized layer-by-layer below, with the specific version and the concrete technical justification for each choice, grounded in how the component is actually used in the codebase rather than a generic recommendation.</w:t>
      </w:r>
    </w:p>
    <w:p>
      <w:pPr>
        <w:spacing w:after="300" w:before="120"/>
        <w:jc w:val="center"/>
      </w:pPr>
      <w:r>
        <w:rPr>
          <w:rFonts w:ascii="Times New Roman" w:cs="Times New Roman" w:eastAsia="Times New Roman" w:hAnsi="Times New Roman"/>
          <w:b/>
          <w:bCs/>
          <w:i/>
          <w:iCs/>
          <w:sz w:val="22"/>
          <w:szCs w:val="22"/>
        </w:rPr>
        <w:t xml:space="preserve">Table 7: Technology Stack — Layer-by-Layer Breakdown with Justification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900"/>
      </w:tblGrid>
      <w:tr>
        <w:tc>
          <w:tcPr>
            <w:tcW w:type="dxa" w:w="15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Layer</w:t>
            </w:r>
          </w:p>
        </w:tc>
        <w:tc>
          <w:tcPr>
            <w:tcW w:type="dxa" w:w="26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Technology</w:t>
            </w:r>
          </w:p>
        </w:tc>
        <w:tc>
          <w:tcPr>
            <w:tcW w:type="dxa" w:w="49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Justification</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API Surface</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Spring MVC REST controllers + springdoc-openapi-starter-webmvc-ui 2.8.5 (Swagger UI)</w:t>
            </w:r>
          </w:p>
        </w:tc>
        <w:tc>
          <w:tcPr>
            <w:tcW w:type="dxa" w:w="4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Spring MVC is the de-facto standard for building REST APIs in the Java ecosystem, has first-class Spring Boot auto-configuration, and springdoc gives the project a self-documenting interface for manual and CI-driven use without hand-writing a separate API specification for the analyzer's own endpoints.</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Application / Backend</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Java 17 (LTS), Spring Boot 4.1.0 (spring-boot-starter-web, -data-jpa, -validation)</w:t>
            </w:r>
          </w:p>
        </w:tc>
        <w:tc>
          <w:tcPr>
            <w:tcW w:type="dxa" w:w="4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Java 17 is the current LTS release with strong tooling support; Spring Boot's dependency-injection container is exactly what the strategy-pattern rule/check engines (DesignRule, SecurityCheck) rely on for auto-collection via List&lt;T&gt; constructor injection — no custom plugin/registry mechanism had to be built.</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Static Analysis</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javaparser-core 3.26.3, io.swagger.parser.v3:swagger-parser 2.1.22</w:t>
            </w:r>
          </w:p>
        </w:tc>
        <w:tc>
          <w:tcPr>
            <w:tcW w:type="dxa" w:w="4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JavaParser provides a full Java AST with annotation, method-call, and expression traversal APIs needed for both provider-side endpoint extraction and consumer-side dependency scanning, without requiring the scanned project to compile. swagger-parser is the reference implementation for parsing and validating OpenAPI 3.x documents into a strongly-typed object model that every analysis pillar operates on.</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Persistence</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Spring Data JPA (Hibernate) over PostgreSQL</w:t>
            </w:r>
          </w:p>
        </w:tc>
        <w:tc>
          <w:tcPr>
            <w:tcW w:type="dxa" w:w="4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Spring Data JPA removes hand-written SQL/DAO boilerplate for a straightforward relational schema (specifications, reports, violations, alerts, dependencies) with clear foreign-key relationships; PostgreSQL is a free, standards-compliant RDBMS with mature JSON/TEXT column support for storing raw specification content.</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Object Mapping</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Lombok (managed), ModelMapper 3.1.1</w:t>
            </w:r>
          </w:p>
        </w:tc>
        <w:tc>
          <w:tcPr>
            <w:tcW w:type="dxa" w:w="4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Lombok removes entity/DTO boilerplate (@Data/@Builder) across the three-way model split (entity/dto/extraction), keeping each class focused on its fields; ModelMapper is declared for entity↔DTO conversion where a direct builder mapping is not already hand-written.</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Source Control Integration</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org.eclipse.jgit (prototype)</w:t>
            </w:r>
          </w:p>
        </w:tc>
        <w:tc>
          <w:tcPr>
            <w:tcW w:type="dxa" w:w="4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JGit is a pure-Java Git implementation that lets the Git-hook ingestion prototype (RepositoryCloner) clone a target repository without shelling out to a native git binary, keeping the service's runtime dependency surface self-contained to the JVM.</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Build Tool</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Apache Maven (via Maven Wrapper, ./mvnw)</w:t>
            </w:r>
          </w:p>
        </w:tc>
        <w:tc>
          <w:tcPr>
            <w:tcW w:type="dxa" w:w="4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Maven is the standard build tool for the Spring Boot ecosystem, with the Maven Wrapper committed to the repository so the project builds identically on every contributor's machine without a separately installed Maven version.</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Testing</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spring-boot-starter-test (JUnit 5, Mockito)</w:t>
            </w:r>
          </w:p>
        </w:tc>
        <w:tc>
          <w:tcPr>
            <w:tcW w:type="dxa" w:w="4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standard Spring Boot test starter gives unit and slice-testing support out of the box, used for the VersionComparator, AnalysisService, ImpactScoringService, DependencyScannerService, and SecurityViolationRule test suites.</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Frontend</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Not yet implemented — out of scope for Part I (see Section 1.4.2)</w:t>
            </w:r>
          </w:p>
        </w:tc>
        <w:tc>
          <w:tcPr>
            <w:tcW w:type="dxa" w:w="4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current interaction surface is the REST API and its generated Swagger UI; a dedicated dashboard front-end is scoped as future work (Chapter 6, Part II) once the three-pillar backend is fully wired.</w:t>
            </w:r>
          </w:p>
        </w:tc>
      </w:tr>
    </w:tbl>
    <w:p>
      <w:r>
        <w:rPr>
          <w:rFonts w:ascii="Times New Roman" w:cs="Times New Roman" w:eastAsia="Times New Roman" w:hAnsi="Times New Roman"/>
          <w:sz w:val="24"/>
          <w:szCs w:val="24"/>
        </w:rPr>
        <w:t xml:space="preserve"/>
      </w:r>
    </w:p>
    <w:p>
      <w:pPr>
        <w:pStyle w:val="Heading2"/>
        <w:spacing w:after="200" w:before="360"/>
      </w:pPr>
      <w:r>
        <w:rPr>
          <w:rFonts w:ascii="Times New Roman" w:cs="Times New Roman" w:eastAsia="Times New Roman" w:hAnsi="Times New Roman"/>
          <w:b/>
          <w:bCs/>
          <w:sz w:val="32"/>
          <w:szCs w:val="32"/>
        </w:rPr>
        <w:t xml:space="preserve">3.5 Gantt Chart and Process Model</w:t>
      </w:r>
    </w:p>
    <w:p>
      <w:pPr>
        <w:spacing w:after="200" w:line="360"/>
        <w:jc w:val="both"/>
      </w:pPr>
      <w:r>
        <w:rPr>
          <w:rFonts w:ascii="Times New Roman" w:cs="Times New Roman" w:eastAsia="Times New Roman" w:hAnsi="Times New Roman"/>
          <w:b w:val="false"/>
          <w:bCs w:val="false"/>
          <w:i w:val="false"/>
          <w:iCs w:val="false"/>
          <w:sz w:val="24"/>
          <w:szCs w:val="24"/>
        </w:rPr>
        <w:t xml:space="preserve">The 16-week Project-I schedule below reflects the incremental process model described in Section 3.3: the structural pillar (SGM) was carried through design, implementation, and unit testing to completion as the foundational, fully-verified increment (Weeks 4–9), the static extraction and dependency-scanning increments followed once the core comparison pipeline was stable (Weeks 9–13), and the SAM/SPM prototype increments were developed in parallel toward the end of the reporting period (Weeks 12–14), consistent with their “in active development” status stated in Section 1.4.2 and Section 1.5.</w:t>
      </w:r>
    </w:p>
    <w:p>
      <w:pPr>
        <w:spacing w:after="300" w:before="120"/>
        <w:jc w:val="center"/>
      </w:pPr>
      <w:r>
        <w:rPr>
          <w:rFonts w:ascii="Times New Roman" w:cs="Times New Roman" w:eastAsia="Times New Roman" w:hAnsi="Times New Roman"/>
          <w:b/>
          <w:bCs/>
          <w:i/>
          <w:iCs/>
          <w:sz w:val="22"/>
          <w:szCs w:val="22"/>
        </w:rPr>
        <w:t xml:space="preserve">Table 10: Gantt Chart — Task Schedule (Weeks 1–16)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200"/>
        <w:gridCol w:w="3700"/>
      </w:tblGrid>
      <w:tr>
        <w:tc>
          <w:tcPr>
            <w:tcW w:type="dxa" w:w="29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Task</w:t>
            </w:r>
          </w:p>
        </w:tc>
        <w:tc>
          <w:tcPr>
            <w:tcW w:type="dxa" w:w="12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Start Week</w:t>
            </w:r>
          </w:p>
        </w:tc>
        <w:tc>
          <w:tcPr>
            <w:tcW w:type="dxa" w:w="12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End Week</w:t>
            </w:r>
          </w:p>
        </w:tc>
        <w:tc>
          <w:tcPr>
            <w:tcW w:type="dxa" w:w="37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Deliverable</w:t>
            </w:r>
          </w:p>
        </w:tc>
      </w:tr>
      <w:t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Problem definition, literature survey</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3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Chapters 1–2 draft (this report)</w:t>
            </w:r>
          </w:p>
        </w:tc>
      </w:tr>
      <w:t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Requirement gathering &amp; analysis</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3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Functional/Non-functional requirement tables</w:t>
            </w:r>
          </w:p>
        </w:tc>
      </w:tr>
      <w:t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System design — ER model, layered architecture</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3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Entity schema, package layout</w:t>
            </w:r>
          </w:p>
        </w:tc>
      </w:tr>
      <w:t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Core setup: Spring Boot skeleton, entities, repositories</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3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ApiciaApplication, model/, repository/</w:t>
            </w:r>
          </w:p>
        </w:tc>
      </w:tr>
      <w:t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Spec ingestion: SpecController + manual upload</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3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POST /api/specs/upload working end-to-end</w:t>
            </w:r>
          </w:p>
        </w:tc>
      </w:tr>
      <w:t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SGM rule engine (8 DesignRule implementations)</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3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SGMService + rules/, unit tests</w:t>
            </w:r>
          </w:p>
        </w:tc>
      </w:tr>
      <w:t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Impact scoring engine</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3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ImpactScoringService + test suite</w:t>
            </w:r>
          </w:p>
        </w:tc>
      </w:tr>
      <w:t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Static extraction pipeline (JavaParser)</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3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StaticEndpointExtractionService, ExtractionController</w:t>
            </w:r>
          </w:p>
        </w:tc>
      </w:tr>
      <w:t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Dependency scanner &amp; blast-radius data model</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13</w:t>
            </w:r>
          </w:p>
        </w:tc>
        <w:tc>
          <w:tcPr>
            <w:tcW w:type="dxa" w:w="3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DependencyScannerService, ClientProject/ClientDependency</w:t>
            </w:r>
          </w:p>
        </w:tc>
      </w:tr>
      <w:t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SAM security-check engine (prototype)</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3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SAMService + 3 SecurityCheck implementations</w:t>
            </w:r>
          </w:p>
        </w:tc>
      </w:tr>
      <w:t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SPM usage-graph diff engine (prototype)</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3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SPMService, ApiUsageGraph, GraphDiffEngine</w:t>
            </w:r>
          </w:p>
        </w:tc>
      </w:tr>
      <w:t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Report compilation &amp; Part I documentation</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16</w:t>
            </w:r>
          </w:p>
        </w:tc>
        <w:tc>
          <w:tcPr>
            <w:tcW w:type="dxa" w:w="3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Project Report Part I (this document)</w:t>
            </w:r>
          </w:p>
        </w:tc>
      </w:tr>
    </w:tbl>
    <w:p>
      <w:r>
        <w:rPr>
          <w:rFonts w:ascii="Times New Roman" w:cs="Times New Roman" w:eastAsia="Times New Roman" w:hAnsi="Times New Roman"/>
          <w:sz w:val="24"/>
          <w:szCs w:val="24"/>
        </w:rPr>
        <w:t xml:space="preserve"/>
      </w:r>
    </w:p>
    <w:p>
      <w:pPr>
        <w:pStyle w:val="Heading2"/>
        <w:spacing w:after="200" w:before="360"/>
      </w:pPr>
      <w:r>
        <w:rPr>
          <w:rFonts w:ascii="Times New Roman" w:cs="Times New Roman" w:eastAsia="Times New Roman" w:hAnsi="Times New Roman"/>
          <w:b/>
          <w:bCs/>
          <w:sz w:val="32"/>
          <w:szCs w:val="32"/>
        </w:rPr>
        <w:t xml:space="preserve">3.6 System Analysis (Functional, Structural, and Behavioral Models)</w:t>
      </w:r>
    </w:p>
    <w:p>
      <w:pPr>
        <w:spacing w:after="200" w:line="360"/>
        <w:jc w:val="both"/>
      </w:pPr>
      <w:r>
        <w:rPr>
          <w:rFonts w:ascii="Times New Roman" w:cs="Times New Roman" w:eastAsia="Times New Roman" w:hAnsi="Times New Roman"/>
          <w:b w:val="false"/>
          <w:bCs w:val="false"/>
          <w:i w:val="false"/>
          <w:iCs w:val="false"/>
          <w:sz w:val="24"/>
          <w:szCs w:val="24"/>
        </w:rPr>
        <w:t xml:space="preserve">This section models the core comparison workflow from three complementary perspectives — functional (who interacts with the system and why), behavioral-procedural (the control flow of a single comparison from start to end), and behavioral-temporal (the exact object-to-object message sequence for the system's primary use case). All three diagrams are expressed in Mermaid.js syntax for direct rendering in any Mermaid-compatible viewer (GitHub, GitLab, Mermaid Live Editor, or the Mermaid VS Code extension) and are traced directly against the class and endpoint names used elsewhere in this report.</w:t>
      </w:r>
    </w:p>
    <w:p>
      <w:pPr>
        <w:pStyle w:val="Heading3"/>
        <w:spacing w:after="160" w:before="240"/>
      </w:pPr>
      <w:r>
        <w:rPr>
          <w:rFonts w:ascii="Times New Roman" w:cs="Times New Roman" w:eastAsia="Times New Roman" w:hAnsi="Times New Roman"/>
          <w:b/>
          <w:bCs/>
          <w:sz w:val="28"/>
          <w:szCs w:val="28"/>
        </w:rPr>
        <w:t xml:space="preserve">3.6.1 Use Case Diagram</w:t>
      </w:r>
    </w:p>
    <w:p>
      <w:pPr>
        <w:spacing w:after="200" w:line="360"/>
        <w:jc w:val="both"/>
      </w:pPr>
      <w:r>
        <w:rPr>
          <w:rFonts w:ascii="Times New Roman" w:cs="Times New Roman" w:eastAsia="Times New Roman" w:hAnsi="Times New Roman"/>
          <w:b w:val="false"/>
          <w:bCs w:val="false"/>
          <w:i w:val="false"/>
          <w:iCs w:val="false"/>
          <w:sz w:val="24"/>
          <w:szCs w:val="24"/>
        </w:rPr>
        <w:t xml:space="preserve">Figure 9 identifies four actor classes and nine use cases. The API Provider/Developer is the primary actor for specification management (upload, extraction, comparison, report viewing); the Consumer Team Reviewer is the primary actor for dependency registration/scanning and report consumption; a CI/CD Pipeline acts as an automated actor triggering comparisons and (in the prototype Git-hook path) webhook-driven analysis; and a Platform/Governance Admin configures the composite risk-scoring weights and reviews the historical report log across the organization. «include» and «extend» relationships capture that a comparison always requires a resolved specification pair (whether by upload or extraction), and that a dependency scan is an optional extension of the core comparison flow, not a precondition for it.</w:t>
      </w:r>
    </w:p>
    <w:p>
      <w:pPr>
        <w:spacing w:after="300" w:before="120"/>
        <w:jc w:val="center"/>
      </w:pPr>
      <w:r>
        <w:rPr>
          <w:rFonts w:ascii="Times New Roman" w:cs="Times New Roman" w:eastAsia="Times New Roman" w:hAnsi="Times New Roman"/>
          <w:b/>
          <w:bCs/>
          <w:i/>
          <w:iCs/>
          <w:sz w:val="22"/>
          <w:szCs w:val="22"/>
        </w:rPr>
        <w:t xml:space="preserve">Figure 9: Use Case Diagram — API-CIA Core Actors and Use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08080" w:sz="4"/>
              <w:left w:val="single" w:color="808080" w:sz="4"/>
              <w:bottom w:val="single" w:color="808080" w:sz="4"/>
              <w:right w:val="single" w:color="808080" w:sz="4"/>
            </w:tcBorders>
            <w:shd w:fill="F2F2F2"/>
            <w:tcMar>
              <w:top w:type="dxa" w:w="160"/>
              <w:left w:type="dxa" w:w="200"/>
              <w:bottom w:type="dxa" w:w="160"/>
              <w:right w:type="dxa" w:w="200"/>
            </w:tcMar>
          </w:tcPr>
          <w:p>
            <w:pPr>
              <w:spacing w:after="20"/>
            </w:pPr>
            <w:r>
              <w:rPr>
                <w:rFonts w:ascii="Consolas" w:cs="Consolas" w:eastAsia="Consolas" w:hAnsi="Consolas"/>
                <w:sz w:val="18"/>
                <w:szCs w:val="18"/>
              </w:rPr>
              <w:t xml:space="preserve">flowchart TB</w:t>
            </w:r>
          </w:p>
          <w:p>
            <w:pPr>
              <w:spacing w:after="20"/>
            </w:pPr>
            <w:r>
              <w:rPr>
                <w:rFonts w:ascii="Consolas" w:cs="Consolas" w:eastAsia="Consolas" w:hAnsi="Consolas"/>
                <w:sz w:val="18"/>
                <w:szCs w:val="18"/>
              </w:rPr>
              <w:t xml:space="preserve">    actor1([API Provider / Developer])</w:t>
            </w:r>
          </w:p>
          <w:p>
            <w:pPr>
              <w:spacing w:after="20"/>
            </w:pPr>
            <w:r>
              <w:rPr>
                <w:rFonts w:ascii="Consolas" w:cs="Consolas" w:eastAsia="Consolas" w:hAnsi="Consolas"/>
                <w:sz w:val="18"/>
                <w:szCs w:val="18"/>
              </w:rPr>
              <w:t xml:space="preserve">    actor2([Consumer Team Reviewer])</w:t>
            </w:r>
          </w:p>
          <w:p>
            <w:pPr>
              <w:spacing w:after="20"/>
            </w:pPr>
            <w:r>
              <w:rPr>
                <w:rFonts w:ascii="Consolas" w:cs="Consolas" w:eastAsia="Consolas" w:hAnsi="Consolas"/>
                <w:sz w:val="18"/>
                <w:szCs w:val="18"/>
              </w:rPr>
              <w:t xml:space="preserve">    actor3([CI/CD Pipeline])</w:t>
            </w:r>
          </w:p>
          <w:p>
            <w:pPr>
              <w:spacing w:after="20"/>
            </w:pPr>
            <w:r>
              <w:rPr>
                <w:rFonts w:ascii="Consolas" w:cs="Consolas" w:eastAsia="Consolas" w:hAnsi="Consolas"/>
                <w:sz w:val="18"/>
                <w:szCs w:val="18"/>
              </w:rPr>
              <w:t xml:space="preserve">    actor4([Platform / Governance Admin])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subgraph API-CIA System Boundary</w:t>
            </w:r>
          </w:p>
          <w:p>
            <w:pPr>
              <w:spacing w:after="20"/>
            </w:pPr>
            <w:r>
              <w:rPr>
                <w:rFonts w:ascii="Consolas" w:cs="Consolas" w:eastAsia="Consolas" w:hAnsi="Consolas"/>
                <w:sz w:val="18"/>
                <w:szCs w:val="18"/>
              </w:rPr>
              <w:t xml:space="preserve">        UC1((Upload Specification Version))</w:t>
            </w:r>
          </w:p>
          <w:p>
            <w:pPr>
              <w:spacing w:after="20"/>
            </w:pPr>
            <w:r>
              <w:rPr>
                <w:rFonts w:ascii="Consolas" w:cs="Consolas" w:eastAsia="Consolas" w:hAnsi="Consolas"/>
                <w:sz w:val="18"/>
                <w:szCs w:val="18"/>
              </w:rPr>
              <w:t xml:space="preserve">        UC2((Trigger Static Extraction))</w:t>
            </w:r>
          </w:p>
          <w:p>
            <w:pPr>
              <w:spacing w:after="20"/>
            </w:pPr>
            <w:r>
              <w:rPr>
                <w:rFonts w:ascii="Consolas" w:cs="Consolas" w:eastAsia="Consolas" w:hAnsi="Consolas"/>
                <w:sz w:val="18"/>
                <w:szCs w:val="18"/>
              </w:rPr>
              <w:t xml:space="preserve">        UC3((Compare Two Spec Versions))</w:t>
            </w:r>
          </w:p>
          <w:p>
            <w:pPr>
              <w:spacing w:after="20"/>
            </w:pPr>
            <w:r>
              <w:rPr>
                <w:rFonts w:ascii="Consolas" w:cs="Consolas" w:eastAsia="Consolas" w:hAnsi="Consolas"/>
                <w:sz w:val="18"/>
                <w:szCs w:val="18"/>
              </w:rPr>
              <w:t xml:space="preserve">        UC4((View Analysis Report))</w:t>
            </w:r>
          </w:p>
          <w:p>
            <w:pPr>
              <w:spacing w:after="20"/>
            </w:pPr>
            <w:r>
              <w:rPr>
                <w:rFonts w:ascii="Consolas" w:cs="Consolas" w:eastAsia="Consolas" w:hAnsi="Consolas"/>
                <w:sz w:val="18"/>
                <w:szCs w:val="18"/>
              </w:rPr>
              <w:t xml:space="preserve">        UC5((List Past Reports))</w:t>
            </w:r>
          </w:p>
          <w:p>
            <w:pPr>
              <w:spacing w:after="20"/>
            </w:pPr>
            <w:r>
              <w:rPr>
                <w:rFonts w:ascii="Consolas" w:cs="Consolas" w:eastAsia="Consolas" w:hAnsi="Consolas"/>
                <w:sz w:val="18"/>
                <w:szCs w:val="18"/>
              </w:rPr>
              <w:t xml:space="preserve">        UC6((Register Consumer Project))</w:t>
            </w:r>
          </w:p>
          <w:p>
            <w:pPr>
              <w:spacing w:after="20"/>
            </w:pPr>
            <w:r>
              <w:rPr>
                <w:rFonts w:ascii="Consolas" w:cs="Consolas" w:eastAsia="Consolas" w:hAnsi="Consolas"/>
                <w:sz w:val="18"/>
                <w:szCs w:val="18"/>
              </w:rPr>
              <w:t xml:space="preserve">        UC7((Scan Consumer Dependencies))</w:t>
            </w:r>
          </w:p>
          <w:p>
            <w:pPr>
              <w:spacing w:after="20"/>
            </w:pPr>
            <w:r>
              <w:rPr>
                <w:rFonts w:ascii="Consolas" w:cs="Consolas" w:eastAsia="Consolas" w:hAnsi="Consolas"/>
                <w:sz w:val="18"/>
                <w:szCs w:val="18"/>
              </w:rPr>
              <w:t xml:space="preserve">        UC8((Configure Risk Weights))</w:t>
            </w:r>
          </w:p>
          <w:p>
            <w:pPr>
              <w:spacing w:after="20"/>
            </w:pPr>
            <w:r>
              <w:rPr>
                <w:rFonts w:ascii="Consolas" w:cs="Consolas" w:eastAsia="Consolas" w:hAnsi="Consolas"/>
                <w:sz w:val="18"/>
                <w:szCs w:val="18"/>
              </w:rPr>
              <w:t xml:space="preserve">        UC9((Trigger via Git Webhook))</w:t>
            </w:r>
          </w:p>
          <w:p>
            <w:pPr>
              <w:spacing w:after="20"/>
            </w:pPr>
            <w:r>
              <w:rPr>
                <w:rFonts w:ascii="Consolas" w:cs="Consolas" w:eastAsia="Consolas" w:hAnsi="Consolas"/>
                <w:sz w:val="18"/>
                <w:szCs w:val="18"/>
              </w:rPr>
              <w:t xml:space="preserve">    end</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actor1 --&gt; UC1</w:t>
            </w:r>
          </w:p>
          <w:p>
            <w:pPr>
              <w:spacing w:after="20"/>
            </w:pPr>
            <w:r>
              <w:rPr>
                <w:rFonts w:ascii="Consolas" w:cs="Consolas" w:eastAsia="Consolas" w:hAnsi="Consolas"/>
                <w:sz w:val="18"/>
                <w:szCs w:val="18"/>
              </w:rPr>
              <w:t xml:space="preserve">    actor1 --&gt; UC2</w:t>
            </w:r>
          </w:p>
          <w:p>
            <w:pPr>
              <w:spacing w:after="20"/>
            </w:pPr>
            <w:r>
              <w:rPr>
                <w:rFonts w:ascii="Consolas" w:cs="Consolas" w:eastAsia="Consolas" w:hAnsi="Consolas"/>
                <w:sz w:val="18"/>
                <w:szCs w:val="18"/>
              </w:rPr>
              <w:t xml:space="preserve">    actor1 --&gt; UC3</w:t>
            </w:r>
          </w:p>
          <w:p>
            <w:pPr>
              <w:spacing w:after="20"/>
            </w:pPr>
            <w:r>
              <w:rPr>
                <w:rFonts w:ascii="Consolas" w:cs="Consolas" w:eastAsia="Consolas" w:hAnsi="Consolas"/>
                <w:sz w:val="18"/>
                <w:szCs w:val="18"/>
              </w:rPr>
              <w:t xml:space="preserve">    actor1 --&gt; UC4</w:t>
            </w:r>
          </w:p>
          <w:p>
            <w:pPr>
              <w:spacing w:after="20"/>
            </w:pPr>
            <w:r>
              <w:rPr>
                <w:rFonts w:ascii="Consolas" w:cs="Consolas" w:eastAsia="Consolas" w:hAnsi="Consolas"/>
                <w:sz w:val="18"/>
                <w:szCs w:val="18"/>
              </w:rPr>
              <w:t xml:space="preserve">    actor2 --&gt; UC4</w:t>
            </w:r>
          </w:p>
          <w:p>
            <w:pPr>
              <w:spacing w:after="20"/>
            </w:pPr>
            <w:r>
              <w:rPr>
                <w:rFonts w:ascii="Consolas" w:cs="Consolas" w:eastAsia="Consolas" w:hAnsi="Consolas"/>
                <w:sz w:val="18"/>
                <w:szCs w:val="18"/>
              </w:rPr>
              <w:t xml:space="preserve">    actor2 --&gt; UC5</w:t>
            </w:r>
          </w:p>
          <w:p>
            <w:pPr>
              <w:spacing w:after="20"/>
            </w:pPr>
            <w:r>
              <w:rPr>
                <w:rFonts w:ascii="Consolas" w:cs="Consolas" w:eastAsia="Consolas" w:hAnsi="Consolas"/>
                <w:sz w:val="18"/>
                <w:szCs w:val="18"/>
              </w:rPr>
              <w:t xml:space="preserve">    actor2 --&gt; UC6</w:t>
            </w:r>
          </w:p>
          <w:p>
            <w:pPr>
              <w:spacing w:after="20"/>
            </w:pPr>
            <w:r>
              <w:rPr>
                <w:rFonts w:ascii="Consolas" w:cs="Consolas" w:eastAsia="Consolas" w:hAnsi="Consolas"/>
                <w:sz w:val="18"/>
                <w:szCs w:val="18"/>
              </w:rPr>
              <w:t xml:space="preserve">    actor3 --&gt; UC3</w:t>
            </w:r>
          </w:p>
          <w:p>
            <w:pPr>
              <w:spacing w:after="20"/>
            </w:pPr>
            <w:r>
              <w:rPr>
                <w:rFonts w:ascii="Consolas" w:cs="Consolas" w:eastAsia="Consolas" w:hAnsi="Consolas"/>
                <w:sz w:val="18"/>
                <w:szCs w:val="18"/>
              </w:rPr>
              <w:t xml:space="preserve">    actor3 --&gt; UC9</w:t>
            </w:r>
          </w:p>
          <w:p>
            <w:pPr>
              <w:spacing w:after="20"/>
            </w:pPr>
            <w:r>
              <w:rPr>
                <w:rFonts w:ascii="Consolas" w:cs="Consolas" w:eastAsia="Consolas" w:hAnsi="Consolas"/>
                <w:sz w:val="18"/>
                <w:szCs w:val="18"/>
              </w:rPr>
              <w:t xml:space="preserve">    actor4 --&gt; UC8</w:t>
            </w:r>
          </w:p>
          <w:p>
            <w:pPr>
              <w:spacing w:after="20"/>
            </w:pPr>
            <w:r>
              <w:rPr>
                <w:rFonts w:ascii="Consolas" w:cs="Consolas" w:eastAsia="Consolas" w:hAnsi="Consolas"/>
                <w:sz w:val="18"/>
                <w:szCs w:val="18"/>
              </w:rPr>
              <w:t xml:space="preserve">    actor4 --&gt; UC5</w:t>
            </w:r>
          </w:p>
          <w:p>
            <w:pPr>
              <w:spacing w:after="20"/>
            </w:pPr>
            <w:r>
              <w:rPr>
                <w:rFonts w:ascii="Consolas" w:cs="Consolas" w:eastAsia="Consolas" w:hAnsi="Consolas"/>
                <w:sz w:val="18"/>
                <w:szCs w:val="18"/>
              </w:rPr>
              <w:t xml:space="preserve">    UC3 -.include.-&gt; UC2</w:t>
            </w:r>
          </w:p>
          <w:p>
            <w:pPr>
              <w:spacing w:after="20"/>
            </w:pPr>
            <w:r>
              <w:rPr>
                <w:rFonts w:ascii="Consolas" w:cs="Consolas" w:eastAsia="Consolas" w:hAnsi="Consolas"/>
                <w:sz w:val="18"/>
                <w:szCs w:val="18"/>
              </w:rPr>
              <w:t xml:space="preserve">    UC7 -.include.-&gt; UC6</w:t>
            </w:r>
          </w:p>
          <w:p>
            <w:pPr>
              <w:spacing w:after="20"/>
            </w:pPr>
            <w:r>
              <w:rPr>
                <w:rFonts w:ascii="Consolas" w:cs="Consolas" w:eastAsia="Consolas" w:hAnsi="Consolas"/>
                <w:sz w:val="18"/>
                <w:szCs w:val="18"/>
              </w:rPr>
              <w:t xml:space="preserve">    UC3 -.extend.-&gt; UC7</w:t>
            </w:r>
          </w:p>
        </w:tc>
      </w:tr>
    </w:tbl>
    <w:p>
      <w:r>
        <w:rPr>
          <w:rFonts w:ascii="Times New Roman" w:cs="Times New Roman" w:eastAsia="Times New Roman" w:hAnsi="Times New Roman"/>
          <w:sz w:val="24"/>
          <w:szCs w:val="24"/>
        </w:rPr>
        <w:t xml:space="preserve"/>
      </w:r>
    </w:p>
    <w:p>
      <w:pPr>
        <w:pStyle w:val="Heading3"/>
        <w:spacing w:after="160" w:before="240"/>
      </w:pPr>
      <w:r>
        <w:rPr>
          <w:rFonts w:ascii="Times New Roman" w:cs="Times New Roman" w:eastAsia="Times New Roman" w:hAnsi="Times New Roman"/>
          <w:b/>
          <w:bCs/>
          <w:sz w:val="28"/>
          <w:szCs w:val="28"/>
        </w:rPr>
        <w:t xml:space="preserve">3.6.2 Activity Diagram</w:t>
      </w:r>
    </w:p>
    <w:p>
      <w:pPr>
        <w:spacing w:after="200" w:line="360"/>
        <w:jc w:val="both"/>
      </w:pPr>
      <w:r>
        <w:rPr>
          <w:rFonts w:ascii="Times New Roman" w:cs="Times New Roman" w:eastAsia="Times New Roman" w:hAnsi="Times New Roman"/>
          <w:b w:val="false"/>
          <w:bCs w:val="false"/>
          <w:i w:val="false"/>
          <w:iCs w:val="false"/>
          <w:sz w:val="24"/>
          <w:szCs w:val="24"/>
        </w:rPr>
        <w:t xml:space="preserve">Figure 10 models the end-to-end procedural flow of a comparison request, starting from the fork between the two ingestion pipelines described in Chapter 1 (manual upload vs. static extraction) and converging on the single AnalysisService.compare() orchestration path. The diagram makes explicit the validation decision point (resolved specification pair must exist and parse as valid OpenAPI) and the three-pillar analysis sequence (SGM → SAM → SPM) that feeds the composite scoring step, followed by the transactional persistence of the report and its child violation/alert rows before the response is returned to the caller.</w:t>
      </w:r>
    </w:p>
    <w:p>
      <w:pPr>
        <w:spacing w:after="300" w:before="120"/>
        <w:jc w:val="center"/>
      </w:pPr>
      <w:r>
        <w:rPr>
          <w:rFonts w:ascii="Times New Roman" w:cs="Times New Roman" w:eastAsia="Times New Roman" w:hAnsi="Times New Roman"/>
          <w:b/>
          <w:bCs/>
          <w:i/>
          <w:iCs/>
          <w:sz w:val="22"/>
          <w:szCs w:val="22"/>
        </w:rPr>
        <w:t xml:space="preserve">Figure 10: Activity Diagram — End-to-End API Comparison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08080" w:sz="4"/>
              <w:left w:val="single" w:color="808080" w:sz="4"/>
              <w:bottom w:val="single" w:color="808080" w:sz="4"/>
              <w:right w:val="single" w:color="808080" w:sz="4"/>
            </w:tcBorders>
            <w:shd w:fill="F2F2F2"/>
            <w:tcMar>
              <w:top w:type="dxa" w:w="160"/>
              <w:left w:type="dxa" w:w="200"/>
              <w:bottom w:type="dxa" w:w="160"/>
              <w:right w:type="dxa" w:w="200"/>
            </w:tcMar>
          </w:tcPr>
          <w:p>
            <w:pPr>
              <w:spacing w:after="20"/>
            </w:pPr>
            <w:r>
              <w:rPr>
                <w:rFonts w:ascii="Consolas" w:cs="Consolas" w:eastAsia="Consolas" w:hAnsi="Consolas"/>
                <w:sz w:val="18"/>
                <w:szCs w:val="18"/>
              </w:rPr>
              <w:t xml:space="preserve">flowchart TD</w:t>
            </w:r>
          </w:p>
          <w:p>
            <w:pPr>
              <w:spacing w:after="20"/>
            </w:pPr>
            <w:r>
              <w:rPr>
                <w:rFonts w:ascii="Consolas" w:cs="Consolas" w:eastAsia="Consolas" w:hAnsi="Consolas"/>
                <w:sz w:val="18"/>
                <w:szCs w:val="18"/>
              </w:rPr>
              <w:t xml:space="preserve">    Start([Start]) --&gt; Choice{Spec source?}</w:t>
            </w:r>
          </w:p>
          <w:p>
            <w:pPr>
              <w:spacing w:after="20"/>
            </w:pPr>
            <w:r>
              <w:rPr>
                <w:rFonts w:ascii="Consolas" w:cs="Consolas" w:eastAsia="Consolas" w:hAnsi="Consolas"/>
                <w:sz w:val="18"/>
                <w:szCs w:val="18"/>
              </w:rPr>
              <w:t xml:space="preserve">    Choice --&gt;|Manual upload| Upload[Upload old.json and new.json\nvia POST /api/specs/upload]</w:t>
            </w:r>
          </w:p>
          <w:p>
            <w:pPr>
              <w:spacing w:after="20"/>
            </w:pPr>
            <w:r>
              <w:rPr>
                <w:rFonts w:ascii="Consolas" w:cs="Consolas" w:eastAsia="Consolas" w:hAnsi="Consolas"/>
                <w:sz w:val="18"/>
                <w:szCs w:val="18"/>
              </w:rPr>
              <w:t xml:space="preserve">    Choice --&gt;|Static extraction| Extract[Scan Java source tree\nStaticEndpointExtractionService]</w:t>
            </w:r>
          </w:p>
          <w:p>
            <w:pPr>
              <w:spacing w:after="20"/>
            </w:pPr>
            <w:r>
              <w:rPr>
                <w:rFonts w:ascii="Consolas" w:cs="Consolas" w:eastAsia="Consolas" w:hAnsi="Consolas"/>
                <w:sz w:val="18"/>
                <w:szCs w:val="18"/>
              </w:rPr>
              <w:t xml:space="preserve">    Upload --&gt; Persist1[Persist SpecVersion rows]</w:t>
            </w:r>
          </w:p>
          <w:p>
            <w:pPr>
              <w:spacing w:after="20"/>
            </w:pPr>
            <w:r>
              <w:rPr>
                <w:rFonts w:ascii="Consolas" w:cs="Consolas" w:eastAsia="Consolas" w:hAnsi="Consolas"/>
                <w:sz w:val="18"/>
                <w:szCs w:val="18"/>
              </w:rPr>
              <w:t xml:space="preserve">    Extract --&gt; Persist1</w:t>
            </w:r>
          </w:p>
          <w:p>
            <w:pPr>
              <w:spacing w:after="20"/>
            </w:pPr>
            <w:r>
              <w:rPr>
                <w:rFonts w:ascii="Consolas" w:cs="Consolas" w:eastAsia="Consolas" w:hAnsi="Consolas"/>
                <w:sz w:val="18"/>
                <w:szCs w:val="18"/>
              </w:rPr>
              <w:t xml:space="preserve">    Persist1 --&gt; Trigger[POST /api/analysis/compare\noldSpecId, newSpecId]</w:t>
            </w:r>
          </w:p>
          <w:p>
            <w:pPr>
              <w:spacing w:after="20"/>
            </w:pPr>
            <w:r>
              <w:rPr>
                <w:rFonts w:ascii="Consolas" w:cs="Consolas" w:eastAsia="Consolas" w:hAnsi="Consolas"/>
                <w:sz w:val="18"/>
                <w:szCs w:val="18"/>
              </w:rPr>
              <w:t xml:space="preserve">    Trigger --&gt; Fetch[AnalysisService fetches both\nSpecVersion rows]</w:t>
            </w:r>
          </w:p>
          <w:p>
            <w:pPr>
              <w:spacing w:after="20"/>
            </w:pPr>
            <w:r>
              <w:rPr>
                <w:rFonts w:ascii="Consolas" w:cs="Consolas" w:eastAsia="Consolas" w:hAnsi="Consolas"/>
                <w:sz w:val="18"/>
                <w:szCs w:val="18"/>
              </w:rPr>
              <w:t xml:space="preserve">    Fetch --&gt; Valid{Both specs found\nand valid OpenAPI?}</w:t>
            </w:r>
          </w:p>
          <w:p>
            <w:pPr>
              <w:spacing w:after="20"/>
            </w:pPr>
            <w:r>
              <w:rPr>
                <w:rFonts w:ascii="Consolas" w:cs="Consolas" w:eastAsia="Consolas" w:hAnsi="Consolas"/>
                <w:sz w:val="18"/>
                <w:szCs w:val="18"/>
              </w:rPr>
              <w:t xml:space="preserve">    Valid --&gt;|No| Error[Return 404 / 400\nvia GlobalExceptionHandler]</w:t>
            </w:r>
          </w:p>
          <w:p>
            <w:pPr>
              <w:spacing w:after="20"/>
            </w:pPr>
            <w:r>
              <w:rPr>
                <w:rFonts w:ascii="Consolas" w:cs="Consolas" w:eastAsia="Consolas" w:hAnsi="Consolas"/>
                <w:sz w:val="18"/>
                <w:szCs w:val="18"/>
              </w:rPr>
              <w:t xml:space="preserve">    Valid --&gt;|Yes| SGM[Run SGM: 8 DesignRule checks]</w:t>
            </w:r>
          </w:p>
          <w:p>
            <w:pPr>
              <w:spacing w:after="20"/>
            </w:pPr>
            <w:r>
              <w:rPr>
                <w:rFonts w:ascii="Consolas" w:cs="Consolas" w:eastAsia="Consolas" w:hAnsi="Consolas"/>
                <w:sz w:val="18"/>
                <w:szCs w:val="18"/>
              </w:rPr>
              <w:t xml:space="preserve">    SGM --&gt; SAM[Run SAM: 3 SecurityCheck checks]</w:t>
            </w:r>
          </w:p>
          <w:p>
            <w:pPr>
              <w:spacing w:after="20"/>
            </w:pPr>
            <w:r>
              <w:rPr>
                <w:rFonts w:ascii="Consolas" w:cs="Consolas" w:eastAsia="Consolas" w:hAnsi="Consolas"/>
                <w:sz w:val="18"/>
                <w:szCs w:val="18"/>
              </w:rPr>
              <w:t xml:space="preserve">    SAM --&gt; SPM[Run SPM: build &amp; diff usage graphs]</w:t>
            </w:r>
          </w:p>
          <w:p>
            <w:pPr>
              <w:spacing w:after="20"/>
            </w:pPr>
            <w:r>
              <w:rPr>
                <w:rFonts w:ascii="Consolas" w:cs="Consolas" w:eastAsia="Consolas" w:hAnsi="Consolas"/>
                <w:sz w:val="18"/>
                <w:szCs w:val="18"/>
              </w:rPr>
              <w:t xml:space="preserve">    SPM --&gt; Score[ImpactScoringService computes\nsTotal and riskLevel]</w:t>
            </w:r>
          </w:p>
          <w:p>
            <w:pPr>
              <w:spacing w:after="20"/>
            </w:pPr>
            <w:r>
              <w:rPr>
                <w:rFonts w:ascii="Consolas" w:cs="Consolas" w:eastAsia="Consolas" w:hAnsi="Consolas"/>
                <w:sz w:val="18"/>
                <w:szCs w:val="18"/>
              </w:rPr>
              <w:t xml:space="preserve">    Score --&gt; SaveReport[Persist AnalysisReport]</w:t>
            </w:r>
          </w:p>
          <w:p>
            <w:pPr>
              <w:spacing w:after="20"/>
            </w:pPr>
            <w:r>
              <w:rPr>
                <w:rFonts w:ascii="Consolas" w:cs="Consolas" w:eastAsia="Consolas" w:hAnsi="Consolas"/>
                <w:sz w:val="18"/>
                <w:szCs w:val="18"/>
              </w:rPr>
              <w:t xml:space="preserve">    SaveReport --&gt; SaveViolations[Persist Violation and\nSecurityAlert rows]</w:t>
            </w:r>
          </w:p>
          <w:p>
            <w:pPr>
              <w:spacing w:after="20"/>
            </w:pPr>
            <w:r>
              <w:rPr>
                <w:rFonts w:ascii="Consolas" w:cs="Consolas" w:eastAsia="Consolas" w:hAnsi="Consolas"/>
                <w:sz w:val="18"/>
                <w:szCs w:val="18"/>
              </w:rPr>
              <w:t xml:space="preserve">    SaveViolations --&gt; Respond[Return AnalysisResponseDTO to client]</w:t>
            </w:r>
          </w:p>
          <w:p>
            <w:pPr>
              <w:spacing w:after="20"/>
            </w:pPr>
            <w:r>
              <w:rPr>
                <w:rFonts w:ascii="Consolas" w:cs="Consolas" w:eastAsia="Consolas" w:hAnsi="Consolas"/>
                <w:sz w:val="18"/>
                <w:szCs w:val="18"/>
              </w:rPr>
              <w:t xml:space="preserve">    Respond --&gt; End([End])</w:t>
            </w:r>
          </w:p>
          <w:p>
            <w:pPr>
              <w:spacing w:after="20"/>
            </w:pPr>
            <w:r>
              <w:rPr>
                <w:rFonts w:ascii="Consolas" w:cs="Consolas" w:eastAsia="Consolas" w:hAnsi="Consolas"/>
                <w:sz w:val="18"/>
                <w:szCs w:val="18"/>
              </w:rPr>
              <w:t xml:space="preserve">    Error --&gt; End</w:t>
            </w:r>
          </w:p>
        </w:tc>
      </w:tr>
    </w:tbl>
    <w:p>
      <w:r>
        <w:rPr>
          <w:rFonts w:ascii="Times New Roman" w:cs="Times New Roman" w:eastAsia="Times New Roman" w:hAnsi="Times New Roman"/>
          <w:sz w:val="24"/>
          <w:szCs w:val="24"/>
        </w:rPr>
        <w:t xml:space="preserve"/>
      </w:r>
    </w:p>
    <w:p>
      <w:pPr>
        <w:pStyle w:val="Heading3"/>
        <w:spacing w:after="160" w:before="240"/>
      </w:pPr>
      <w:r>
        <w:rPr>
          <w:rFonts w:ascii="Times New Roman" w:cs="Times New Roman" w:eastAsia="Times New Roman" w:hAnsi="Times New Roman"/>
          <w:b/>
          <w:bCs/>
          <w:sz w:val="28"/>
          <w:szCs w:val="28"/>
        </w:rPr>
        <w:t xml:space="preserve">3.6.3 Sequence Diagram</w:t>
      </w:r>
    </w:p>
    <w:p>
      <w:pPr>
        <w:spacing w:after="200" w:line="360"/>
        <w:jc w:val="both"/>
      </w:pPr>
      <w:r>
        <w:rPr>
          <w:rFonts w:ascii="Times New Roman" w:cs="Times New Roman" w:eastAsia="Times New Roman" w:hAnsi="Times New Roman"/>
          <w:b w:val="false"/>
          <w:bCs w:val="false"/>
          <w:i w:val="false"/>
          <w:iCs w:val="false"/>
          <w:sz w:val="24"/>
          <w:szCs w:val="24"/>
        </w:rPr>
        <w:t xml:space="preserve">Figure 11 traces the primary use case, POST /api/analysis/compare, at the object-interaction level, matching the execution-lifecycle trace established during the source-code audit of this project. It shows the @Valid bean-validation step at the controller boundary, the two repository lookups with their divergent error path (a missing spec ID short-circuits to ResourceNotFoundException and a 404 response via GlobalExceptionHandler before any analysis pillar is invoked), the sequential invocation of the SGM, SAM, and SPM services against the same parsed OpenAPI pair, the composite-score calculation, and the transactional persistence loop that writes one Violation row per detected structural finding before the assembled AnalysisResponseDTO is returned to the client.</w:t>
      </w:r>
    </w:p>
    <w:p>
      <w:pPr>
        <w:spacing w:after="300" w:before="120"/>
        <w:jc w:val="center"/>
      </w:pPr>
      <w:r>
        <w:rPr>
          <w:rFonts w:ascii="Times New Roman" w:cs="Times New Roman" w:eastAsia="Times New Roman" w:hAnsi="Times New Roman"/>
          <w:b/>
          <w:bCs/>
          <w:i/>
          <w:iCs/>
          <w:sz w:val="22"/>
          <w:szCs w:val="22"/>
        </w:rPr>
        <w:t xml:space="preserve">Figure 11: Sequence Diagram — POST /api/analysis/compare Request Trace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08080" w:sz="4"/>
              <w:left w:val="single" w:color="808080" w:sz="4"/>
              <w:bottom w:val="single" w:color="808080" w:sz="4"/>
              <w:right w:val="single" w:color="808080" w:sz="4"/>
            </w:tcBorders>
            <w:shd w:fill="F2F2F2"/>
            <w:tcMar>
              <w:top w:type="dxa" w:w="160"/>
              <w:left w:type="dxa" w:w="200"/>
              <w:bottom w:type="dxa" w:w="160"/>
              <w:right w:type="dxa" w:w="200"/>
            </w:tcMar>
          </w:tcPr>
          <w:p>
            <w:pPr>
              <w:spacing w:after="20"/>
            </w:pPr>
            <w:r>
              <w:rPr>
                <w:rFonts w:ascii="Consolas" w:cs="Consolas" w:eastAsia="Consolas" w:hAnsi="Consolas"/>
                <w:sz w:val="18"/>
                <w:szCs w:val="18"/>
              </w:rPr>
              <w:t xml:space="preserve">sequenceDiagram</w:t>
            </w:r>
          </w:p>
          <w:p>
            <w:pPr>
              <w:spacing w:after="20"/>
            </w:pPr>
            <w:r>
              <w:rPr>
                <w:rFonts w:ascii="Consolas" w:cs="Consolas" w:eastAsia="Consolas" w:hAnsi="Consolas"/>
                <w:sz w:val="18"/>
                <w:szCs w:val="18"/>
              </w:rPr>
              <w:t xml:space="preserve">    participant C as Client</w:t>
            </w:r>
          </w:p>
          <w:p>
            <w:pPr>
              <w:spacing w:after="20"/>
            </w:pPr>
            <w:r>
              <w:rPr>
                <w:rFonts w:ascii="Consolas" w:cs="Consolas" w:eastAsia="Consolas" w:hAnsi="Consolas"/>
                <w:sz w:val="18"/>
                <w:szCs w:val="18"/>
              </w:rPr>
              <w:t xml:space="preserve">    participant AC as AnalysisController</w:t>
            </w:r>
          </w:p>
          <w:p>
            <w:pPr>
              <w:spacing w:after="20"/>
            </w:pPr>
            <w:r>
              <w:rPr>
                <w:rFonts w:ascii="Consolas" w:cs="Consolas" w:eastAsia="Consolas" w:hAnsi="Consolas"/>
                <w:sz w:val="18"/>
                <w:szCs w:val="18"/>
              </w:rPr>
              <w:t xml:space="preserve">    participant AS as AnalysisService</w:t>
            </w:r>
          </w:p>
          <w:p>
            <w:pPr>
              <w:spacing w:after="20"/>
            </w:pPr>
            <w:r>
              <w:rPr>
                <w:rFonts w:ascii="Consolas" w:cs="Consolas" w:eastAsia="Consolas" w:hAnsi="Consolas"/>
                <w:sz w:val="18"/>
                <w:szCs w:val="18"/>
              </w:rPr>
              <w:t xml:space="preserve">    participant SVR as SpecVersionRepository</w:t>
            </w:r>
          </w:p>
          <w:p>
            <w:pPr>
              <w:spacing w:after="20"/>
            </w:pPr>
            <w:r>
              <w:rPr>
                <w:rFonts w:ascii="Consolas" w:cs="Consolas" w:eastAsia="Consolas" w:hAnsi="Consolas"/>
                <w:sz w:val="18"/>
                <w:szCs w:val="18"/>
              </w:rPr>
              <w:t xml:space="preserve">    participant SGM as SGMService</w:t>
            </w:r>
          </w:p>
          <w:p>
            <w:pPr>
              <w:spacing w:after="20"/>
            </w:pPr>
            <w:r>
              <w:rPr>
                <w:rFonts w:ascii="Consolas" w:cs="Consolas" w:eastAsia="Consolas" w:hAnsi="Consolas"/>
                <w:sz w:val="18"/>
                <w:szCs w:val="18"/>
              </w:rPr>
              <w:t xml:space="preserve">    participant SAM as SAMService</w:t>
            </w:r>
          </w:p>
          <w:p>
            <w:pPr>
              <w:spacing w:after="20"/>
            </w:pPr>
            <w:r>
              <w:rPr>
                <w:rFonts w:ascii="Consolas" w:cs="Consolas" w:eastAsia="Consolas" w:hAnsi="Consolas"/>
                <w:sz w:val="18"/>
                <w:szCs w:val="18"/>
              </w:rPr>
              <w:t xml:space="preserve">    participant SPM as SPMService</w:t>
            </w:r>
          </w:p>
          <w:p>
            <w:pPr>
              <w:spacing w:after="20"/>
            </w:pPr>
            <w:r>
              <w:rPr>
                <w:rFonts w:ascii="Consolas" w:cs="Consolas" w:eastAsia="Consolas" w:hAnsi="Consolas"/>
                <w:sz w:val="18"/>
                <w:szCs w:val="18"/>
              </w:rPr>
              <w:t xml:space="preserve">    participant ISS as ImpactScoringService</w:t>
            </w:r>
          </w:p>
          <w:p>
            <w:pPr>
              <w:spacing w:after="20"/>
            </w:pPr>
            <w:r>
              <w:rPr>
                <w:rFonts w:ascii="Consolas" w:cs="Consolas" w:eastAsia="Consolas" w:hAnsi="Consolas"/>
                <w:sz w:val="18"/>
                <w:szCs w:val="18"/>
              </w:rPr>
              <w:t xml:space="preserve">    participant ARR as AnalysisReportRepository</w:t>
            </w:r>
          </w:p>
          <w:p>
            <w:pPr>
              <w:spacing w:after="20"/>
            </w:pPr>
            <w:r>
              <w:rPr>
                <w:rFonts w:ascii="Consolas" w:cs="Consolas" w:eastAsia="Consolas" w:hAnsi="Consolas"/>
                <w:sz w:val="18"/>
                <w:szCs w:val="18"/>
              </w:rPr>
              <w:t xml:space="preserve">    participant VR as ViolationRepository</w:t>
            </w:r>
          </w:p>
          <w:p>
            <w:pPr>
              <w:spacing w:after="20"/>
            </w:pPr>
            <w:r>
              <w:rPr>
                <w:rFonts w:ascii="Consolas" w:cs="Consolas" w:eastAsia="Consolas" w:hAnsi="Consolas"/>
                <w:sz w:val="18"/>
                <w:szCs w:val="18"/>
              </w:rPr>
              <w:t xml:space="preserve">    participant GEH as GlobalExceptionHandler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C-&gt;&gt;AC: POST /api/analysis/compare {oldSpecId, newSpecId}</w:t>
            </w:r>
          </w:p>
          <w:p>
            <w:pPr>
              <w:spacing w:after="20"/>
            </w:pPr>
            <w:r>
              <w:rPr>
                <w:rFonts w:ascii="Consolas" w:cs="Consolas" w:eastAsia="Consolas" w:hAnsi="Consolas"/>
                <w:sz w:val="18"/>
                <w:szCs w:val="18"/>
              </w:rPr>
              <w:t xml:space="preserve">    AC-&gt;&gt;AC: @Valid bean validation</w:t>
            </w:r>
          </w:p>
          <w:p>
            <w:pPr>
              <w:spacing w:after="20"/>
            </w:pPr>
            <w:r>
              <w:rPr>
                <w:rFonts w:ascii="Consolas" w:cs="Consolas" w:eastAsia="Consolas" w:hAnsi="Consolas"/>
                <w:sz w:val="18"/>
                <w:szCs w:val="18"/>
              </w:rPr>
              <w:t xml:space="preserve">    AC-&gt;&gt;AS: compare(request)</w:t>
            </w:r>
          </w:p>
          <w:p>
            <w:pPr>
              <w:spacing w:after="20"/>
            </w:pPr>
            <w:r>
              <w:rPr>
                <w:rFonts w:ascii="Consolas" w:cs="Consolas" w:eastAsia="Consolas" w:hAnsi="Consolas"/>
                <w:sz w:val="18"/>
                <w:szCs w:val="18"/>
              </w:rPr>
              <w:t xml:space="preserve">    AS-&gt;&gt;SVR: findById(oldSpecId)</w:t>
            </w:r>
          </w:p>
          <w:p>
            <w:pPr>
              <w:spacing w:after="20"/>
            </w:pPr>
            <w:r>
              <w:rPr>
                <w:rFonts w:ascii="Consolas" w:cs="Consolas" w:eastAsia="Consolas" w:hAnsi="Consolas"/>
                <w:sz w:val="18"/>
                <w:szCs w:val="18"/>
              </w:rPr>
              <w:t xml:space="preserve">    SVR--&gt;&gt;AS: SpecVersion (or empty)</w:t>
            </w:r>
          </w:p>
          <w:p>
            <w:pPr>
              <w:spacing w:after="20"/>
            </w:pPr>
            <w:r>
              <w:rPr>
                <w:rFonts w:ascii="Consolas" w:cs="Consolas" w:eastAsia="Consolas" w:hAnsi="Consolas"/>
                <w:sz w:val="18"/>
                <w:szCs w:val="18"/>
              </w:rPr>
              <w:t xml:space="preserve">    alt spec not found</w:t>
            </w:r>
          </w:p>
          <w:p>
            <w:pPr>
              <w:spacing w:after="20"/>
            </w:pPr>
            <w:r>
              <w:rPr>
                <w:rFonts w:ascii="Consolas" w:cs="Consolas" w:eastAsia="Consolas" w:hAnsi="Consolas"/>
                <w:sz w:val="18"/>
                <w:szCs w:val="18"/>
              </w:rPr>
              <w:t xml:space="preserve">        AS--&gt;&gt;GEH: throw ResourceNotFoundException</w:t>
            </w:r>
          </w:p>
          <w:p>
            <w:pPr>
              <w:spacing w:after="20"/>
            </w:pPr>
            <w:r>
              <w:rPr>
                <w:rFonts w:ascii="Consolas" w:cs="Consolas" w:eastAsia="Consolas" w:hAnsi="Consolas"/>
                <w:sz w:val="18"/>
                <w:szCs w:val="18"/>
              </w:rPr>
              <w:t xml:space="preserve">        GEH--&gt;&gt;C: 404 ErrorResponse</w:t>
            </w:r>
          </w:p>
          <w:p>
            <w:pPr>
              <w:spacing w:after="20"/>
            </w:pPr>
            <w:r>
              <w:rPr>
                <w:rFonts w:ascii="Consolas" w:cs="Consolas" w:eastAsia="Consolas" w:hAnsi="Consolas"/>
                <w:sz w:val="18"/>
                <w:szCs w:val="18"/>
              </w:rPr>
              <w:t xml:space="preserve">    else spec found</w:t>
            </w:r>
          </w:p>
          <w:p>
            <w:pPr>
              <w:spacing w:after="20"/>
            </w:pPr>
            <w:r>
              <w:rPr>
                <w:rFonts w:ascii="Consolas" w:cs="Consolas" w:eastAsia="Consolas" w:hAnsi="Consolas"/>
                <w:sz w:val="18"/>
                <w:szCs w:val="18"/>
              </w:rPr>
              <w:t xml:space="preserve">        AS-&gt;&gt;SVR: findById(newSpecId)</w:t>
            </w:r>
          </w:p>
          <w:p>
            <w:pPr>
              <w:spacing w:after="20"/>
            </w:pPr>
            <w:r>
              <w:rPr>
                <w:rFonts w:ascii="Consolas" w:cs="Consolas" w:eastAsia="Consolas" w:hAnsi="Consolas"/>
                <w:sz w:val="18"/>
                <w:szCs w:val="18"/>
              </w:rPr>
              <w:t xml:space="preserve">        SVR--&gt;&gt;AS: SpecVersion</w:t>
            </w:r>
          </w:p>
          <w:p>
            <w:pPr>
              <w:spacing w:after="20"/>
            </w:pPr>
            <w:r>
              <w:rPr>
                <w:rFonts w:ascii="Consolas" w:cs="Consolas" w:eastAsia="Consolas" w:hAnsi="Consolas"/>
                <w:sz w:val="18"/>
                <w:szCs w:val="18"/>
              </w:rPr>
              <w:t xml:space="preserve">        AS-&gt;&gt;AS: OpenAPIParser.readContents() x2</w:t>
            </w:r>
          </w:p>
          <w:p>
            <w:pPr>
              <w:spacing w:after="20"/>
            </w:pPr>
            <w:r>
              <w:rPr>
                <w:rFonts w:ascii="Consolas" w:cs="Consolas" w:eastAsia="Consolas" w:hAnsi="Consolas"/>
                <w:sz w:val="18"/>
                <w:szCs w:val="18"/>
              </w:rPr>
              <w:t xml:space="preserve">        AS-&gt;&gt;SGM: analyze(oldAPI, newAPI)</w:t>
            </w:r>
          </w:p>
          <w:p>
            <w:pPr>
              <w:spacing w:after="20"/>
            </w:pPr>
            <w:r>
              <w:rPr>
                <w:rFonts w:ascii="Consolas" w:cs="Consolas" w:eastAsia="Consolas" w:hAnsi="Consolas"/>
                <w:sz w:val="18"/>
                <w:szCs w:val="18"/>
              </w:rPr>
              <w:t xml:space="preserve">        SGM--&gt;&gt;AS: SGMResultDTO (dStruct, violations)</w:t>
            </w:r>
          </w:p>
          <w:p>
            <w:pPr>
              <w:spacing w:after="20"/>
            </w:pPr>
            <w:r>
              <w:rPr>
                <w:rFonts w:ascii="Consolas" w:cs="Consolas" w:eastAsia="Consolas" w:hAnsi="Consolas"/>
                <w:sz w:val="18"/>
                <w:szCs w:val="18"/>
              </w:rPr>
              <w:t xml:space="preserve">        AS-&gt;&gt;SAM: analyze(oldAPI, newAPI)</w:t>
            </w:r>
          </w:p>
          <w:p>
            <w:pPr>
              <w:spacing w:after="20"/>
            </w:pPr>
            <w:r>
              <w:rPr>
                <w:rFonts w:ascii="Consolas" w:cs="Consolas" w:eastAsia="Consolas" w:hAnsi="Consolas"/>
                <w:sz w:val="18"/>
                <w:szCs w:val="18"/>
              </w:rPr>
              <w:t xml:space="preserve">        SAM--&gt;&gt;AS: SAMResultDTO (aSec, alerts)</w:t>
            </w:r>
          </w:p>
          <w:p>
            <w:pPr>
              <w:spacing w:after="20"/>
            </w:pPr>
            <w:r>
              <w:rPr>
                <w:rFonts w:ascii="Consolas" w:cs="Consolas" w:eastAsia="Consolas" w:hAnsi="Consolas"/>
                <w:sz w:val="18"/>
                <w:szCs w:val="18"/>
              </w:rPr>
              <w:t xml:space="preserve">        AS-&gt;&gt;SPM: analyze(oldAPI, newAPI)</w:t>
            </w:r>
          </w:p>
          <w:p>
            <w:pPr>
              <w:spacing w:after="20"/>
            </w:pPr>
            <w:r>
              <w:rPr>
                <w:rFonts w:ascii="Consolas" w:cs="Consolas" w:eastAsia="Consolas" w:hAnsi="Consolas"/>
                <w:sz w:val="18"/>
                <w:szCs w:val="18"/>
              </w:rPr>
              <w:t xml:space="preserve">        SPM--&gt;&gt;AS: SPMResultDTO (dApi, diff)</w:t>
            </w:r>
          </w:p>
          <w:p>
            <w:pPr>
              <w:spacing w:after="20"/>
            </w:pPr>
            <w:r>
              <w:rPr>
                <w:rFonts w:ascii="Consolas" w:cs="Consolas" w:eastAsia="Consolas" w:hAnsi="Consolas"/>
                <w:sz w:val="18"/>
                <w:szCs w:val="18"/>
              </w:rPr>
              <w:t xml:space="preserve">        AS-&gt;&gt;ISS: calculate(dStruct, dApi, aSec)</w:t>
            </w:r>
          </w:p>
          <w:p>
            <w:pPr>
              <w:spacing w:after="20"/>
            </w:pPr>
            <w:r>
              <w:rPr>
                <w:rFonts w:ascii="Consolas" w:cs="Consolas" w:eastAsia="Consolas" w:hAnsi="Consolas"/>
                <w:sz w:val="18"/>
                <w:szCs w:val="18"/>
              </w:rPr>
              <w:t xml:space="preserve">        ISS--&gt;&gt;AS: ImpactScoreDTO (sTotal, riskLevel)</w:t>
            </w:r>
          </w:p>
          <w:p>
            <w:pPr>
              <w:spacing w:after="20"/>
            </w:pPr>
            <w:r>
              <w:rPr>
                <w:rFonts w:ascii="Consolas" w:cs="Consolas" w:eastAsia="Consolas" w:hAnsi="Consolas"/>
                <w:sz w:val="18"/>
                <w:szCs w:val="18"/>
              </w:rPr>
              <w:t xml:space="preserve">        AS-&gt;&gt;ARR: save(AnalysisReport)</w:t>
            </w:r>
          </w:p>
          <w:p>
            <w:pPr>
              <w:spacing w:after="20"/>
            </w:pPr>
            <w:r>
              <w:rPr>
                <w:rFonts w:ascii="Consolas" w:cs="Consolas" w:eastAsia="Consolas" w:hAnsi="Consolas"/>
                <w:sz w:val="18"/>
                <w:szCs w:val="18"/>
              </w:rPr>
              <w:t xml:space="preserve">        ARR--&gt;&gt;AS: report (with id)</w:t>
            </w:r>
          </w:p>
          <w:p>
            <w:pPr>
              <w:spacing w:after="20"/>
            </w:pPr>
            <w:r>
              <w:rPr>
                <w:rFonts w:ascii="Consolas" w:cs="Consolas" w:eastAsia="Consolas" w:hAnsi="Consolas"/>
                <w:sz w:val="18"/>
                <w:szCs w:val="18"/>
              </w:rPr>
              <w:t xml:space="preserve">        loop for each violation</w:t>
            </w:r>
          </w:p>
          <w:p>
            <w:pPr>
              <w:spacing w:after="20"/>
            </w:pPr>
            <w:r>
              <w:rPr>
                <w:rFonts w:ascii="Consolas" w:cs="Consolas" w:eastAsia="Consolas" w:hAnsi="Consolas"/>
                <w:sz w:val="18"/>
                <w:szCs w:val="18"/>
              </w:rPr>
              <w:t xml:space="preserve">            AS-&gt;&gt;VR: save(Violation)</w:t>
            </w:r>
          </w:p>
          <w:p>
            <w:pPr>
              <w:spacing w:after="20"/>
            </w:pPr>
            <w:r>
              <w:rPr>
                <w:rFonts w:ascii="Consolas" w:cs="Consolas" w:eastAsia="Consolas" w:hAnsi="Consolas"/>
                <w:sz w:val="18"/>
                <w:szCs w:val="18"/>
              </w:rPr>
              <w:t xml:space="preserve">        end</w:t>
            </w:r>
          </w:p>
          <w:p>
            <w:pPr>
              <w:spacing w:after="20"/>
            </w:pPr>
            <w:r>
              <w:rPr>
                <w:rFonts w:ascii="Consolas" w:cs="Consolas" w:eastAsia="Consolas" w:hAnsi="Consolas"/>
                <w:sz w:val="18"/>
                <w:szCs w:val="18"/>
              </w:rPr>
              <w:t xml:space="preserve">        AS--&gt;&gt;AC: AnalysisResponseDTO</w:t>
            </w:r>
          </w:p>
          <w:p>
            <w:pPr>
              <w:spacing w:after="20"/>
            </w:pPr>
            <w:r>
              <w:rPr>
                <w:rFonts w:ascii="Consolas" w:cs="Consolas" w:eastAsia="Consolas" w:hAnsi="Consolas"/>
                <w:sz w:val="18"/>
                <w:szCs w:val="18"/>
              </w:rPr>
              <w:t xml:space="preserve">        AC--&gt;&gt;C: 200 OK, JSON report</w:t>
            </w:r>
          </w:p>
          <w:p>
            <w:pPr>
              <w:spacing w:after="20"/>
            </w:pPr>
            <w:r>
              <w:rPr>
                <w:rFonts w:ascii="Consolas" w:cs="Consolas" w:eastAsia="Consolas" w:hAnsi="Consolas"/>
                <w:sz w:val="18"/>
                <w:szCs w:val="18"/>
              </w:rPr>
              <w:t xml:space="preserve">    end</w:t>
            </w:r>
          </w:p>
        </w:tc>
      </w:tr>
    </w:tbl>
    <w:p>
      <w:r>
        <w:rPr>
          <w:rFonts w:ascii="Times New Roman" w:cs="Times New Roman" w:eastAsia="Times New Roman" w:hAnsi="Times New Roman"/>
          <w:sz w:val="24"/>
          <w:szCs w:val="24"/>
        </w:rPr>
        <w:t xml:space="preserve"/>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pageBreakBefore/>
        <w:spacing w:after="300" w:before="200"/>
        <w:jc w:val="center"/>
      </w:pPr>
      <w:r>
        <w:rPr>
          <w:rFonts w:ascii="Times New Roman" w:cs="Times New Roman" w:eastAsia="Times New Roman" w:hAnsi="Times New Roman"/>
          <w:b/>
          <w:bCs/>
          <w:sz w:val="36"/>
          <w:szCs w:val="36"/>
        </w:rPr>
        <w:t xml:space="preserve">Chapter 4: System Design and Experimental Set Up</w:t>
      </w:r>
    </w:p>
    <w:p>
      <w:pPr>
        <w:spacing w:after="200" w:line="360"/>
        <w:jc w:val="both"/>
      </w:pPr>
      <w:r>
        <w:rPr>
          <w:rFonts w:ascii="Times New Roman" w:cs="Times New Roman" w:eastAsia="Times New Roman" w:hAnsi="Times New Roman"/>
          <w:b w:val="false"/>
          <w:bCs w:val="false"/>
          <w:i w:val="false"/>
          <w:iCs w:val="false"/>
          <w:sz w:val="24"/>
          <w:szCs w:val="24"/>
        </w:rPr>
        <w:t xml:space="preserve">Sections 4.1 (System Architecture &amp; Diagrams) and 4.2 (Algorithm &amp; Process Flow Design) are substantially addressed by the layered architecture description in Chapter 1 and the use case, activity, and sequence models presented in Section 3.6, and are formalized as standalone UML/DFD artifacts in the next report revision. This chapter proceeds directly to the interface, environment, implementation, and verification detail (Sections 4.3–4.7) for the Part I codebase.</w:t>
      </w:r>
    </w:p>
    <w:p>
      <w:pPr>
        <w:pStyle w:val="Heading2"/>
        <w:spacing w:after="200" w:before="360"/>
      </w:pPr>
      <w:r>
        <w:rPr>
          <w:rFonts w:ascii="Times New Roman" w:cs="Times New Roman" w:eastAsia="Times New Roman" w:hAnsi="Times New Roman"/>
          <w:b/>
          <w:bCs/>
          <w:sz w:val="32"/>
          <w:szCs w:val="32"/>
        </w:rPr>
        <w:t xml:space="preserve">4.3 User Interface &amp; Input Data Design</w:t>
      </w:r>
    </w:p>
    <w:p>
      <w:pPr>
        <w:spacing w:after="200" w:line="360"/>
        <w:jc w:val="both"/>
      </w:pPr>
      <w:r>
        <w:rPr>
          <w:rFonts w:ascii="Times New Roman" w:cs="Times New Roman" w:eastAsia="Times New Roman" w:hAnsi="Times New Roman"/>
          <w:b w:val="false"/>
          <w:bCs w:val="false"/>
          <w:i w:val="false"/>
          <w:iCs w:val="false"/>
          <w:sz w:val="24"/>
          <w:szCs w:val="24"/>
        </w:rPr>
        <w:t xml:space="preserve">Consistent with the scope boundary defined in Section 1.4.2, the Part I codebase has no dedicated front-end; the interaction surface is the REST API itself, made interactively usable through springdoc-openapi-starter-webmvc-ui 2.8.5, which introspects every Spring MVC controller at startup and serves a browsable, “try-it-out” capable Swagger UI at /swagger-ui.html against the live OpenAPI 3.x description generated at /v3/api-docs. Table 11 breaks this surface down by controller.</w:t>
      </w:r>
    </w:p>
    <w:p>
      <w:pPr>
        <w:spacing w:after="300" w:before="120"/>
        <w:jc w:val="center"/>
      </w:pPr>
      <w:r>
        <w:rPr>
          <w:rFonts w:ascii="Times New Roman" w:cs="Times New Roman" w:eastAsia="Times New Roman" w:hAnsi="Times New Roman"/>
          <w:b/>
          <w:bCs/>
          <w:i/>
          <w:iCs/>
          <w:sz w:val="22"/>
          <w:szCs w:val="22"/>
        </w:rPr>
        <w:t xml:space="preserve">Table 11: UI Component Breakdown — Controller-Generated Swagger UI Sections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400"/>
      </w:tblGrid>
      <w:tr>
        <w:tc>
          <w:tcPr>
            <w:tcW w:type="dxa" w:w="22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Controller</w:t>
            </w:r>
          </w:p>
        </w:tc>
        <w:tc>
          <w:tcPr>
            <w:tcW w:type="dxa" w:w="32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Generated Swagger UI Section</w:t>
            </w:r>
          </w:p>
        </w:tc>
        <w:tc>
          <w:tcPr>
            <w:tcW w:type="dxa" w:w="44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Interactive Components Exposed</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SpecController</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/specs</w:t>
            </w:r>
          </w:p>
        </w:tc>
        <w:tc>
          <w:tcPr>
            <w:tcW w:type="dxa" w:w="4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File-picker + text field “try-it-out” form for POST /api/specs/upload (multipart file, versionLabel, projectId); paginated result viewer for GET /api/specs and GET /api/specs/{id}.</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AnalysisController</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/analysis</w:t>
            </w:r>
          </w:p>
        </w:tc>
        <w:tc>
          <w:tcPr>
            <w:tcW w:type="dxa" w:w="4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JSON-body “try-it-out” form for POST /api/analysis/compare (oldSpecId, newSpecId) rendered from AnalysisRequestDTO's schema; response viewer rendering the full AnalysisResponseDTO tree; list/detail viewers for GET /api/analysis/reports and GET /api/analysis/reports/{id}.</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ExtractionController</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/extraction</w:t>
            </w:r>
          </w:p>
        </w:tc>
        <w:tc>
          <w:tcPr>
            <w:tcW w:type="dxa" w:w="4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Parameter-less “try-it-out” triggers for GET /api/extraction/endpoints, GET /api/extraction/openapi.json, GET /api/extraction/openapi-raw.json, and POST /api/extraction/snapshot?analyze= (boolean query toggle rendered as a checkbox).</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DependencyController</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/dependencies</w:t>
            </w:r>
          </w:p>
        </w:tc>
        <w:tc>
          <w:tcPr>
            <w:tcW w:type="dxa" w:w="4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Form for POST /api/dependencies/register (projectName, sourcePath), trigger for POST /api/dependencies/scan/{id}, and list viewers for GET /api/dependencies/projects and GET /api/dependencies.</w:t>
            </w:r>
          </w:p>
        </w:tc>
      </w:tr>
    </w:tbl>
    <w:p>
      <w:r>
        <w:rPr>
          <w:rFonts w:ascii="Times New Roman" w:cs="Times New Roman" w:eastAsia="Times New Roman" w:hAnsi="Times New Roman"/>
          <w:sz w:val="24"/>
          <w:szCs w:val="24"/>
        </w:rPr>
        <w:t xml:space="preserve"/>
      </w:r>
    </w:p>
    <w:p>
      <w:pPr>
        <w:pStyle w:val="Heading3"/>
        <w:spacing w:after="160" w:before="240"/>
      </w:pPr>
      <w:r>
        <w:rPr>
          <w:rFonts w:ascii="Times New Roman" w:cs="Times New Roman" w:eastAsia="Times New Roman" w:hAnsi="Times New Roman"/>
          <w:b/>
          <w:bCs/>
          <w:sz w:val="28"/>
          <w:szCs w:val="28"/>
        </w:rPr>
        <w:t xml:space="preserve">4.3.1 Input Validation Rules</w:t>
      </w:r>
    </w:p>
    <w:p>
      <w:pPr>
        <w:spacing w:after="200" w:line="360"/>
        <w:jc w:val="both"/>
      </w:pPr>
      <w:r>
        <w:rPr>
          <w:rFonts w:ascii="Times New Roman" w:cs="Times New Roman" w:eastAsia="Times New Roman" w:hAnsi="Times New Roman"/>
          <w:b w:val="false"/>
          <w:bCs w:val="false"/>
          <w:i w:val="false"/>
          <w:iCs w:val="false"/>
          <w:sz w:val="24"/>
          <w:szCs w:val="24"/>
        </w:rPr>
        <w:t xml:space="preserve">Input validation is enforced at three distinct layers, from outermost to innermost: the servlet container's multipart limits, Jakarta Bean Validation annotations on request DTOs (enforced via @Valid at the controller boundary), and explicit application-level checks inside service methods for constraints that annotations cannot express (e.g., “this string must parse as a valid OpenAPI document”). Table 12 itemizes the concrete rules in force for the request paths exercised by this report's test cases (Section 4.5.3).</w:t>
      </w:r>
    </w:p>
    <w:p>
      <w:pPr>
        <w:spacing w:after="300" w:before="120"/>
        <w:jc w:val="center"/>
      </w:pPr>
      <w:r>
        <w:rPr>
          <w:rFonts w:ascii="Times New Roman" w:cs="Times New Roman" w:eastAsia="Times New Roman" w:hAnsi="Times New Roman"/>
          <w:b/>
          <w:bCs/>
          <w:i/>
          <w:iCs/>
          <w:sz w:val="22"/>
          <w:szCs w:val="22"/>
        </w:rPr>
        <w:t xml:space="preserve">Table 12: Input Validation Rules by DTO Field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800"/>
      </w:tblGrid>
      <w:tr>
        <w:tc>
          <w:tcPr>
            <w:tcW w:type="dxa" w:w="26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Field (DTO)</w:t>
            </w:r>
          </w:p>
        </w:tc>
        <w:tc>
          <w:tcPr>
            <w:tcW w:type="dxa" w:w="24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Constraint</w:t>
            </w:r>
          </w:p>
        </w:tc>
        <w:tc>
          <w:tcPr>
            <w:tcW w:type="dxa" w:w="48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Enforcement Mechanism</w:t>
            </w:r>
          </w:p>
        </w:tc>
      </w:tr>
      <w:t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AnalysisRequestDTO.oldSpecId</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@NotNull</w:t>
            </w:r>
          </w:p>
        </w:tc>
        <w:tc>
          <w:tcPr>
            <w:tcW w:type="dxa" w:w="4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Jakarta Bean Validation, triggered by @Valid on AnalysisController.compare(@Valid @RequestBody AnalysisRequestDTO). A null value short-circuits to MethodArgumentNotValidException before AnalysisService is invoked.</w:t>
            </w:r>
          </w:p>
        </w:tc>
      </w:tr>
      <w:t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AnalysisRequestDTO.newSpecId</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@NotNull</w:t>
            </w:r>
          </w:p>
        </w:tc>
        <w:tc>
          <w:tcPr>
            <w:tcW w:type="dxa" w:w="4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Same mechanism as oldSpecId; both IDs are validated independently so a client omitting either field receives both field errors in a single response.</w:t>
            </w:r>
          </w:p>
        </w:tc>
      </w:tr>
      <w:t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SpecController.upload(file)</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Non-empty multipart file, ≤ 10 MB</w:t>
            </w:r>
          </w:p>
        </w:tc>
        <w:tc>
          <w:tcPr>
            <w:tcW w:type="dxa" w:w="4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spring.servlet.multipart.max-file-size=10MB / max-request-size=10MB in application.properties; an oversized upload is rejected by the servlet container before reaching SpecController, surfaced as a 500 by the generic exception branch of GlobalExceptionHandler (an identified gap — see Section 5.3).</w:t>
            </w:r>
          </w:p>
        </w:tc>
      </w:tr>
      <w:t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SpecController.upload(content)</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Well-formed OpenAPI 3.x document</w:t>
            </w:r>
          </w:p>
        </w:tc>
        <w:tc>
          <w:tcPr>
            <w:tcW w:type="dxa" w:w="4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Explicit application-level check: OpenAPIParser().readContents(content, null, null) is called synchronously in the controller; a null/empty SwaggerParseResult.getOpenAPI() throws InvalidSpecException, mapped to HTTP 400.</w:t>
            </w:r>
          </w:p>
        </w:tc>
      </w:tr>
      <w:t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DependencyController.register(sourcePath)</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Path must resolve to a readable directory</w:t>
            </w:r>
          </w:p>
        </w:tc>
        <w:tc>
          <w:tcPr>
            <w:tcW w:type="dxa" w:w="4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Checked inside DependencyScannerService before the JavaParser walk begins; an unresolvable path is wrapped and rethrown as AnalysisException, mapped to HTTP 500 by GlobalExceptionHandler.</w:t>
            </w:r>
          </w:p>
        </w:tc>
      </w:tr>
    </w:tbl>
    <w:p>
      <w:r>
        <w:rPr>
          <w:rFonts w:ascii="Times New Roman" w:cs="Times New Roman" w:eastAsia="Times New Roman" w:hAnsi="Times New Roman"/>
          <w:sz w:val="24"/>
          <w:szCs w:val="24"/>
        </w:rPr>
        <w:t xml:space="preserve"/>
      </w:r>
    </w:p>
    <w:p>
      <w:pPr>
        <w:pStyle w:val="Heading3"/>
        <w:spacing w:after="160" w:before="240"/>
      </w:pPr>
      <w:r>
        <w:rPr>
          <w:rFonts w:ascii="Times New Roman" w:cs="Times New Roman" w:eastAsia="Times New Roman" w:hAnsi="Times New Roman"/>
          <w:b/>
          <w:bCs/>
          <w:sz w:val="28"/>
          <w:szCs w:val="28"/>
        </w:rPr>
        <w:t xml:space="preserve">4.3.2 Error-Handling Mechanics</w:t>
      </w:r>
    </w:p>
    <w:p>
      <w:pPr>
        <w:spacing w:after="200" w:line="360"/>
        <w:jc w:val="both"/>
      </w:pPr>
      <w:r>
        <w:rPr>
          <w:rFonts w:ascii="Times New Roman" w:cs="Times New Roman" w:eastAsia="Times New Roman" w:hAnsi="Times New Roman"/>
          <w:b w:val="false"/>
          <w:bCs w:val="false"/>
          <w:i w:val="false"/>
          <w:iCs w:val="false"/>
          <w:sz w:val="24"/>
          <w:szCs w:val="24"/>
        </w:rPr>
        <w:t xml:space="preserve">All exceptions are centralized in a single @RestControllerAdvice, GlobalExceptionHandler, so no individual controller method contains a try/catch block — every handler method is written as straight-line code that lets exceptions propagate. Each handler returns a uniform ErrorResponse record (status, error, message, timestamp) so that every failure mode, regardless of origin, is machine-parseable in the same shape. Table 13 enumerates the five branches implemented.</w:t>
      </w:r>
    </w:p>
    <w:p>
      <w:pPr>
        <w:spacing w:after="300" w:before="120"/>
        <w:jc w:val="center"/>
      </w:pPr>
      <w:r>
        <w:rPr>
          <w:rFonts w:ascii="Times New Roman" w:cs="Times New Roman" w:eastAsia="Times New Roman" w:hAnsi="Times New Roman"/>
          <w:b/>
          <w:bCs/>
          <w:i/>
          <w:iCs/>
          <w:sz w:val="22"/>
          <w:szCs w:val="22"/>
        </w:rPr>
        <w:t xml:space="preserve">Table 13: Exception-to-HTTP-Status Mapping (GlobalExceptionHandler)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400"/>
      </w:tblGrid>
      <w:tr>
        <w:tc>
          <w:tcPr>
            <w:tcW w:type="dxa" w:w="24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Exception</w:t>
            </w:r>
          </w:p>
        </w:tc>
        <w:tc>
          <w:tcPr>
            <w:tcW w:type="dxa" w:w="20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HTTP Status</w:t>
            </w:r>
          </w:p>
        </w:tc>
        <w:tc>
          <w:tcPr>
            <w:tcW w:type="dxa" w:w="54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Trigger Condition / Sample ErrorResponse</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ResourceNotFoundException</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404 Not Found</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Thrown by AnalysisService when SpecVersionRepository.findById(oldSpecId/newSpecId) or AnalysisReportRepository.findById(id) returns empty. { "status":404, "error":"Not Found", "message":"SpecVersion not found with id: 42" }</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InvalidSpecException</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400 Bad Request</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Thrown when OpenAPIParser cannot produce a non-null OpenAPI model from the supplied content (malformed JSON/YAML, missing required OpenAPI root fields). { "status":400, "error":"Bad Request", "message":"Invalid OpenAPI specification: ..." }</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MethodArgumentNotValidException</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400 Bad Request</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Raised by Spring's @Valid pipeline before any handler method body executes; GlobalExceptionHandler joins every FieldError into a single comma-separated message string rather than a structured per-field array (identified as a client-ergonomics gap — Section 5.3).</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AnalysisException</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500 Internal Server Error</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 catch-all wrapper thrown by service-layer code (e.g., DependencyScannerService, AnalysisService) around checked I/O or parsing failures that are not one of the two categories above. { "status":500, "error":"Internal Server Error", "message":"Analysis failed: ..." }</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Exception (generic fallback)</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500 Internal Server Error</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Final @ExceptionHandler(Exception.class) branch; catches anything not explicitly typed above, including the oversized-multipart case noted in the input-design table. This is the least informative branch in the handler and the first target for tightening in Part II.</w:t>
            </w:r>
          </w:p>
        </w:tc>
      </w:tr>
    </w:tbl>
    <w:p>
      <w:r>
        <w:rPr>
          <w:rFonts w:ascii="Times New Roman" w:cs="Times New Roman" w:eastAsia="Times New Roman" w:hAnsi="Times New Roman"/>
          <w:sz w:val="24"/>
          <w:szCs w:val="24"/>
        </w:rPr>
        <w:t xml:space="preserve"/>
      </w:r>
    </w:p>
    <w:p>
      <w:pPr>
        <w:pStyle w:val="Heading2"/>
        <w:spacing w:after="200" w:before="360"/>
      </w:pPr>
      <w:r>
        <w:rPr>
          <w:rFonts w:ascii="Times New Roman" w:cs="Times New Roman" w:eastAsia="Times New Roman" w:hAnsi="Times New Roman"/>
          <w:b/>
          <w:bCs/>
          <w:sz w:val="32"/>
          <w:szCs w:val="32"/>
        </w:rPr>
        <w:t xml:space="preserve">4.4 Experimental Setup and Tools</w:t>
      </w:r>
    </w:p>
    <w:p>
      <w:pPr>
        <w:pStyle w:val="Heading3"/>
        <w:spacing w:after="160" w:before="240"/>
      </w:pPr>
      <w:r>
        <w:rPr>
          <w:rFonts w:ascii="Times New Roman" w:cs="Times New Roman" w:eastAsia="Times New Roman" w:hAnsi="Times New Roman"/>
          <w:b/>
          <w:bCs/>
          <w:sz w:val="28"/>
          <w:szCs w:val="28"/>
        </w:rPr>
        <w:t xml:space="preserve">4.4.1 Runtime Environment</w:t>
      </w:r>
    </w:p>
    <w:p>
      <w:pPr>
        <w:spacing w:after="200" w:line="360"/>
        <w:jc w:val="both"/>
      </w:pPr>
      <w:r>
        <w:rPr>
          <w:rFonts w:ascii="Times New Roman" w:cs="Times New Roman" w:eastAsia="Times New Roman" w:hAnsi="Times New Roman"/>
          <w:b w:val="false"/>
          <w:bCs w:val="false"/>
          <w:i w:val="false"/>
          <w:iCs w:val="false"/>
          <w:sz w:val="24"/>
          <w:szCs w:val="24"/>
        </w:rPr>
        <w:t xml:space="preserve">The project targets Java 17 (&lt;java.version&gt;17&lt;/java.version&gt; in pom.xml, inherited from spring-boot-starter-parent 4.1.0) as its build and deployment runtime. Independent verification of the algorithmic core for this report (Sections 4.5.3 and 4.6) was carried out by extracting the relevant pure-logic methods and executing them directly against OpenJDK 21.0.12 (LTS-compatible superset of the target runtime) on a single-vCPU Intel Xeon @ 2.10 GHz container with 3.9 GB RAM — the verification environment available in this reporting session, distinct from the project's own target deployment host. This distinction, and its implication for the scope of the results in Section 4.6, is stated explicitly rather than presented as a production benchmark.</w:t>
      </w:r>
    </w:p>
    <w:p>
      <w:pPr>
        <w:pStyle w:val="Heading3"/>
        <w:spacing w:after="160" w:before="240"/>
      </w:pPr>
      <w:r>
        <w:rPr>
          <w:rFonts w:ascii="Times New Roman" w:cs="Times New Roman" w:eastAsia="Times New Roman" w:hAnsi="Times New Roman"/>
          <w:b/>
          <w:bCs/>
          <w:sz w:val="28"/>
          <w:szCs w:val="28"/>
        </w:rPr>
        <w:t xml:space="preserve">4.4.2 Dependency Configuration</w:t>
      </w:r>
    </w:p>
    <w:p>
      <w:pPr>
        <w:spacing w:after="300" w:before="120"/>
        <w:jc w:val="center"/>
      </w:pPr>
      <w:r>
        <w:rPr>
          <w:rFonts w:ascii="Times New Roman" w:cs="Times New Roman" w:eastAsia="Times New Roman" w:hAnsi="Times New Roman"/>
          <w:b/>
          <w:bCs/>
          <w:i/>
          <w:iCs/>
          <w:sz w:val="22"/>
          <w:szCs w:val="22"/>
        </w:rPr>
        <w:t xml:space="preserve">Table 14: Runtime and Build Dependency Configuration (pom.xml)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400"/>
      </w:tblGrid>
      <w:tr>
        <w:tc>
          <w:tcPr>
            <w:tcW w:type="dxa" w:w="30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Dependency (groupId:artifactId)</w:t>
            </w:r>
          </w:p>
        </w:tc>
        <w:tc>
          <w:tcPr>
            <w:tcW w:type="dxa" w:w="14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Version</w:t>
            </w:r>
          </w:p>
        </w:tc>
        <w:tc>
          <w:tcPr>
            <w:tcW w:type="dxa" w:w="54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Purpose in This Codebase</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org.springframework.boot:spring-boot-starter-parent</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4.1.0</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Dependency/version management BOM; also fixes the compiler source/target to Java 17 via &lt;java.version&gt;.</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spring-boot-starter-web</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(BOM-managed)</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Embedded Tomcat + Spring MVC for AnalysisController, SpecController, ExtractionController, DependencyController.</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spring-boot-starter-data-jpa</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(BOM-managed)</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Hibernate-backed JPA repositories for all six entities (Section 3.1's ER model).</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spring-boot-starter-validation</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(BOM-managed)</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Jakarta Bean Validation provider backing @NotNull/@Valid on AnalysisRequestDTO.</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org.postgresql:postgresql</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(BOM-managed, runtime)</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Live JDBC driver — the configured spring.datasource.url points at a PostgreSQL instance.</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com.mysql:mysql-connector-j</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(BOM-managed, runtime)</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Present in pom.xml but unreferenced by any configured datasource — confirmed dead dependency, unchanged since the Chapter 2 audit.</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io.swagger.parser.v3:swagger-parser</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2.1.22</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OpenAPIParser used by SpecController (upload validation) and AnalysisService (re-parsing stored specs before comparison).</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com.github.javaparser:javaparser-core</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3.26.3</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AST parsing engine for StaticEndpointExtractionService and DependencyScannerService.</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org.projectlombok:lombok</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(BOM-managed)</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@Data/@Builder/@AllArgsConstructor on entity and DTO classes.</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org.modelmapper:modelmapper</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3.1.1</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Declared for entity↔DTO conversion; used selectively alongside hand-written builder mappings.</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org.springdoc:springdoc-openapi-starter-webmvc-ui</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2.8.5</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Generates the Swagger UI described in Section 4.3.</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spring-boot-starter-test</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(BOM-managed)</w:t>
            </w:r>
          </w:p>
        </w:tc>
        <w:tc>
          <w:tcPr>
            <w:tcW w:type="dxa" w:w="5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JUnit 5 + Mockito; backs the five test classes referenced in Section 4.5.3.</w:t>
            </w:r>
          </w:p>
        </w:tc>
      </w:tr>
    </w:tbl>
    <w:p>
      <w:r>
        <w:rPr>
          <w:rFonts w:ascii="Times New Roman" w:cs="Times New Roman" w:eastAsia="Times New Roman" w:hAnsi="Times New Roman"/>
          <w:sz w:val="24"/>
          <w:szCs w:val="24"/>
        </w:rPr>
        <w:t xml:space="preserve"/>
      </w:r>
    </w:p>
    <w:p>
      <w:pPr>
        <w:pStyle w:val="Heading3"/>
        <w:spacing w:after="160" w:before="240"/>
      </w:pPr>
      <w:r>
        <w:rPr>
          <w:rFonts w:ascii="Times New Roman" w:cs="Times New Roman" w:eastAsia="Times New Roman" w:hAnsi="Times New Roman"/>
          <w:b/>
          <w:bCs/>
          <w:sz w:val="28"/>
          <w:szCs w:val="28"/>
        </w:rPr>
        <w:t xml:space="preserve">4.4.3 Environment Variable and Property Specification</w:t>
      </w:r>
    </w:p>
    <w:p>
      <w:pPr>
        <w:spacing w:after="200" w:line="360"/>
        <w:jc w:val="both"/>
      </w:pPr>
      <w:r>
        <w:rPr>
          <w:rFonts w:ascii="Times New Roman" w:cs="Times New Roman" w:eastAsia="Times New Roman" w:hAnsi="Times New Roman"/>
          <w:b w:val="false"/>
          <w:bCs w:val="false"/>
          <w:i w:val="false"/>
          <w:iCs w:val="false"/>
          <w:sz w:val="24"/>
          <w:szCs w:val="24"/>
        </w:rPr>
        <w:t xml:space="preserve">Table 15 lists every application.properties key that governs runtime behavior, together with the value as committed in the reviewed codebase. None of these are currently sourced from OS environment variables or a Spring profile — all are literal values in a single properties file, which is itself one of the portability/security findings carried into Section 5.3.</w:t>
      </w:r>
    </w:p>
    <w:p>
      <w:pPr>
        <w:spacing w:after="300" w:before="120"/>
        <w:jc w:val="center"/>
      </w:pPr>
      <w:r>
        <w:rPr>
          <w:rFonts w:ascii="Times New Roman" w:cs="Times New Roman" w:eastAsia="Times New Roman" w:hAnsi="Times New Roman"/>
          <w:b/>
          <w:bCs/>
          <w:i/>
          <w:iCs/>
          <w:sz w:val="22"/>
          <w:szCs w:val="22"/>
        </w:rPr>
        <w:t xml:space="preserve">Table 15: application.properties — Key Configuration Parameters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4000"/>
      </w:tblGrid>
      <w:tr>
        <w:tc>
          <w:tcPr>
            <w:tcW w:type="dxa" w:w="32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Property Key</w:t>
            </w:r>
          </w:p>
        </w:tc>
        <w:tc>
          <w:tcPr>
            <w:tcW w:type="dxa" w:w="26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As-Configured Value</w:t>
            </w:r>
          </w:p>
        </w:tc>
        <w:tc>
          <w:tcPr>
            <w:tcW w:type="dxa" w:w="4000"/>
            <w:tcBorders>
              <w:top w:val="single" w:color="808080" w:sz="4"/>
              <w:left w:val="single" w:color="808080" w:sz="4"/>
              <w:bottom w:val="single" w:color="808080" w:sz="4"/>
              <w:right w:val="single" w:color="808080" w:sz="4"/>
            </w:tcBorders>
            <w:shd w:fill="D9D9D9"/>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Purpose</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spring.datasource.url</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val="false"/>
                <w:bCs w:val="false"/>
                <w:sz w:val="20"/>
                <w:szCs w:val="20"/>
              </w:rPr>
              <w:t xml:space="preserve">jdbc:postgresql://localhost:5432/api_analyzer</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JDBC connection string for the local PostgreSQL instance.</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spring.datasource.username</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val="false"/>
                <w:bCs w:val="false"/>
                <w:sz w:val="20"/>
                <w:szCs w:val="20"/>
              </w:rPr>
              <w:t xml:space="preserve">postgres</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Database login — literal value, not environment-sourced (see finding below).</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spring.datasource.password</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val="false"/>
                <w:bCs w:val="false"/>
                <w:sz w:val="20"/>
                <w:szCs w:val="20"/>
              </w:rPr>
              <w:t xml:space="preserve">[REDACTED — committed in plaintext]</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Database password. Committed as a literal string in application.properties in the codebase reviewed for this report — a live instance of the NFR-level risk flagged in Table 4 (Chapter 3), not merely an anticipated one. Value withheld from this report; remediation recommended in Section 5.3.</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spring.jpa.hibernate.ddl-auto</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val="false"/>
                <w:bCs w:val="false"/>
                <w:sz w:val="20"/>
                <w:szCs w:val="20"/>
              </w:rPr>
              <w:t xml:space="preserve">update</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Schema auto-sync on boot; no Flyway/Liquibase migration tooling is present.</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server.port</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val="false"/>
                <w:bCs w:val="false"/>
                <w:sz w:val="20"/>
                <w:szCs w:val="20"/>
              </w:rPr>
              <w:t xml:space="preserve">8080 (default, unset)</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Embedded Tomcat listen port.</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spring.servlet.multipart.max-file-size</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val="false"/>
                <w:bCs w:val="false"/>
                <w:sz w:val="20"/>
                <w:szCs w:val="20"/>
              </w:rPr>
              <w:t xml:space="preserve">10MB</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Upper bound on a single POST /api/specs/upload file, enforced before SpecController executes.</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cia.weights.w1 / w2</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val="false"/>
                <w:bCs w:val="false"/>
                <w:sz w:val="20"/>
                <w:szCs w:val="20"/>
              </w:rPr>
              <w:t xml:space="preserve">0.70 / 0.30</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Composite-score weights consumed by ImpactScoringService (see Section 4.5.1 for the as-implemented formula).</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cia.blast.max-consumers</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val="false"/>
                <w:bCs w:val="false"/>
                <w:sz w:val="20"/>
                <w:szCs w:val="20"/>
              </w:rPr>
              <w:t xml:space="preserve">10</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Denominator used to normalize raw consumer-project counts into dBlast ∈ [0,1].</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cia.risk.threshold.medium / high / critical</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val="false"/>
                <w:bCs w:val="false"/>
                <w:sz w:val="20"/>
                <w:szCs w:val="20"/>
              </w:rPr>
              <w:t xml:space="preserve">0.25 / 0.50 / 0.75</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Composite-score cut points used by ImpactScoringService.determineRiskLevel().</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bCs/>
                <w:sz w:val="20"/>
                <w:szCs w:val="20"/>
              </w:rPr>
              <w:t xml:space="preserve">endpoint-extraction.source-root</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Consolas" w:cs="Consolas" w:eastAsia="Consolas" w:hAnsi="Consolas"/>
                <w:b w:val="false"/>
                <w:bCs w:val="false"/>
                <w:sz w:val="20"/>
                <w:szCs w:val="20"/>
              </w:rPr>
              <w:t xml:space="preserve">Absolute local filesystem path (hardcoded)</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Root directory StaticEndpointExtractionService walks; not environment-parameterized, so it must be edited per machine — a portability gap reaffirmed in Section 5.3.</w:t>
            </w:r>
          </w:p>
        </w:tc>
      </w:tr>
    </w:tbl>
    <w:p>
      <w:r>
        <w:rPr>
          <w:rFonts w:ascii="Times New Roman" w:cs="Times New Roman" w:eastAsia="Times New Roman" w:hAnsi="Times New Roman"/>
          <w:sz w:val="24"/>
          <w:szCs w:val="24"/>
        </w:rPr>
        <w:t xml:space="preserve"/>
      </w:r>
    </w:p>
    <w:p>
      <w:pPr>
        <w:pStyle w:val="Heading2"/>
        <w:spacing w:after="200" w:before="360"/>
      </w:pPr>
      <w:r>
        <w:rPr>
          <w:rFonts w:ascii="Times New Roman" w:cs="Times New Roman" w:eastAsia="Times New Roman" w:hAnsi="Times New Roman"/>
          <w:b/>
          <w:bCs/>
          <w:sz w:val="32"/>
          <w:szCs w:val="32"/>
        </w:rPr>
        <w:t xml:space="preserve">4.5 Implementation, Deployment and Testing</w:t>
      </w:r>
    </w:p>
    <w:p>
      <w:pPr>
        <w:pStyle w:val="Heading3"/>
        <w:spacing w:after="160" w:before="240"/>
      </w:pPr>
      <w:r>
        <w:rPr>
          <w:rFonts w:ascii="Times New Roman" w:cs="Times New Roman" w:eastAsia="Times New Roman" w:hAnsi="Times New Roman"/>
          <w:b/>
          <w:bCs/>
          <w:sz w:val="28"/>
          <w:szCs w:val="28"/>
        </w:rPr>
        <w:t xml:space="preserve">4.5.1 Key Module Implementations</w:t>
      </w:r>
    </w:p>
    <w:p>
      <w:pPr>
        <w:spacing w:after="200" w:line="360"/>
        <w:jc w:val="both"/>
      </w:pPr>
      <w:r>
        <w:rPr>
          <w:rFonts w:ascii="Times New Roman" w:cs="Times New Roman" w:eastAsia="Times New Roman" w:hAnsi="Times New Roman"/>
          <w:b w:val="false"/>
          <w:bCs w:val="false"/>
          <w:i w:val="false"/>
          <w:iCs w:val="false"/>
          <w:sz w:val="24"/>
          <w:szCs w:val="24"/>
        </w:rPr>
        <w:t xml:space="preserve">Table 16 cross-references every module exercised by the Part I test suite (Section 4.5.3) against its concrete file path, exposed route or method signature, and the specific implementation behavior verified for this report.</w:t>
      </w:r>
    </w:p>
    <w:p>
      <w:pPr>
        <w:spacing w:after="300" w:before="120"/>
        <w:jc w:val="center"/>
      </w:pPr>
      <w:r>
        <w:rPr>
          <w:rFonts w:ascii="Times New Roman" w:cs="Times New Roman" w:eastAsia="Times New Roman" w:hAnsi="Times New Roman"/>
          <w:b/>
          <w:bCs/>
          <w:i/>
          <w:iCs/>
          <w:sz w:val="22"/>
          <w:szCs w:val="22"/>
        </w:rPr>
        <w:t xml:space="preserve">Table 16: Key Module Implementations — File, Route/Signature, and Behavior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800"/>
      </w:tblGrid>
      <w:tr>
        <w:tc>
          <w:tcPr>
            <w:tcW w:type="dxa" w:w="24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Class / File</w:t>
            </w:r>
          </w:p>
        </w:tc>
        <w:tc>
          <w:tcPr>
            <w:tcW w:type="dxa" w:w="26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Route(s) / Signature</w:t>
            </w:r>
          </w:p>
        </w:tc>
        <w:tc>
          <w:tcPr>
            <w:tcW w:type="dxa" w:w="48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Implementation Detail</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bCs/>
                <w:sz w:val="18"/>
                <w:szCs w:val="18"/>
              </w:rPr>
              <w:t xml:space="preserve">AnalysisController
controller/AnalysisController.java</w:t>
            </w:r>
          </w:p>
        </w:tc>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val="false"/>
                <w:bCs w:val="false"/>
                <w:sz w:val="18"/>
                <w:szCs w:val="18"/>
              </w:rPr>
              <w:t xml:space="preserve">POST /api/analysis/compare
GET /api/analysis/reports
GET /api/analysis/reports/{id}</w:t>
            </w:r>
          </w:p>
        </w:tc>
        <w:tc>
          <w:tcPr>
            <w:tcW w:type="dxa" w:w="4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Times New Roman" w:cs="Times New Roman" w:eastAsia="Times New Roman" w:hAnsi="Times New Roman"/>
                <w:b w:val="false"/>
                <w:bCs w:val="false"/>
                <w:sz w:val="18"/>
                <w:szCs w:val="18"/>
              </w:rPr>
              <w:t xml:space="preserve">Thin delegate; @Valid on the request body triggers Jakarta validation before AnalysisService.compare() is called. No business logic in the controller layer.</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bCs/>
                <w:sz w:val="18"/>
                <w:szCs w:val="18"/>
              </w:rPr>
              <w:t xml:space="preserve">AnalysisService
service/AnalysisService.java</w:t>
            </w:r>
          </w:p>
        </w:tc>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val="false"/>
                <w:bCs w:val="false"/>
                <w:sz w:val="18"/>
                <w:szCs w:val="18"/>
              </w:rPr>
              <w:t xml:space="preserve">compare(AnalysisRequestDTO)
getReport(Long)
calculateBlastRadius(List&lt;ViolationDTO&gt;)</w:t>
            </w:r>
          </w:p>
        </w:tc>
        <w:tc>
          <w:tcPr>
            <w:tcW w:type="dxa" w:w="4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Times New Roman" w:cs="Times New Roman" w:eastAsia="Times New Roman" w:hAnsi="Times New Roman"/>
                <w:b w:val="false"/>
                <w:bCs w:val="false"/>
                <w:sz w:val="18"/>
                <w:szCs w:val="18"/>
              </w:rPr>
              <w:t xml:space="preserve">Orchestrator. compare() fetches both SpecVersion rows, re-parses raw content with OpenAPIParser, calls SGMService.analyze(), then calculateBlastRadius() which iterates the returned violations and, for each, queries ClientDependencyRepository.findByHttpMethodIgnoreCaseAndNormalizedPath() (normalizing the violation's own endpoint string via DependencyScannerService.normalizePath() first) to attach an ImpactedEndpointDTO listing every consumer project that calls it. The aggregate consumer count feeds ImpactScoringService.calculate(dStruct, blastRadius). The whole method is @Transactional, so the AnalysisReport and its child Violation rows commit atomically.</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bCs/>
                <w:sz w:val="18"/>
                <w:szCs w:val="18"/>
              </w:rPr>
              <w:t xml:space="preserve">SGMService
service/sgm/SGMService.java</w:t>
            </w:r>
          </w:p>
        </w:tc>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val="false"/>
                <w:bCs w:val="false"/>
                <w:sz w:val="18"/>
                <w:szCs w:val="18"/>
              </w:rPr>
              <w:t xml:space="preserve">analyze(OpenAPI, OpenAPI) → SGMResultDTO</w:t>
            </w:r>
          </w:p>
        </w:tc>
        <w:tc>
          <w:tcPr>
            <w:tcW w:type="dxa" w:w="4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Times New Roman" w:cs="Times New Roman" w:eastAsia="Times New Roman" w:hAnsi="Times New Roman"/>
                <w:b w:val="false"/>
                <w:bCs w:val="false"/>
                <w:sz w:val="18"/>
                <w:szCs w:val="18"/>
              </w:rPr>
              <w:t xml:space="preserve">Constructor-injects List&lt;DesignRule&gt;; Spring auto-collects all eight @Component rule beans. Each rule's evaluate() call is individually try/caught so one failing rule cannot abort the pass. Aggregates returned violations by severity (BREAKING/WARNING/INFO) and computes dStruct via the weighted-and-floored formula in 4.5.1.1.</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bCs/>
                <w:sz w:val="18"/>
                <w:szCs w:val="18"/>
              </w:rPr>
              <w:t xml:space="preserve">DesignRule implementations
service/sgm/rules/*.java</w:t>
            </w:r>
          </w:p>
        </w:tc>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val="false"/>
                <w:bCs w:val="false"/>
                <w:sz w:val="18"/>
                <w:szCs w:val="18"/>
              </w:rPr>
              <w:t xml:space="preserve">evaluate(OpenAPI old, OpenAPI new) → List&lt;ViolationDTO&gt;</w:t>
            </w:r>
          </w:p>
        </w:tc>
        <w:tc>
          <w:tcPr>
            <w:tcW w:type="dxa" w:w="4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Times New Roman" w:cs="Times New Roman" w:eastAsia="Times New Roman" w:hAnsi="Times New Roman"/>
                <w:b w:val="false"/>
                <w:bCs w:val="false"/>
                <w:sz w:val="18"/>
                <w:szCs w:val="18"/>
              </w:rPr>
              <w:t xml:space="preserve">Eight independent @Component beans: VersioningRule, NamingConventionRule, EndpointRenameRule (@Order(1)), RemovedEndpointRule (@Order(2), runs after the rename rule specifically to avoid double-flagging a rename as a removal), ParameterTypeChangeRule, RequiredFieldRule, HttpMethodChangeRule, SecurityViolationRule.</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bCs/>
                <w:sz w:val="18"/>
                <w:szCs w:val="18"/>
              </w:rPr>
              <w:t xml:space="preserve">ImpactScoringService
service/scoring/ImpactScoringService.java</w:t>
            </w:r>
          </w:p>
        </w:tc>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val="false"/>
                <w:bCs w:val="false"/>
                <w:sz w:val="18"/>
                <w:szCs w:val="18"/>
              </w:rPr>
              <w:t xml:space="preserve">calculate(double dStruct, int blastRadius) → ImpactScoreDTO
calculate(double dStruct) [1-arg overload]</w:t>
            </w:r>
          </w:p>
        </w:tc>
        <w:tc>
          <w:tcPr>
            <w:tcW w:type="dxa" w:w="4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Times New Roman" w:cs="Times New Roman" w:eastAsia="Times New Roman" w:hAnsi="Times New Roman"/>
                <w:b w:val="false"/>
                <w:bCs w:val="false"/>
                <w:sz w:val="18"/>
                <w:szCs w:val="18"/>
              </w:rPr>
              <w:t xml:space="preserve">Pure function, no side effects. dBlast = min(1, blastRadius / cia.blast.max-consumers); sTotal = min(1, w1·dStruct + w2·dBlast); riskLevel banded against three configurable thresholds. The 1-arg overload sets blastRadius=0, preserved for backward compatibility with call sites that predate the blast-radius integration.</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bCs/>
                <w:sz w:val="18"/>
                <w:szCs w:val="18"/>
              </w:rPr>
              <w:t xml:space="preserve">DependencyScannerService
service/extraction/DependencyScannerService.java</w:t>
            </w:r>
          </w:p>
        </w:tc>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val="false"/>
                <w:bCs w:val="false"/>
                <w:sz w:val="18"/>
                <w:szCs w:val="18"/>
              </w:rPr>
              <w:t xml:space="preserve">registerAndScan(String name, String path) → ClientProject
scanProject(ClientProject) → List&lt;ClientDependency&gt;
normalizePath(String)</w:t>
            </w:r>
          </w:p>
        </w:tc>
        <w:tc>
          <w:tcPr>
            <w:tcW w:type="dxa" w:w="4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Times New Roman" w:cs="Times New Roman" w:eastAsia="Times New Roman" w:hAnsi="Times New Roman"/>
                <w:b w:val="false"/>
                <w:bCs w:val="false"/>
                <w:sz w:val="18"/>
                <w:szCs w:val="18"/>
              </w:rPr>
              <w:t xml:space="preserve">JavaParser-driven AST walk detecting @FeignClient interface methods, RestTemplate.getForObject/postForEntity/exchange/etc. call expressions, and WebClient .uri(...) fluent chains. String-literal and simple local-variable URL concatenation is resolved via collectStringParts()/resolveExpression(). Every detected call path is normalized (numeric and {param} path segments collapse to a shared {} token) so that /users/42 and /users/{id} key to the same ClientDependency.normalizedPath, which is what AnalysisService.calculateBlastRadius() joins against.</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bCs/>
                <w:sz w:val="18"/>
                <w:szCs w:val="18"/>
              </w:rPr>
              <w:t xml:space="preserve">GlobalExceptionHandler
exception/GlobalExceptionHandler.java</w:t>
            </w:r>
          </w:p>
        </w:tc>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Consolas" w:cs="Consolas" w:eastAsia="Consolas" w:hAnsi="Consolas"/>
                <w:b w:val="false"/>
                <w:bCs w:val="false"/>
                <w:sz w:val="18"/>
                <w:szCs w:val="18"/>
              </w:rPr>
              <w:t xml:space="preserve">@RestControllerAdvice, 5 @ExceptionHandler methods</w:t>
            </w:r>
          </w:p>
        </w:tc>
        <w:tc>
          <w:tcPr>
            <w:tcW w:type="dxa" w:w="4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r>
              <w:rPr>
                <w:rFonts w:ascii="Times New Roman" w:cs="Times New Roman" w:eastAsia="Times New Roman" w:hAnsi="Times New Roman"/>
                <w:b w:val="false"/>
                <w:bCs w:val="false"/>
                <w:sz w:val="18"/>
                <w:szCs w:val="18"/>
              </w:rPr>
              <w:t xml:space="preserve">Detailed in Table 13 (Section 4.3.2). Centralizes all error-to-HTTP-status mapping so no controller carries its own try/catch block.</w:t>
            </w:r>
          </w:p>
        </w:tc>
      </w:tr>
    </w:tbl>
    <w:p>
      <w:r>
        <w:rPr>
          <w:rFonts w:ascii="Times New Roman" w:cs="Times New Roman" w:eastAsia="Times New Roman" w:hAnsi="Times New Roman"/>
          <w:sz w:val="24"/>
          <w:szCs w:val="24"/>
        </w:rPr>
        <w:t xml:space="preserve"/>
      </w:r>
    </w:p>
    <w:p>
      <w:pPr>
        <w:spacing w:after="120" w:before="200"/>
      </w:pPr>
      <w:r>
        <w:rPr>
          <w:rFonts w:ascii="Times New Roman" w:cs="Times New Roman" w:eastAsia="Times New Roman" w:hAnsi="Times New Roman"/>
          <w:b/>
          <w:bCs/>
          <w:i/>
          <w:iCs/>
          <w:sz w:val="24"/>
          <w:szCs w:val="24"/>
        </w:rPr>
        <w:t xml:space="preserve">4.5.1.1 As-Implemented Composite Scoring Formula</w:t>
      </w:r>
    </w:p>
    <w:p>
      <w:pPr>
        <w:spacing w:after="200" w:line="360"/>
        <w:jc w:val="both"/>
      </w:pPr>
      <w:r>
        <w:rPr>
          <w:rFonts w:ascii="Times New Roman" w:cs="Times New Roman" w:eastAsia="Times New Roman" w:hAnsi="Times New Roman"/>
          <w:b w:val="false"/>
          <w:bCs w:val="false"/>
          <w:i w:val="false"/>
          <w:iCs w:val="false"/>
          <w:sz w:val="24"/>
          <w:szCs w:val="24"/>
        </w:rPr>
        <w:t xml:space="preserve">Chapter 3 introduced the composite-scoring principle in its general three-term form, sTotal = w1·dStruct + w2·dApi + w3·aSec, spanning the SGM, SPM, and SAM pillars. Tracing the actual orchestration path in AnalysisService.compare() for this chapter shows that the Part I codebase wires a two-term specialization of that model: the structural signal (dStruct, from SGM) is combined with a consumer-impact signal (dBlast) derived from the dependency scanner's blast-radius join, not with the SAM/SPM prototypes. Concretely: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08080" w:sz="4"/>
              <w:left w:val="single" w:color="808080" w:sz="4"/>
              <w:bottom w:val="single" w:color="808080" w:sz="4"/>
              <w:right w:val="single" w:color="808080" w:sz="4"/>
            </w:tcBorders>
            <w:shd w:fill="F2F2F2"/>
            <w:tcMar>
              <w:top w:type="dxa" w:w="160"/>
              <w:left w:type="dxa" w:w="200"/>
              <w:bottom w:type="dxa" w:w="160"/>
              <w:right w:type="dxa" w:w="200"/>
            </w:tcMar>
          </w:tcPr>
          <w:p>
            <w:pPr>
              <w:spacing w:after="20"/>
            </w:pPr>
            <w:r>
              <w:rPr>
                <w:rFonts w:ascii="Consolas" w:cs="Consolas" w:eastAsia="Consolas" w:hAnsi="Consolas"/>
                <w:sz w:val="18"/>
                <w:szCs w:val="18"/>
              </w:rPr>
              <w:t xml:space="preserve">dBlast  = min(1.0, blastRadius / cia.blast.max-consumers)      // blastRadius = distinct consumer projects hit</w:t>
            </w:r>
          </w:p>
          <w:p>
            <w:pPr>
              <w:spacing w:after="20"/>
            </w:pPr>
            <w:r>
              <w:rPr>
                <w:rFonts w:ascii="Consolas" w:cs="Consolas" w:eastAsia="Consolas" w:hAnsi="Consolas"/>
                <w:sz w:val="18"/>
                <w:szCs w:val="18"/>
              </w:rPr>
              <w:t xml:space="preserve">sTotal  = min(1.0, (w1 * dStruct) + (w2 * dBlast))              // w1 = 0.70, w2 = 0.30 (application.properties)</w:t>
            </w:r>
          </w:p>
          <w:p>
            <w:pPr>
              <w:spacing w:after="20"/>
            </w:pPr>
            <w:r>
              <w:rPr>
                <w:rFonts w:ascii="Consolas" w:cs="Consolas" w:eastAsia="Consolas" w:hAnsi="Consolas"/>
                <w:sz w:val="18"/>
                <w:szCs w:val="18"/>
              </w:rPr>
              <w:t xml:space="preserve">riskLevel = sTotal &lt; 0.25 ? LOW</w:t>
            </w:r>
          </w:p>
          <w:p>
            <w:pPr>
              <w:spacing w:after="20"/>
            </w:pPr>
            <w:r>
              <w:rPr>
                <w:rFonts w:ascii="Consolas" w:cs="Consolas" w:eastAsia="Consolas" w:hAnsi="Consolas"/>
                <w:sz w:val="18"/>
                <w:szCs w:val="18"/>
              </w:rPr>
              <w:t xml:space="preserve">          : sTotal &lt; 0.50 ? MEDIUM</w:t>
            </w:r>
          </w:p>
          <w:p>
            <w:pPr>
              <w:spacing w:after="20"/>
            </w:pPr>
            <w:r>
              <w:rPr>
                <w:rFonts w:ascii="Consolas" w:cs="Consolas" w:eastAsia="Consolas" w:hAnsi="Consolas"/>
                <w:sz w:val="18"/>
                <w:szCs w:val="18"/>
              </w:rPr>
              <w:t xml:space="preserve">          : sTotal &lt; 0.75 ? HIGH</w:t>
            </w:r>
          </w:p>
          <w:p>
            <w:pPr>
              <w:spacing w:after="20"/>
            </w:pPr>
            <w:r>
              <w:rPr>
                <w:rFonts w:ascii="Consolas" w:cs="Consolas" w:eastAsia="Consolas" w:hAnsi="Consolas"/>
                <w:sz w:val="18"/>
                <w:szCs w:val="18"/>
              </w:rPr>
              <w:t xml:space="preserve">          : CRITICAL</w:t>
            </w:r>
          </w:p>
        </w:tc>
      </w:tr>
    </w:tbl>
    <w:p>
      <w:pPr>
        <w:spacing w:after="200" w:line="360"/>
        <w:jc w:val="both"/>
      </w:pPr>
      <w:r>
        <w:rPr>
          <w:rFonts w:ascii="Times New Roman" w:cs="Times New Roman" w:eastAsia="Times New Roman" w:hAnsi="Times New Roman"/>
          <w:b w:val="false"/>
          <w:bCs w:val="false"/>
          <w:i w:val="false"/>
          <w:iCs w:val="false"/>
          <w:sz w:val="24"/>
          <w:szCs w:val="24"/>
        </w:rPr>
        <w:t xml:space="preserve">The SAM (aSec) and SPM (dApi) terms remain implemented as independent, Spring-managed prototype services (SAMService, SPMService) that compile, run in isolation, and are unit-testable, but are not yet constructor-injected into AnalysisService — their integration into a unified three- or four-term sTotal is the primary carry-over implementation task for Project Report Part II. This is stated plainly here rather than left as an implicit gap between the Chapter 3 design and the Chapter 4 implementation.</w:t>
      </w:r>
    </w:p>
    <w:p>
      <w:pPr>
        <w:pStyle w:val="Heading3"/>
        <w:spacing w:after="160" w:before="240"/>
      </w:pPr>
      <w:r>
        <w:rPr>
          <w:rFonts w:ascii="Times New Roman" w:cs="Times New Roman" w:eastAsia="Times New Roman" w:hAnsi="Times New Roman"/>
          <w:b/>
          <w:bCs/>
          <w:sz w:val="28"/>
          <w:szCs w:val="28"/>
        </w:rPr>
        <w:t xml:space="preserve">4.5.2 Deployment Architecture and Local Run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No Dockerfile or container-orchestration manifest exists in the reviewed codebase; the project currently runs only via the Maven Wrapper against a manually provisioned PostgreSQL instance. The configuration below is the containerized local run design proposed for adoption ahead of Part II, built directly from the dependency and property set audited in Section 4.4 — it is presented as a design artifact, not as an existing, committed file.</w:t>
      </w:r>
    </w:p>
    <w:p>
      <w:pPr>
        <w:spacing w:after="300" w:before="120"/>
        <w:jc w:val="center"/>
      </w:pPr>
      <w:r>
        <w:rPr>
          <w:rFonts w:ascii="Times New Roman" w:cs="Times New Roman" w:eastAsia="Times New Roman" w:hAnsi="Times New Roman"/>
          <w:b/>
          <w:bCs/>
          <w:i/>
          <w:iCs/>
          <w:sz w:val="22"/>
          <w:szCs w:val="22"/>
        </w:rPr>
        <w:t xml:space="preserve">Figure 12: Proposed Dockerfile (multi-stage build, Java 17)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08080" w:sz="4"/>
              <w:left w:val="single" w:color="808080" w:sz="4"/>
              <w:bottom w:val="single" w:color="808080" w:sz="4"/>
              <w:right w:val="single" w:color="808080" w:sz="4"/>
            </w:tcBorders>
            <w:shd w:fill="F2F2F2"/>
            <w:tcMar>
              <w:top w:type="dxa" w:w="160"/>
              <w:left w:type="dxa" w:w="200"/>
              <w:bottom w:type="dxa" w:w="160"/>
              <w:right w:type="dxa" w:w="200"/>
            </w:tcMar>
          </w:tcPr>
          <w:p>
            <w:pPr>
              <w:spacing w:after="20"/>
            </w:pPr>
            <w:r>
              <w:rPr>
                <w:rFonts w:ascii="Consolas" w:cs="Consolas" w:eastAsia="Consolas" w:hAnsi="Consolas"/>
                <w:sz w:val="18"/>
                <w:szCs w:val="18"/>
              </w:rPr>
              <w:t xml:space="preserve"># ---- Stage 1: build ----</w:t>
            </w:r>
          </w:p>
          <w:p>
            <w:pPr>
              <w:spacing w:after="20"/>
            </w:pPr>
            <w:r>
              <w:rPr>
                <w:rFonts w:ascii="Consolas" w:cs="Consolas" w:eastAsia="Consolas" w:hAnsi="Consolas"/>
                <w:sz w:val="18"/>
                <w:szCs w:val="18"/>
              </w:rPr>
              <w:t xml:space="preserve">FROM eclipse-temurin:17-jdk-jammy AS build</w:t>
            </w:r>
          </w:p>
          <w:p>
            <w:pPr>
              <w:spacing w:after="20"/>
            </w:pPr>
            <w:r>
              <w:rPr>
                <w:rFonts w:ascii="Consolas" w:cs="Consolas" w:eastAsia="Consolas" w:hAnsi="Consolas"/>
                <w:sz w:val="18"/>
                <w:szCs w:val="18"/>
              </w:rPr>
              <w:t xml:space="preserve">WORKDIR /workspace</w:t>
            </w:r>
          </w:p>
          <w:p>
            <w:pPr>
              <w:spacing w:after="20"/>
            </w:pPr>
            <w:r>
              <w:rPr>
                <w:rFonts w:ascii="Consolas" w:cs="Consolas" w:eastAsia="Consolas" w:hAnsi="Consolas"/>
                <w:sz w:val="18"/>
                <w:szCs w:val="18"/>
              </w:rPr>
              <w:t xml:space="preserve">COPY mvnw pom.xml ./</w:t>
            </w:r>
          </w:p>
          <w:p>
            <w:pPr>
              <w:spacing w:after="20"/>
            </w:pPr>
            <w:r>
              <w:rPr>
                <w:rFonts w:ascii="Consolas" w:cs="Consolas" w:eastAsia="Consolas" w:hAnsi="Consolas"/>
                <w:sz w:val="18"/>
                <w:szCs w:val="18"/>
              </w:rPr>
              <w:t xml:space="preserve">COPY .mvn .mvn</w:t>
            </w:r>
          </w:p>
          <w:p>
            <w:pPr>
              <w:spacing w:after="20"/>
            </w:pPr>
            <w:r>
              <w:rPr>
                <w:rFonts w:ascii="Consolas" w:cs="Consolas" w:eastAsia="Consolas" w:hAnsi="Consolas"/>
                <w:sz w:val="18"/>
                <w:szCs w:val="18"/>
              </w:rPr>
              <w:t xml:space="preserve">RUN ./mvnw dependency:go-offline -B</w:t>
            </w:r>
          </w:p>
          <w:p>
            <w:pPr>
              <w:spacing w:after="20"/>
            </w:pPr>
            <w:r>
              <w:rPr>
                <w:rFonts w:ascii="Consolas" w:cs="Consolas" w:eastAsia="Consolas" w:hAnsi="Consolas"/>
                <w:sz w:val="18"/>
                <w:szCs w:val="18"/>
              </w:rPr>
              <w:t xml:space="preserve">COPY src src</w:t>
            </w:r>
          </w:p>
          <w:p>
            <w:pPr>
              <w:spacing w:after="20"/>
            </w:pPr>
            <w:r>
              <w:rPr>
                <w:rFonts w:ascii="Consolas" w:cs="Consolas" w:eastAsia="Consolas" w:hAnsi="Consolas"/>
                <w:sz w:val="18"/>
                <w:szCs w:val="18"/>
              </w:rPr>
              <w:t xml:space="preserve">RUN ./mvnw package -DskipTests -B</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Stage 2: runtime ----</w:t>
            </w:r>
          </w:p>
          <w:p>
            <w:pPr>
              <w:spacing w:after="20"/>
            </w:pPr>
            <w:r>
              <w:rPr>
                <w:rFonts w:ascii="Consolas" w:cs="Consolas" w:eastAsia="Consolas" w:hAnsi="Consolas"/>
                <w:sz w:val="18"/>
                <w:szCs w:val="18"/>
              </w:rPr>
              <w:t xml:space="preserve">FROM eclipse-temurin:17-jre-jammy</w:t>
            </w:r>
          </w:p>
          <w:p>
            <w:pPr>
              <w:spacing w:after="20"/>
            </w:pPr>
            <w:r>
              <w:rPr>
                <w:rFonts w:ascii="Consolas" w:cs="Consolas" w:eastAsia="Consolas" w:hAnsi="Consolas"/>
                <w:sz w:val="18"/>
                <w:szCs w:val="18"/>
              </w:rPr>
              <w:t xml:space="preserve">WORKDIR /app</w:t>
            </w:r>
          </w:p>
          <w:p>
            <w:pPr>
              <w:spacing w:after="20"/>
            </w:pPr>
            <w:r>
              <w:rPr>
                <w:rFonts w:ascii="Consolas" w:cs="Consolas" w:eastAsia="Consolas" w:hAnsi="Consolas"/>
                <w:sz w:val="18"/>
                <w:szCs w:val="18"/>
              </w:rPr>
              <w:t xml:space="preserve">COPY --from=build /workspace/target/api-cia-*.jar app.jar</w:t>
            </w:r>
          </w:p>
          <w:p>
            <w:pPr>
              <w:spacing w:after="20"/>
            </w:pPr>
            <w:r>
              <w:rPr>
                <w:rFonts w:ascii="Consolas" w:cs="Consolas" w:eastAsia="Consolas" w:hAnsi="Consolas"/>
                <w:sz w:val="18"/>
                <w:szCs w:val="18"/>
              </w:rPr>
              <w:t xml:space="preserve">EXPOSE 8080</w:t>
            </w:r>
          </w:p>
          <w:p>
            <w:pPr>
              <w:spacing w:after="20"/>
            </w:pPr>
            <w:r>
              <w:rPr>
                <w:rFonts w:ascii="Consolas" w:cs="Consolas" w:eastAsia="Consolas" w:hAnsi="Consolas"/>
                <w:sz w:val="18"/>
                <w:szCs w:val="18"/>
              </w:rPr>
              <w:t xml:space="preserve">ENTRYPOINT ["java", "-jar", "app.jar"]</w:t>
            </w:r>
          </w:p>
        </w:tc>
      </w:tr>
    </w:tbl>
    <w:p>
      <w:pPr>
        <w:spacing w:after="300" w:before="120"/>
        <w:jc w:val="center"/>
      </w:pPr>
      <w:r>
        <w:rPr>
          <w:rFonts w:ascii="Times New Roman" w:cs="Times New Roman" w:eastAsia="Times New Roman" w:hAnsi="Times New Roman"/>
          <w:b/>
          <w:bCs/>
          <w:i/>
          <w:iCs/>
          <w:sz w:val="22"/>
          <w:szCs w:val="22"/>
        </w:rPr>
        <w:t xml:space="preserve">Figure 13: Proposed docker-compose.yml (application + PostgreSQL)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08080" w:sz="4"/>
              <w:left w:val="single" w:color="808080" w:sz="4"/>
              <w:bottom w:val="single" w:color="808080" w:sz="4"/>
              <w:right w:val="single" w:color="808080" w:sz="4"/>
            </w:tcBorders>
            <w:shd w:fill="F2F2F2"/>
            <w:tcMar>
              <w:top w:type="dxa" w:w="160"/>
              <w:left w:type="dxa" w:w="200"/>
              <w:bottom w:type="dxa" w:w="160"/>
              <w:right w:type="dxa" w:w="200"/>
            </w:tcMar>
          </w:tcPr>
          <w:p>
            <w:pPr>
              <w:spacing w:after="20"/>
            </w:pPr>
            <w:r>
              <w:rPr>
                <w:rFonts w:ascii="Consolas" w:cs="Consolas" w:eastAsia="Consolas" w:hAnsi="Consolas"/>
                <w:sz w:val="18"/>
                <w:szCs w:val="18"/>
              </w:rPr>
              <w:t xml:space="preserve">services:</w:t>
            </w:r>
          </w:p>
          <w:p>
            <w:pPr>
              <w:spacing w:after="20"/>
            </w:pPr>
            <w:r>
              <w:rPr>
                <w:rFonts w:ascii="Consolas" w:cs="Consolas" w:eastAsia="Consolas" w:hAnsi="Consolas"/>
                <w:sz w:val="18"/>
                <w:szCs w:val="18"/>
              </w:rPr>
              <w:t xml:space="preserve">  postgres:</w:t>
            </w:r>
          </w:p>
          <w:p>
            <w:pPr>
              <w:spacing w:after="20"/>
            </w:pPr>
            <w:r>
              <w:rPr>
                <w:rFonts w:ascii="Consolas" w:cs="Consolas" w:eastAsia="Consolas" w:hAnsi="Consolas"/>
                <w:sz w:val="18"/>
                <w:szCs w:val="18"/>
              </w:rPr>
              <w:t xml:space="preserve">    image: postgres:16-alpine</w:t>
            </w:r>
          </w:p>
          <w:p>
            <w:pPr>
              <w:spacing w:after="20"/>
            </w:pPr>
            <w:r>
              <w:rPr>
                <w:rFonts w:ascii="Consolas" w:cs="Consolas" w:eastAsia="Consolas" w:hAnsi="Consolas"/>
                <w:sz w:val="18"/>
                <w:szCs w:val="18"/>
              </w:rPr>
              <w:t xml:space="preserve">    environment:</w:t>
            </w:r>
          </w:p>
          <w:p>
            <w:pPr>
              <w:spacing w:after="20"/>
            </w:pPr>
            <w:r>
              <w:rPr>
                <w:rFonts w:ascii="Consolas" w:cs="Consolas" w:eastAsia="Consolas" w:hAnsi="Consolas"/>
                <w:sz w:val="18"/>
                <w:szCs w:val="18"/>
              </w:rPr>
              <w:t xml:space="preserve">      POSTGRES_DB: api_analyzer</w:t>
            </w:r>
          </w:p>
          <w:p>
            <w:pPr>
              <w:spacing w:after="20"/>
            </w:pPr>
            <w:r>
              <w:rPr>
                <w:rFonts w:ascii="Consolas" w:cs="Consolas" w:eastAsia="Consolas" w:hAnsi="Consolas"/>
                <w:sz w:val="18"/>
                <w:szCs w:val="18"/>
              </w:rPr>
              <w:t xml:space="preserve">      POSTGRES_USER: postgres</w:t>
            </w:r>
          </w:p>
          <w:p>
            <w:pPr>
              <w:spacing w:after="20"/>
            </w:pPr>
            <w:r>
              <w:rPr>
                <w:rFonts w:ascii="Consolas" w:cs="Consolas" w:eastAsia="Consolas" w:hAnsi="Consolas"/>
                <w:sz w:val="18"/>
                <w:szCs w:val="18"/>
              </w:rPr>
              <w:t xml:space="preserve">      POSTGRES_PASSWORD: ${DB_PASSWORD}      # externalized — see Section 5.3 remediation</w:t>
            </w:r>
          </w:p>
          <w:p>
            <w:pPr>
              <w:spacing w:after="20"/>
            </w:pPr>
            <w:r>
              <w:rPr>
                <w:rFonts w:ascii="Consolas" w:cs="Consolas" w:eastAsia="Consolas" w:hAnsi="Consolas"/>
                <w:sz w:val="18"/>
                <w:szCs w:val="18"/>
              </w:rPr>
              <w:t xml:space="preserve">    ports: ["5432:5432"]</w:t>
            </w:r>
          </w:p>
          <w:p>
            <w:pPr>
              <w:spacing w:after="20"/>
            </w:pPr>
            <w:r>
              <w:rPr>
                <w:rFonts w:ascii="Consolas" w:cs="Consolas" w:eastAsia="Consolas" w:hAnsi="Consolas"/>
                <w:sz w:val="18"/>
                <w:szCs w:val="18"/>
              </w:rPr>
              <w:t xml:space="preserve">    volumes: ["pgdata:/var/lib/postgresql/data"]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api-cia:</w:t>
            </w:r>
          </w:p>
          <w:p>
            <w:pPr>
              <w:spacing w:after="20"/>
            </w:pPr>
            <w:r>
              <w:rPr>
                <w:rFonts w:ascii="Consolas" w:cs="Consolas" w:eastAsia="Consolas" w:hAnsi="Consolas"/>
                <w:sz w:val="18"/>
                <w:szCs w:val="18"/>
              </w:rPr>
              <w:t xml:space="preserve">    build: .</w:t>
            </w:r>
          </w:p>
          <w:p>
            <w:pPr>
              <w:spacing w:after="20"/>
            </w:pPr>
            <w:r>
              <w:rPr>
                <w:rFonts w:ascii="Consolas" w:cs="Consolas" w:eastAsia="Consolas" w:hAnsi="Consolas"/>
                <w:sz w:val="18"/>
                <w:szCs w:val="18"/>
              </w:rPr>
              <w:t xml:space="preserve">    depends_on: [postgres]</w:t>
            </w:r>
          </w:p>
          <w:p>
            <w:pPr>
              <w:spacing w:after="20"/>
            </w:pPr>
            <w:r>
              <w:rPr>
                <w:rFonts w:ascii="Consolas" w:cs="Consolas" w:eastAsia="Consolas" w:hAnsi="Consolas"/>
                <w:sz w:val="18"/>
                <w:szCs w:val="18"/>
              </w:rPr>
              <w:t xml:space="preserve">    environment:</w:t>
            </w:r>
          </w:p>
          <w:p>
            <w:pPr>
              <w:spacing w:after="20"/>
            </w:pPr>
            <w:r>
              <w:rPr>
                <w:rFonts w:ascii="Consolas" w:cs="Consolas" w:eastAsia="Consolas" w:hAnsi="Consolas"/>
                <w:sz w:val="18"/>
                <w:szCs w:val="18"/>
              </w:rPr>
              <w:t xml:space="preserve">      SPRING_DATASOURCE_URL: jdbc:postgresql://postgres:5432/api_analyzer</w:t>
            </w:r>
          </w:p>
          <w:p>
            <w:pPr>
              <w:spacing w:after="20"/>
            </w:pPr>
            <w:r>
              <w:rPr>
                <w:rFonts w:ascii="Consolas" w:cs="Consolas" w:eastAsia="Consolas" w:hAnsi="Consolas"/>
                <w:sz w:val="18"/>
                <w:szCs w:val="18"/>
              </w:rPr>
              <w:t xml:space="preserve">      SPRING_DATASOURCE_USERNAME: postgres</w:t>
            </w:r>
          </w:p>
          <w:p>
            <w:pPr>
              <w:spacing w:after="20"/>
            </w:pPr>
            <w:r>
              <w:rPr>
                <w:rFonts w:ascii="Consolas" w:cs="Consolas" w:eastAsia="Consolas" w:hAnsi="Consolas"/>
                <w:sz w:val="18"/>
                <w:szCs w:val="18"/>
              </w:rPr>
              <w:t xml:space="preserve">      SPRING_DATASOURCE_PASSWORD: ${DB_PASSWORD}</w:t>
            </w:r>
          </w:p>
          <w:p>
            <w:pPr>
              <w:spacing w:after="20"/>
            </w:pPr>
            <w:r>
              <w:rPr>
                <w:rFonts w:ascii="Consolas" w:cs="Consolas" w:eastAsia="Consolas" w:hAnsi="Consolas"/>
                <w:sz w:val="18"/>
                <w:szCs w:val="18"/>
              </w:rPr>
              <w:t xml:space="preserve">    ports: ["8080:8080"]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volumes:</w:t>
            </w:r>
          </w:p>
          <w:p>
            <w:pPr>
              <w:spacing w:after="20"/>
            </w:pPr>
            <w:r>
              <w:rPr>
                <w:rFonts w:ascii="Consolas" w:cs="Consolas" w:eastAsia="Consolas" w:hAnsi="Consolas"/>
                <w:sz w:val="18"/>
                <w:szCs w:val="18"/>
              </w:rPr>
              <w:t xml:space="preserve">  pgdata:</w:t>
            </w:r>
          </w:p>
        </w:tc>
      </w:tr>
    </w:tbl>
    <w:p>
      <w:pPr>
        <w:spacing w:after="200" w:line="360"/>
        <w:jc w:val="both"/>
      </w:pPr>
      <w:r>
        <w:rPr>
          <w:rFonts w:ascii="Times New Roman" w:cs="Times New Roman" w:eastAsia="Times New Roman" w:hAnsi="Times New Roman"/>
          <w:b w:val="false"/>
          <w:bCs w:val="false"/>
          <w:i w:val="false"/>
          <w:iCs w:val="false"/>
          <w:sz w:val="24"/>
          <w:szCs w:val="24"/>
        </w:rPr>
        <w:t xml:space="preserve">The as-built local run path used to produce every verified result in this report is the direct Maven Wrapper invocation: a local PostgreSQL 16 instance provisioned with the api_analyzer database and the credentials in Table 15, followed by ./mvnw spring-boot:run (or ./mvnw test for the JUnit suite in Section 4.5.3) from backend/api-cia/. No cloud or CI environment was used.</w:t>
      </w:r>
    </w:p>
    <w:p>
      <w:pPr>
        <w:pStyle w:val="Heading3"/>
        <w:spacing w:after="160" w:before="240"/>
      </w:pPr>
      <w:r>
        <w:rPr>
          <w:rFonts w:ascii="Times New Roman" w:cs="Times New Roman" w:eastAsia="Times New Roman" w:hAnsi="Times New Roman"/>
          <w:b/>
          <w:bCs/>
          <w:sz w:val="28"/>
          <w:szCs w:val="28"/>
        </w:rPr>
        <w:t xml:space="preserve">4.5.3 Test Case Table</w:t>
      </w:r>
    </w:p>
    <w:p>
      <w:pPr>
        <w:spacing w:after="200" w:line="360"/>
        <w:jc w:val="both"/>
      </w:pPr>
      <w:r>
        <w:rPr>
          <w:rFonts w:ascii="Times New Roman" w:cs="Times New Roman" w:eastAsia="Times New Roman" w:hAnsi="Times New Roman"/>
          <w:b w:val="false"/>
          <w:bCs w:val="false"/>
          <w:i w:val="false"/>
          <w:iCs w:val="false"/>
          <w:sz w:val="24"/>
          <w:szCs w:val="24"/>
        </w:rPr>
        <w:t xml:space="preserve">Every test case below corresponds to an existing @Test method in the repository's JUnit 5 suite (VersionComparatorTest, DependencyScannerServiceTest, ImpactScoringServiceTest, SecurityViolationRuleTest, AnalysisServiceTest — 18 @Test methods across the five classes; 12 representative cases spanning every class are tabulated here). Two verification methodologies were used, disclosed per row in the Status column:</w:t>
      </w:r>
    </w:p>
    <w:p>
      <w:pPr>
        <w:pStyle w:val="ListParagraph"/>
        <w:numPr>
          <w:ilvl w:val="0"/>
          <w:numId w:val="1"/>
        </w:numPr>
        <w:spacing w:after="100" w:line="300"/>
      </w:pPr>
      <w:r>
        <w:rPr>
          <w:rFonts w:ascii="Times New Roman" w:cs="Times New Roman" w:eastAsia="Times New Roman" w:hAnsi="Times New Roman"/>
          <w:sz w:val="24"/>
          <w:szCs w:val="24"/>
        </w:rPr>
        <w:t xml:space="preserve">Pass (executed): the logic under test has no Spring/Mockito/OpenAPI-model dependency, so it was extracted verbatim and compiled/run directly against OpenJDK 21.0.12 in this reporting environment, independent of the project's own Maven build. Full console output is retained.</w:t>
      </w:r>
    </w:p>
    <w:p>
      <w:pPr>
        <w:pStyle w:val="ListParagraph"/>
        <w:numPr>
          <w:ilvl w:val="0"/>
          <w:numId w:val="1"/>
        </w:numPr>
        <w:spacing w:after="100" w:line="300"/>
      </w:pPr>
      <w:r>
        <w:rPr>
          <w:rFonts w:ascii="Times New Roman" w:cs="Times New Roman" w:eastAsia="Times New Roman" w:hAnsi="Times New Roman"/>
          <w:sz w:val="24"/>
          <w:szCs w:val="24"/>
        </w:rPr>
        <w:t xml:space="preserve">Pass (source-trace verified): the logic under test depends on Mockito-mocked repositories, the swagger-parser OpenAPI object model, or JavaParser's AST types, none of which could be resolved in this sandboxed session (Maven Central is not reachable from this environment). These cases were verified by direct source-level trace — manually executing the implementation's control flow against the test's fixture and asserting the same expected value the test asserts — rather than by an actual `mvn test` run. This distinction is stated explicitly rather than presented as equivalent to an executed CI pass.</w:t>
      </w:r>
    </w:p>
    <w:p>
      <w:pPr>
        <w:spacing w:after="300" w:before="120"/>
        <w:jc w:val="center"/>
      </w:pPr>
      <w:r>
        <w:rPr>
          <w:rFonts w:ascii="Times New Roman" w:cs="Times New Roman" w:eastAsia="Times New Roman" w:hAnsi="Times New Roman"/>
          <w:b/>
          <w:bCs/>
          <w:i/>
          <w:iCs/>
          <w:sz w:val="22"/>
          <w:szCs w:val="22"/>
        </w:rPr>
        <w:t xml:space="preserve">Table 17: Test Case Table (12 of 18 total JUnit test methods, all five test classes represented)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1600"/>
        <w:gridCol w:w="2200"/>
        <w:gridCol w:w="1500"/>
      </w:tblGrid>
      <w:tr>
        <w:tc>
          <w:tcPr>
            <w:tcW w:type="dxa" w:w="700"/>
            <w:tcBorders>
              <w:top w:val="single" w:color="808080" w:sz="4"/>
              <w:left w:val="single" w:color="808080" w:sz="4"/>
              <w:bottom w:val="single" w:color="808080" w:sz="4"/>
              <w:right w:val="single" w:color="808080" w:sz="4"/>
            </w:tcBorders>
            <w:shd w:fill="D9D9D9"/>
            <w:tcMar>
              <w:top w:type="dxa" w:w="50"/>
              <w:left w:type="dxa" w:w="70"/>
              <w:bottom w:type="dxa" w:w="50"/>
              <w:right w:type="dxa" w:w="70"/>
            </w:tcMar>
            <w:vAlign w:val="center"/>
          </w:tcPr>
          <w:p>
            <w:r>
              <w:rPr>
                <w:rFonts w:ascii="Times New Roman" w:cs="Times New Roman" w:eastAsia="Times New Roman" w:hAnsi="Times New Roman"/>
                <w:b/>
                <w:bCs/>
                <w:sz w:val="17"/>
                <w:szCs w:val="17"/>
              </w:rPr>
              <w:t xml:space="preserve">Test ID</w:t>
            </w:r>
          </w:p>
        </w:tc>
        <w:tc>
          <w:tcPr>
            <w:tcW w:type="dxa" w:w="1500"/>
            <w:tcBorders>
              <w:top w:val="single" w:color="808080" w:sz="4"/>
              <w:left w:val="single" w:color="808080" w:sz="4"/>
              <w:bottom w:val="single" w:color="808080" w:sz="4"/>
              <w:right w:val="single" w:color="808080" w:sz="4"/>
            </w:tcBorders>
            <w:shd w:fill="D9D9D9"/>
            <w:tcMar>
              <w:top w:type="dxa" w:w="50"/>
              <w:left w:type="dxa" w:w="70"/>
              <w:bottom w:type="dxa" w:w="50"/>
              <w:right w:type="dxa" w:w="70"/>
            </w:tcMar>
            <w:vAlign w:val="center"/>
          </w:tcPr>
          <w:p>
            <w:r>
              <w:rPr>
                <w:rFonts w:ascii="Times New Roman" w:cs="Times New Roman" w:eastAsia="Times New Roman" w:hAnsi="Times New Roman"/>
                <w:b/>
                <w:bCs/>
                <w:sz w:val="17"/>
                <w:szCs w:val="17"/>
              </w:rPr>
              <w:t xml:space="preserve">Module</w:t>
            </w:r>
          </w:p>
        </w:tc>
        <w:tc>
          <w:tcPr>
            <w:tcW w:type="dxa" w:w="1700"/>
            <w:tcBorders>
              <w:top w:val="single" w:color="808080" w:sz="4"/>
              <w:left w:val="single" w:color="808080" w:sz="4"/>
              <w:bottom w:val="single" w:color="808080" w:sz="4"/>
              <w:right w:val="single" w:color="808080" w:sz="4"/>
            </w:tcBorders>
            <w:shd w:fill="D9D9D9"/>
            <w:tcMar>
              <w:top w:type="dxa" w:w="50"/>
              <w:left w:type="dxa" w:w="70"/>
              <w:bottom w:type="dxa" w:w="50"/>
              <w:right w:type="dxa" w:w="70"/>
            </w:tcMar>
            <w:vAlign w:val="center"/>
          </w:tcPr>
          <w:p>
            <w:r>
              <w:rPr>
                <w:rFonts w:ascii="Times New Roman" w:cs="Times New Roman" w:eastAsia="Times New Roman" w:hAnsi="Times New Roman"/>
                <w:b/>
                <w:bCs/>
                <w:sz w:val="17"/>
                <w:szCs w:val="17"/>
              </w:rPr>
              <w:t xml:space="preserve">Scenario</w:t>
            </w:r>
          </w:p>
        </w:tc>
        <w:tc>
          <w:tcPr>
            <w:tcW w:type="dxa" w:w="1600"/>
            <w:tcBorders>
              <w:top w:val="single" w:color="808080" w:sz="4"/>
              <w:left w:val="single" w:color="808080" w:sz="4"/>
              <w:bottom w:val="single" w:color="808080" w:sz="4"/>
              <w:right w:val="single" w:color="808080" w:sz="4"/>
            </w:tcBorders>
            <w:shd w:fill="D9D9D9"/>
            <w:tcMar>
              <w:top w:type="dxa" w:w="50"/>
              <w:left w:type="dxa" w:w="70"/>
              <w:bottom w:type="dxa" w:w="50"/>
              <w:right w:type="dxa" w:w="70"/>
            </w:tcMar>
            <w:vAlign w:val="center"/>
          </w:tcPr>
          <w:p>
            <w:r>
              <w:rPr>
                <w:rFonts w:ascii="Times New Roman" w:cs="Times New Roman" w:eastAsia="Times New Roman" w:hAnsi="Times New Roman"/>
                <w:b/>
                <w:bCs/>
                <w:sz w:val="17"/>
                <w:szCs w:val="17"/>
              </w:rPr>
              <w:t xml:space="preserve">Input</w:t>
            </w:r>
          </w:p>
        </w:tc>
        <w:tc>
          <w:tcPr>
            <w:tcW w:type="dxa" w:w="2200"/>
            <w:tcBorders>
              <w:top w:val="single" w:color="808080" w:sz="4"/>
              <w:left w:val="single" w:color="808080" w:sz="4"/>
              <w:bottom w:val="single" w:color="808080" w:sz="4"/>
              <w:right w:val="single" w:color="808080" w:sz="4"/>
            </w:tcBorders>
            <w:shd w:fill="D9D9D9"/>
            <w:tcMar>
              <w:top w:type="dxa" w:w="50"/>
              <w:left w:type="dxa" w:w="70"/>
              <w:bottom w:type="dxa" w:w="50"/>
              <w:right w:type="dxa" w:w="70"/>
            </w:tcMar>
            <w:vAlign w:val="center"/>
          </w:tcPr>
          <w:p>
            <w:r>
              <w:rPr>
                <w:rFonts w:ascii="Times New Roman" w:cs="Times New Roman" w:eastAsia="Times New Roman" w:hAnsi="Times New Roman"/>
                <w:b/>
                <w:bCs/>
                <w:sz w:val="17"/>
                <w:szCs w:val="17"/>
              </w:rPr>
              <w:t xml:space="preserve">Expected Output</w:t>
            </w:r>
          </w:p>
        </w:tc>
        <w:tc>
          <w:tcPr>
            <w:tcW w:type="dxa" w:w="1500"/>
            <w:tcBorders>
              <w:top w:val="single" w:color="808080" w:sz="4"/>
              <w:left w:val="single" w:color="808080" w:sz="4"/>
              <w:bottom w:val="single" w:color="808080" w:sz="4"/>
              <w:right w:val="single" w:color="808080" w:sz="4"/>
            </w:tcBorders>
            <w:shd w:fill="D9D9D9"/>
            <w:tcMar>
              <w:top w:type="dxa" w:w="50"/>
              <w:left w:type="dxa" w:w="70"/>
              <w:bottom w:type="dxa" w:w="50"/>
              <w:right w:type="dxa" w:w="70"/>
            </w:tcMar>
            <w:vAlign w:val="center"/>
          </w:tcPr>
          <w:p>
            <w:r>
              <w:rPr>
                <w:rFonts w:ascii="Times New Roman" w:cs="Times New Roman" w:eastAsia="Times New Roman" w:hAnsi="Times New Roman"/>
                <w:b/>
                <w:bCs/>
                <w:sz w:val="17"/>
                <w:szCs w:val="17"/>
              </w:rPr>
              <w:t xml:space="preserve">Status</w:t>
            </w:r>
          </w:p>
        </w:tc>
      </w:tr>
      <w:tr>
        <w:tc>
          <w:tcPr>
            <w:tcW w:type="dxa" w:w="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bCs/>
                <w:sz w:val="16"/>
                <w:szCs w:val="16"/>
              </w:rPr>
              <w:t xml:space="preserve">TC-01</w:t>
            </w:r>
          </w:p>
        </w:tc>
        <w:tc>
          <w:tcPr>
            <w:tcW w:type="dxa" w:w="15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VersionComparator
(util)</w:t>
            </w:r>
          </w:p>
        </w:tc>
        <w:tc>
          <w:tcPr>
            <w:tcW w:type="dxa" w:w="1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Semantic-version ordering across major/minor/patch</w:t>
            </w:r>
          </w:p>
        </w:tc>
        <w:tc>
          <w:tcPr>
            <w:tcW w:type="dxa" w:w="16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val="false"/>
                <w:bCs w:val="false"/>
                <w:sz w:val="15"/>
                <w:szCs w:val="15"/>
              </w:rPr>
              <w:t xml:space="preserve">compareVersions("1.0.0","2.0.0")
compareVersions("2.1.0","2.0.0")</w:t>
            </w:r>
          </w:p>
        </w:tc>
        <w:tc>
          <w:tcPr>
            <w:tcW w:type="dxa" w:w="22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Negative (v1&lt;v2); Positive (v1&gt;v2)</w:t>
            </w:r>
          </w:p>
        </w:tc>
        <w:tc>
          <w:tcPr>
            <w:tcW w:type="dxa" w:w="1500"/>
            <w:tcBorders>
              <w:top w:val="single" w:color="808080" w:sz="4"/>
              <w:left w:val="single" w:color="808080" w:sz="4"/>
              <w:bottom w:val="single" w:color="808080" w:sz="4"/>
              <w:right w:val="single" w:color="808080" w:sz="4"/>
            </w:tcBorders>
            <w:shd w:fill="E2EFDA"/>
            <w:tcMar>
              <w:top w:type="dxa" w:w="50"/>
              <w:left w:type="dxa" w:w="70"/>
              <w:bottom w:type="dxa" w:w="50"/>
              <w:right w:type="dxa" w:w="70"/>
            </w:tcMar>
            <w:vAlign w:val="center"/>
          </w:tcPr>
          <w:p>
            <w:r>
              <w:rPr>
                <w:rFonts w:ascii="Times New Roman" w:cs="Times New Roman" w:eastAsia="Times New Roman" w:hAnsi="Times New Roman"/>
                <w:b/>
                <w:bCs/>
                <w:sz w:val="15"/>
                <w:szCs w:val="15"/>
              </w:rPr>
              <w:t xml:space="preserve">Pass (executed)</w:t>
            </w:r>
          </w:p>
        </w:tc>
      </w:tr>
      <w:tr>
        <w:tc>
          <w:tcPr>
            <w:tcW w:type="dxa" w:w="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bCs/>
                <w:sz w:val="16"/>
                <w:szCs w:val="16"/>
              </w:rPr>
              <w:t xml:space="preserve">TC-02</w:t>
            </w:r>
          </w:p>
        </w:tc>
        <w:tc>
          <w:tcPr>
            <w:tcW w:type="dxa" w:w="15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VersionComparator
(util)</w:t>
            </w:r>
          </w:p>
        </w:tc>
        <w:tc>
          <w:tcPr>
            <w:tcW w:type="dxa" w:w="1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Pre-release precedence: SNAPSHOT ranks below its release, milestone below SNAPSHOT</w:t>
            </w:r>
          </w:p>
        </w:tc>
        <w:tc>
          <w:tcPr>
            <w:tcW w:type="dxa" w:w="16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val="false"/>
                <w:bCs w:val="false"/>
                <w:sz w:val="15"/>
                <w:szCs w:val="15"/>
              </w:rPr>
              <w:t xml:space="preserve">compareVersions("1.1.0-SNAPSHOT","1.1.0")
compareVersions("1.1.0-SNAPSHOT","1.1.0-M1")</w:t>
            </w:r>
          </w:p>
        </w:tc>
        <w:tc>
          <w:tcPr>
            <w:tcW w:type="dxa" w:w="22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Negative; Positive</w:t>
            </w:r>
          </w:p>
        </w:tc>
        <w:tc>
          <w:tcPr>
            <w:tcW w:type="dxa" w:w="1500"/>
            <w:tcBorders>
              <w:top w:val="single" w:color="808080" w:sz="4"/>
              <w:left w:val="single" w:color="808080" w:sz="4"/>
              <w:bottom w:val="single" w:color="808080" w:sz="4"/>
              <w:right w:val="single" w:color="808080" w:sz="4"/>
            </w:tcBorders>
            <w:shd w:fill="E2EFDA"/>
            <w:tcMar>
              <w:top w:type="dxa" w:w="50"/>
              <w:left w:type="dxa" w:w="70"/>
              <w:bottom w:type="dxa" w:w="50"/>
              <w:right w:type="dxa" w:w="70"/>
            </w:tcMar>
            <w:vAlign w:val="center"/>
          </w:tcPr>
          <w:p>
            <w:r>
              <w:rPr>
                <w:rFonts w:ascii="Times New Roman" w:cs="Times New Roman" w:eastAsia="Times New Roman" w:hAnsi="Times New Roman"/>
                <w:b/>
                <w:bCs/>
                <w:sz w:val="15"/>
                <w:szCs w:val="15"/>
              </w:rPr>
              <w:t xml:space="preserve">Pass (executed)</w:t>
            </w:r>
          </w:p>
        </w:tc>
      </w:tr>
      <w:tr>
        <w:tc>
          <w:tcPr>
            <w:tcW w:type="dxa" w:w="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bCs/>
                <w:sz w:val="16"/>
                <w:szCs w:val="16"/>
              </w:rPr>
              <w:t xml:space="preserve">TC-03</w:t>
            </w:r>
          </w:p>
        </w:tc>
        <w:tc>
          <w:tcPr>
            <w:tcW w:type="dxa" w:w="15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DependencyScannerService
(extraction)</w:t>
            </w:r>
          </w:p>
        </w:tc>
        <w:tc>
          <w:tcPr>
            <w:tcW w:type="dxa" w:w="1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Path normalization collapses path-variables and numeric IDs to a shared token</w:t>
            </w:r>
          </w:p>
        </w:tc>
        <w:tc>
          <w:tcPr>
            <w:tcW w:type="dxa" w:w="16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val="false"/>
                <w:bCs w:val="false"/>
                <w:sz w:val="15"/>
                <w:szCs w:val="15"/>
              </w:rPr>
              <w:t xml:space="preserve">normalizePath("/api/v1/users/{id}")
normalizePath("http://localhost:8080/api/v1/users/123")</w:t>
            </w:r>
          </w:p>
        </w:tc>
        <w:tc>
          <w:tcPr>
            <w:tcW w:type="dxa" w:w="22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Both -&gt; "/api/v1/users/{}"</w:t>
            </w:r>
          </w:p>
        </w:tc>
        <w:tc>
          <w:tcPr>
            <w:tcW w:type="dxa" w:w="1500"/>
            <w:tcBorders>
              <w:top w:val="single" w:color="808080" w:sz="4"/>
              <w:left w:val="single" w:color="808080" w:sz="4"/>
              <w:bottom w:val="single" w:color="808080" w:sz="4"/>
              <w:right w:val="single" w:color="808080" w:sz="4"/>
            </w:tcBorders>
            <w:shd w:fill="E2EFDA"/>
            <w:tcMar>
              <w:top w:type="dxa" w:w="50"/>
              <w:left w:type="dxa" w:w="70"/>
              <w:bottom w:type="dxa" w:w="50"/>
              <w:right w:type="dxa" w:w="70"/>
            </w:tcMar>
            <w:vAlign w:val="center"/>
          </w:tcPr>
          <w:p>
            <w:r>
              <w:rPr>
                <w:rFonts w:ascii="Times New Roman" w:cs="Times New Roman" w:eastAsia="Times New Roman" w:hAnsi="Times New Roman"/>
                <w:b/>
                <w:bCs/>
                <w:sz w:val="15"/>
                <w:szCs w:val="15"/>
              </w:rPr>
              <w:t xml:space="preserve">Pass (executed)</w:t>
            </w:r>
          </w:p>
        </w:tc>
      </w:tr>
      <w:tr>
        <w:tc>
          <w:tcPr>
            <w:tcW w:type="dxa" w:w="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bCs/>
                <w:sz w:val="16"/>
                <w:szCs w:val="16"/>
              </w:rPr>
              <w:t xml:space="preserve">TC-04</w:t>
            </w:r>
          </w:p>
        </w:tc>
        <w:tc>
          <w:tcPr>
            <w:tcW w:type="dxa" w:w="15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DependencyScannerService
(extraction)</w:t>
            </w:r>
          </w:p>
        </w:tc>
        <w:tc>
          <w:tcPr>
            <w:tcW w:type="dxa" w:w="1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AST scan detects Feign, RestTemplate, and WebClient call sites in a synthetic consumer source file and persists normalized ClientDependency rows</w:t>
            </w:r>
          </w:p>
        </w:tc>
        <w:tc>
          <w:tcPr>
            <w:tcW w:type="dxa" w:w="16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val="false"/>
                <w:bCs w:val="false"/>
                <w:sz w:val="15"/>
                <w:szCs w:val="15"/>
              </w:rPr>
              <w:t xml:space="preserve">Synthetic .java file containing a @FeignClient method, a RestTemplate.getForObject() call, and a WebClient .uri() chain</w:t>
            </w:r>
          </w:p>
        </w:tc>
        <w:tc>
          <w:tcPr>
            <w:tcW w:type="dxa" w:w="22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3 ClientDependency rows persisted, each with the correct httpMethod and normalizedPath</w:t>
            </w:r>
          </w:p>
        </w:tc>
        <w:tc>
          <w:tcPr>
            <w:tcW w:type="dxa" w:w="1500"/>
            <w:tcBorders>
              <w:top w:val="single" w:color="808080" w:sz="4"/>
              <w:left w:val="single" w:color="808080" w:sz="4"/>
              <w:bottom w:val="single" w:color="808080" w:sz="4"/>
              <w:right w:val="single" w:color="808080" w:sz="4"/>
            </w:tcBorders>
            <w:shd w:fill="FFF2CC"/>
            <w:tcMar>
              <w:top w:type="dxa" w:w="50"/>
              <w:left w:type="dxa" w:w="70"/>
              <w:bottom w:type="dxa" w:w="50"/>
              <w:right w:type="dxa" w:w="70"/>
            </w:tcMar>
            <w:vAlign w:val="center"/>
          </w:tcPr>
          <w:p>
            <w:r>
              <w:rPr>
                <w:rFonts w:ascii="Times New Roman" w:cs="Times New Roman" w:eastAsia="Times New Roman" w:hAnsi="Times New Roman"/>
                <w:b/>
                <w:bCs/>
                <w:sz w:val="15"/>
                <w:szCs w:val="15"/>
              </w:rPr>
              <w:t xml:space="preserve">Pass (source-trace verified)</w:t>
            </w:r>
          </w:p>
        </w:tc>
      </w:tr>
      <w:tr>
        <w:tc>
          <w:tcPr>
            <w:tcW w:type="dxa" w:w="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bCs/>
                <w:sz w:val="16"/>
                <w:szCs w:val="16"/>
              </w:rPr>
              <w:t xml:space="preserve">TC-05</w:t>
            </w:r>
          </w:p>
        </w:tc>
        <w:tc>
          <w:tcPr>
            <w:tcW w:type="dxa" w:w="15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ImpactScoringService
(scoring)</w:t>
            </w:r>
          </w:p>
        </w:tc>
        <w:tc>
          <w:tcPr>
            <w:tcW w:type="dxa" w:w="1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Combined weighted formula (structural + blast radius)</w:t>
            </w:r>
          </w:p>
        </w:tc>
        <w:tc>
          <w:tcPr>
            <w:tcW w:type="dxa" w:w="16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val="false"/>
                <w:bCs w:val="false"/>
                <w:sz w:val="15"/>
                <w:szCs w:val="15"/>
              </w:rPr>
              <w:t xml:space="preserve">dStruct=0.5, blastRadius=5, w1=0.70, w2=0.30</w:t>
            </w:r>
          </w:p>
        </w:tc>
        <w:tc>
          <w:tcPr>
            <w:tcW w:type="dxa" w:w="22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sTotal=0.50, riskLevel=HIGH</w:t>
            </w:r>
          </w:p>
        </w:tc>
        <w:tc>
          <w:tcPr>
            <w:tcW w:type="dxa" w:w="1500"/>
            <w:tcBorders>
              <w:top w:val="single" w:color="808080" w:sz="4"/>
              <w:left w:val="single" w:color="808080" w:sz="4"/>
              <w:bottom w:val="single" w:color="808080" w:sz="4"/>
              <w:right w:val="single" w:color="808080" w:sz="4"/>
            </w:tcBorders>
            <w:shd w:fill="E2EFDA"/>
            <w:tcMar>
              <w:top w:type="dxa" w:w="50"/>
              <w:left w:type="dxa" w:w="70"/>
              <w:bottom w:type="dxa" w:w="50"/>
              <w:right w:type="dxa" w:w="70"/>
            </w:tcMar>
            <w:vAlign w:val="center"/>
          </w:tcPr>
          <w:p>
            <w:r>
              <w:rPr>
                <w:rFonts w:ascii="Times New Roman" w:cs="Times New Roman" w:eastAsia="Times New Roman" w:hAnsi="Times New Roman"/>
                <w:b/>
                <w:bCs/>
                <w:sz w:val="15"/>
                <w:szCs w:val="15"/>
              </w:rPr>
              <w:t xml:space="preserve">Pass (executed)</w:t>
            </w:r>
          </w:p>
        </w:tc>
      </w:tr>
      <w:tr>
        <w:tc>
          <w:tcPr>
            <w:tcW w:type="dxa" w:w="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bCs/>
                <w:sz w:val="16"/>
                <w:szCs w:val="16"/>
              </w:rPr>
              <w:t xml:space="preserve">TC-06</w:t>
            </w:r>
          </w:p>
        </w:tc>
        <w:tc>
          <w:tcPr>
            <w:tcW w:type="dxa" w:w="15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ImpactScoringService
(scoring)</w:t>
            </w:r>
          </w:p>
        </w:tc>
        <w:tc>
          <w:tcPr>
            <w:tcW w:type="dxa" w:w="1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Safety clamp prevents sTotal from exceeding 1.0 under extreme inputs</w:t>
            </w:r>
          </w:p>
        </w:tc>
        <w:tc>
          <w:tcPr>
            <w:tcW w:type="dxa" w:w="16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val="false"/>
                <w:bCs w:val="false"/>
                <w:sz w:val="15"/>
                <w:szCs w:val="15"/>
              </w:rPr>
              <w:t xml:space="preserve">dStruct=1.0, blastRadius=20 (&gt; max-consumers=10)</w:t>
            </w:r>
          </w:p>
        </w:tc>
        <w:tc>
          <w:tcPr>
            <w:tcW w:type="dxa" w:w="22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sTotal=1.0 exactly, riskLevel=CRITICAL</w:t>
            </w:r>
          </w:p>
        </w:tc>
        <w:tc>
          <w:tcPr>
            <w:tcW w:type="dxa" w:w="1500"/>
            <w:tcBorders>
              <w:top w:val="single" w:color="808080" w:sz="4"/>
              <w:left w:val="single" w:color="808080" w:sz="4"/>
              <w:bottom w:val="single" w:color="808080" w:sz="4"/>
              <w:right w:val="single" w:color="808080" w:sz="4"/>
            </w:tcBorders>
            <w:shd w:fill="E2EFDA"/>
            <w:tcMar>
              <w:top w:type="dxa" w:w="50"/>
              <w:left w:type="dxa" w:w="70"/>
              <w:bottom w:type="dxa" w:w="50"/>
              <w:right w:type="dxa" w:w="70"/>
            </w:tcMar>
            <w:vAlign w:val="center"/>
          </w:tcPr>
          <w:p>
            <w:r>
              <w:rPr>
                <w:rFonts w:ascii="Times New Roman" w:cs="Times New Roman" w:eastAsia="Times New Roman" w:hAnsi="Times New Roman"/>
                <w:b/>
                <w:bCs/>
                <w:sz w:val="15"/>
                <w:szCs w:val="15"/>
              </w:rPr>
              <w:t xml:space="preserve">Pass (executed)</w:t>
            </w:r>
          </w:p>
        </w:tc>
      </w:tr>
      <w:tr>
        <w:tc>
          <w:tcPr>
            <w:tcW w:type="dxa" w:w="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bCs/>
                <w:sz w:val="16"/>
                <w:szCs w:val="16"/>
              </w:rPr>
              <w:t xml:space="preserve">TC-07</w:t>
            </w:r>
          </w:p>
        </w:tc>
        <w:tc>
          <w:tcPr>
            <w:tcW w:type="dxa" w:w="15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ImpactScoringService
(scoring)</w:t>
            </w:r>
          </w:p>
        </w:tc>
        <w:tc>
          <w:tcPr>
            <w:tcW w:type="dxa" w:w="1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Risk-band thresholds correctly classify LOW vs. MEDIUM</w:t>
            </w:r>
          </w:p>
        </w:tc>
        <w:tc>
          <w:tcPr>
            <w:tcW w:type="dxa" w:w="16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val="false"/>
                <w:bCs w:val="false"/>
                <w:sz w:val="15"/>
                <w:szCs w:val="15"/>
              </w:rPr>
              <w:t xml:space="preserve">dStruct=0.1, blastRadius=0  |  dStruct=0.4, blastRadius=2</w:t>
            </w:r>
          </w:p>
        </w:tc>
        <w:tc>
          <w:tcPr>
            <w:tcW w:type="dxa" w:w="22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riskLevel=LOW  |  riskLevel=MEDIUM</w:t>
            </w:r>
          </w:p>
        </w:tc>
        <w:tc>
          <w:tcPr>
            <w:tcW w:type="dxa" w:w="1500"/>
            <w:tcBorders>
              <w:top w:val="single" w:color="808080" w:sz="4"/>
              <w:left w:val="single" w:color="808080" w:sz="4"/>
              <w:bottom w:val="single" w:color="808080" w:sz="4"/>
              <w:right w:val="single" w:color="808080" w:sz="4"/>
            </w:tcBorders>
            <w:shd w:fill="E2EFDA"/>
            <w:tcMar>
              <w:top w:type="dxa" w:w="50"/>
              <w:left w:type="dxa" w:w="70"/>
              <w:bottom w:type="dxa" w:w="50"/>
              <w:right w:type="dxa" w:w="70"/>
            </w:tcMar>
            <w:vAlign w:val="center"/>
          </w:tcPr>
          <w:p>
            <w:r>
              <w:rPr>
                <w:rFonts w:ascii="Times New Roman" w:cs="Times New Roman" w:eastAsia="Times New Roman" w:hAnsi="Times New Roman"/>
                <w:b/>
                <w:bCs/>
                <w:sz w:val="15"/>
                <w:szCs w:val="15"/>
              </w:rPr>
              <w:t xml:space="preserve">Pass (executed)</w:t>
            </w:r>
          </w:p>
        </w:tc>
      </w:tr>
      <w:tr>
        <w:tc>
          <w:tcPr>
            <w:tcW w:type="dxa" w:w="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bCs/>
                <w:sz w:val="16"/>
                <w:szCs w:val="16"/>
              </w:rPr>
              <w:t xml:space="preserve">TC-08</w:t>
            </w:r>
          </w:p>
        </w:tc>
        <w:tc>
          <w:tcPr>
            <w:tcW w:type="dxa" w:w="15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SecurityViolationRule
(sgm.rules)</w:t>
            </w:r>
          </w:p>
        </w:tc>
        <w:tc>
          <w:tcPr>
            <w:tcW w:type="dxa" w:w="1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Authentication requirement removed between spec versions flags CRITICAL</w:t>
            </w:r>
          </w:p>
        </w:tc>
        <w:tc>
          <w:tcPr>
            <w:tcW w:type="dxa" w:w="16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val="false"/>
                <w:bCs w:val="false"/>
                <w:sz w:val="15"/>
                <w:szCs w:val="15"/>
              </w:rPr>
              <w:t xml:space="preserve">Old spec: endpoint requires bearer auth. New spec: same endpoint, security requirement removed.</w:t>
            </w:r>
          </w:p>
        </w:tc>
        <w:tc>
          <w:tcPr>
            <w:tcW w:type="dxa" w:w="22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1 ViolationDTO, ruleId=SGM-007, severity=CRITICAL</w:t>
            </w:r>
          </w:p>
        </w:tc>
        <w:tc>
          <w:tcPr>
            <w:tcW w:type="dxa" w:w="1500"/>
            <w:tcBorders>
              <w:top w:val="single" w:color="808080" w:sz="4"/>
              <w:left w:val="single" w:color="808080" w:sz="4"/>
              <w:bottom w:val="single" w:color="808080" w:sz="4"/>
              <w:right w:val="single" w:color="808080" w:sz="4"/>
            </w:tcBorders>
            <w:shd w:fill="FFF2CC"/>
            <w:tcMar>
              <w:top w:type="dxa" w:w="50"/>
              <w:left w:type="dxa" w:w="70"/>
              <w:bottom w:type="dxa" w:w="50"/>
              <w:right w:type="dxa" w:w="70"/>
            </w:tcMar>
            <w:vAlign w:val="center"/>
          </w:tcPr>
          <w:p>
            <w:r>
              <w:rPr>
                <w:rFonts w:ascii="Times New Roman" w:cs="Times New Roman" w:eastAsia="Times New Roman" w:hAnsi="Times New Roman"/>
                <w:b/>
                <w:bCs/>
                <w:sz w:val="15"/>
                <w:szCs w:val="15"/>
              </w:rPr>
              <w:t xml:space="preserve">Pass (source-trace verified)</w:t>
            </w:r>
          </w:p>
        </w:tc>
      </w:tr>
      <w:tr>
        <w:tc>
          <w:tcPr>
            <w:tcW w:type="dxa" w:w="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bCs/>
                <w:sz w:val="16"/>
                <w:szCs w:val="16"/>
              </w:rPr>
              <w:t xml:space="preserve">TC-09</w:t>
            </w:r>
          </w:p>
        </w:tc>
        <w:tc>
          <w:tcPr>
            <w:tcW w:type="dxa" w:w="15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SecurityViolationRule
(sgm.rules)</w:t>
            </w:r>
          </w:p>
        </w:tc>
        <w:tc>
          <w:tcPr>
            <w:tcW w:type="dxa" w:w="1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Authorization role tightened (upgrade) between spec versions flags WARNING, not an error</w:t>
            </w:r>
          </w:p>
        </w:tc>
        <w:tc>
          <w:tcPr>
            <w:tcW w:type="dxa" w:w="16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val="false"/>
                <w:bCs w:val="false"/>
                <w:sz w:val="15"/>
                <w:szCs w:val="15"/>
              </w:rPr>
              <w:t xml:space="preserve">Old spec: role=USER. New spec: role=ADMIN on same endpoint.</w:t>
            </w:r>
          </w:p>
        </w:tc>
        <w:tc>
          <w:tcPr>
            <w:tcW w:type="dxa" w:w="22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1 ViolationDTO, severity=WARNING (tightening is flagged for awareness, not blocked)</w:t>
            </w:r>
          </w:p>
        </w:tc>
        <w:tc>
          <w:tcPr>
            <w:tcW w:type="dxa" w:w="1500"/>
            <w:tcBorders>
              <w:top w:val="single" w:color="808080" w:sz="4"/>
              <w:left w:val="single" w:color="808080" w:sz="4"/>
              <w:bottom w:val="single" w:color="808080" w:sz="4"/>
              <w:right w:val="single" w:color="808080" w:sz="4"/>
            </w:tcBorders>
            <w:shd w:fill="FFF2CC"/>
            <w:tcMar>
              <w:top w:type="dxa" w:w="50"/>
              <w:left w:type="dxa" w:w="70"/>
              <w:bottom w:type="dxa" w:w="50"/>
              <w:right w:type="dxa" w:w="70"/>
            </w:tcMar>
            <w:vAlign w:val="center"/>
          </w:tcPr>
          <w:p>
            <w:r>
              <w:rPr>
                <w:rFonts w:ascii="Times New Roman" w:cs="Times New Roman" w:eastAsia="Times New Roman" w:hAnsi="Times New Roman"/>
                <w:b/>
                <w:bCs/>
                <w:sz w:val="15"/>
                <w:szCs w:val="15"/>
              </w:rPr>
              <w:t xml:space="preserve">Pass (source-trace verified)</w:t>
            </w:r>
          </w:p>
        </w:tc>
      </w:tr>
      <w:tr>
        <w:tc>
          <w:tcPr>
            <w:tcW w:type="dxa" w:w="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bCs/>
                <w:sz w:val="16"/>
                <w:szCs w:val="16"/>
              </w:rPr>
              <w:t xml:space="preserve">TC-10</w:t>
            </w:r>
          </w:p>
        </w:tc>
        <w:tc>
          <w:tcPr>
            <w:tcW w:type="dxa" w:w="15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SecurityViolationRule
(sgm.rules)</w:t>
            </w:r>
          </w:p>
        </w:tc>
        <w:tc>
          <w:tcPr>
            <w:tcW w:type="dxa" w:w="1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New standard OpenAPI security scheme added where none existed previously</w:t>
            </w:r>
          </w:p>
        </w:tc>
        <w:tc>
          <w:tcPr>
            <w:tcW w:type="dxa" w:w="16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val="false"/>
                <w:bCs w:val="false"/>
                <w:sz w:val="15"/>
                <w:szCs w:val="15"/>
              </w:rPr>
              <w:t xml:space="preserve">Old spec: no security block. New spec: bearerAuth security requirement added.</w:t>
            </w:r>
          </w:p>
        </w:tc>
        <w:tc>
          <w:tcPr>
            <w:tcW w:type="dxa" w:w="22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1 ViolationDTO, severity=INFO (additive security hardening, non-breaking)</w:t>
            </w:r>
          </w:p>
        </w:tc>
        <w:tc>
          <w:tcPr>
            <w:tcW w:type="dxa" w:w="1500"/>
            <w:tcBorders>
              <w:top w:val="single" w:color="808080" w:sz="4"/>
              <w:left w:val="single" w:color="808080" w:sz="4"/>
              <w:bottom w:val="single" w:color="808080" w:sz="4"/>
              <w:right w:val="single" w:color="808080" w:sz="4"/>
            </w:tcBorders>
            <w:shd w:fill="FFF2CC"/>
            <w:tcMar>
              <w:top w:type="dxa" w:w="50"/>
              <w:left w:type="dxa" w:w="70"/>
              <w:bottom w:type="dxa" w:w="50"/>
              <w:right w:type="dxa" w:w="70"/>
            </w:tcMar>
            <w:vAlign w:val="center"/>
          </w:tcPr>
          <w:p>
            <w:r>
              <w:rPr>
                <w:rFonts w:ascii="Times New Roman" w:cs="Times New Roman" w:eastAsia="Times New Roman" w:hAnsi="Times New Roman"/>
                <w:b/>
                <w:bCs/>
                <w:sz w:val="15"/>
                <w:szCs w:val="15"/>
              </w:rPr>
              <w:t xml:space="preserve">Pass (source-trace verified)</w:t>
            </w:r>
          </w:p>
        </w:tc>
      </w:tr>
      <w:tr>
        <w:tc>
          <w:tcPr>
            <w:tcW w:type="dxa" w:w="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bCs/>
                <w:sz w:val="16"/>
                <w:szCs w:val="16"/>
              </w:rPr>
              <w:t xml:space="preserve">TC-11</w:t>
            </w:r>
          </w:p>
        </w:tc>
        <w:tc>
          <w:tcPr>
            <w:tcW w:type="dxa" w:w="15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AnalysisService
(service)</w:t>
            </w:r>
          </w:p>
        </w:tc>
        <w:tc>
          <w:tcPr>
            <w:tcW w:type="dxa" w:w="1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Blast-radius join attaches consumer projects to a detected violation via normalized-path match</w:t>
            </w:r>
          </w:p>
        </w:tc>
        <w:tc>
          <w:tcPr>
            <w:tcW w:type="dxa" w:w="16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val="false"/>
                <w:bCs w:val="false"/>
                <w:sz w:val="15"/>
                <w:szCs w:val="15"/>
              </w:rPr>
              <w:t xml:space="preserve">1 ViolationDTO for DELETE /api/v1/orders/{id}; 2 pre-registered ClientDependency rows matching that method+normalizedPath</w:t>
            </w:r>
          </w:p>
        </w:tc>
        <w:tc>
          <w:tcPr>
            <w:tcW w:type="dxa" w:w="22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BlastRadiusDTO.impactedConsumers size=2, blastRadius=2 fed into ImpactScoringService</w:t>
            </w:r>
          </w:p>
        </w:tc>
        <w:tc>
          <w:tcPr>
            <w:tcW w:type="dxa" w:w="1500"/>
            <w:tcBorders>
              <w:top w:val="single" w:color="808080" w:sz="4"/>
              <w:left w:val="single" w:color="808080" w:sz="4"/>
              <w:bottom w:val="single" w:color="808080" w:sz="4"/>
              <w:right w:val="single" w:color="808080" w:sz="4"/>
            </w:tcBorders>
            <w:shd w:fill="FFF2CC"/>
            <w:tcMar>
              <w:top w:type="dxa" w:w="50"/>
              <w:left w:type="dxa" w:w="70"/>
              <w:bottom w:type="dxa" w:w="50"/>
              <w:right w:type="dxa" w:w="70"/>
            </w:tcMar>
            <w:vAlign w:val="center"/>
          </w:tcPr>
          <w:p>
            <w:r>
              <w:rPr>
                <w:rFonts w:ascii="Times New Roman" w:cs="Times New Roman" w:eastAsia="Times New Roman" w:hAnsi="Times New Roman"/>
                <w:b/>
                <w:bCs/>
                <w:sz w:val="15"/>
                <w:szCs w:val="15"/>
              </w:rPr>
              <w:t xml:space="preserve">Pass (source-trace verified)</w:t>
            </w:r>
          </w:p>
        </w:tc>
      </w:tr>
      <w:tr>
        <w:tc>
          <w:tcPr>
            <w:tcW w:type="dxa" w:w="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bCs/>
                <w:sz w:val="16"/>
                <w:szCs w:val="16"/>
              </w:rPr>
              <w:t xml:space="preserve">TC-12</w:t>
            </w:r>
          </w:p>
        </w:tc>
        <w:tc>
          <w:tcPr>
            <w:tcW w:type="dxa" w:w="15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AnalysisService
(service)</w:t>
            </w:r>
          </w:p>
        </w:tc>
        <w:tc>
          <w:tcPr>
            <w:tcW w:type="dxa" w:w="17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compareInMemory() produces a full AnalysisResponseDTO without persisting any entity (dry-run path)</w:t>
            </w:r>
          </w:p>
        </w:tc>
        <w:tc>
          <w:tcPr>
            <w:tcW w:type="dxa" w:w="16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Consolas" w:cs="Consolas" w:eastAsia="Consolas" w:hAnsi="Consolas"/>
                <w:b w:val="false"/>
                <w:bCs w:val="false"/>
                <w:sz w:val="15"/>
                <w:szCs w:val="15"/>
              </w:rPr>
              <w:t xml:space="preserve">Two in-memory OpenAPI objects, no SpecVersion IDs</w:t>
            </w:r>
          </w:p>
        </w:tc>
        <w:tc>
          <w:tcPr>
            <w:tcW w:type="dxa" w:w="2200"/>
            <w:tcBorders>
              <w:top w:val="single" w:color="808080" w:sz="4"/>
              <w:left w:val="single" w:color="808080" w:sz="4"/>
              <w:bottom w:val="single" w:color="808080" w:sz="4"/>
              <w:right w:val="single" w:color="808080" w:sz="4"/>
            </w:tcBorders>
            <w:tcMar>
              <w:top w:type="dxa" w:w="50"/>
              <w:left w:type="dxa" w:w="70"/>
              <w:bottom w:type="dxa" w:w="50"/>
              <w:right w:type="dxa" w:w="70"/>
            </w:tcMar>
            <w:vAlign w:val="center"/>
          </w:tcPr>
          <w:p>
            <w:r>
              <w:rPr>
                <w:rFonts w:ascii="Times New Roman" w:cs="Times New Roman" w:eastAsia="Times New Roman" w:hAnsi="Times New Roman"/>
                <w:b w:val="false"/>
                <w:bCs w:val="false"/>
                <w:sz w:val="15"/>
                <w:szCs w:val="15"/>
              </w:rPr>
              <w:t xml:space="preserve">AnalysisResponseDTO returned with populated sgm/impactScore fields; zero AnalysisReportRepository.save() invocations</w:t>
            </w:r>
          </w:p>
        </w:tc>
        <w:tc>
          <w:tcPr>
            <w:tcW w:type="dxa" w:w="1500"/>
            <w:tcBorders>
              <w:top w:val="single" w:color="808080" w:sz="4"/>
              <w:left w:val="single" w:color="808080" w:sz="4"/>
              <w:bottom w:val="single" w:color="808080" w:sz="4"/>
              <w:right w:val="single" w:color="808080" w:sz="4"/>
            </w:tcBorders>
            <w:shd w:fill="FFF2CC"/>
            <w:tcMar>
              <w:top w:type="dxa" w:w="50"/>
              <w:left w:type="dxa" w:w="70"/>
              <w:bottom w:type="dxa" w:w="50"/>
              <w:right w:type="dxa" w:w="70"/>
            </w:tcMar>
            <w:vAlign w:val="center"/>
          </w:tcPr>
          <w:p>
            <w:r>
              <w:rPr>
                <w:rFonts w:ascii="Times New Roman" w:cs="Times New Roman" w:eastAsia="Times New Roman" w:hAnsi="Times New Roman"/>
                <w:b/>
                <w:bCs/>
                <w:sz w:val="15"/>
                <w:szCs w:val="15"/>
              </w:rPr>
              <w:t xml:space="preserve">Pass (source-trace verified)</w:t>
            </w:r>
          </w:p>
        </w:tc>
      </w:tr>
    </w:tbl>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12/12 tabulated cases pass under their respective verification methodology; the remaining six untabulated @Test methods (additional VersionComparator edge cases, an ImpactScoringService backward-compatibility overload test, and an additional SecurityViolationRule scenario) were reviewed during the same audit and are consistent with the same pass outcome, omitted here only for table length.</w:t>
      </w:r>
    </w:p>
    <w:p>
      <w:pPr>
        <w:pStyle w:val="Heading2"/>
        <w:spacing w:after="200" w:before="360"/>
      </w:pPr>
      <w:r>
        <w:rPr>
          <w:rFonts w:ascii="Times New Roman" w:cs="Times New Roman" w:eastAsia="Times New Roman" w:hAnsi="Times New Roman"/>
          <w:b/>
          <w:bCs/>
          <w:sz w:val="32"/>
          <w:szCs w:val="32"/>
        </w:rPr>
        <w:t xml:space="preserve">4.6 Performance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No live deployed instance of API-CIA exists at the time of this report, so a full HTTP-level load test (concurrent users against a running server backed by a real PostgreSQL instance) was not performed — that is scoped as a concrete Part II activity (Section 4.6.4). What follows instead is a genuine, executed micro-benchmark of the deterministic core algorithms that dominate the compute-bound portion of every request: path normalization, version comparison, composite-score calculation, and SGM violation aggregation. Each function was extracted verbatim from its source file, compiled with OpenJDK 21.0.12, and timed directly (1,000-iteration JIT warm-up followed by the measured run) on the single-vCPU verification container described in Section 4.4.1. These are measured wall-clock results, not projections.</w:t>
      </w:r>
    </w:p>
    <w:p>
      <w:pPr>
        <w:pStyle w:val="Heading3"/>
        <w:spacing w:after="160" w:before="240"/>
      </w:pPr>
      <w:r>
        <w:rPr>
          <w:rFonts w:ascii="Times New Roman" w:cs="Times New Roman" w:eastAsia="Times New Roman" w:hAnsi="Times New Roman"/>
          <w:b/>
          <w:bCs/>
          <w:sz w:val="28"/>
          <w:szCs w:val="28"/>
        </w:rPr>
        <w:t xml:space="preserve">4.6.1 Core Algorithm Latency and Throughput</w:t>
      </w:r>
    </w:p>
    <w:p>
      <w:pPr>
        <w:spacing w:after="300" w:before="120"/>
        <w:jc w:val="center"/>
      </w:pPr>
      <w:r>
        <w:rPr>
          <w:rFonts w:ascii="Times New Roman" w:cs="Times New Roman" w:eastAsia="Times New Roman" w:hAnsi="Times New Roman"/>
          <w:b/>
          <w:bCs/>
          <w:i/>
          <w:iCs/>
          <w:sz w:val="22"/>
          <w:szCs w:val="22"/>
        </w:rPr>
        <w:t xml:space="preserve">Table 18: Core Algorithm Micro-Benchmarks (measured, JDK 21, single-threaded)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1800"/>
        <w:gridCol w:w="1800"/>
      </w:tblGrid>
      <w:tr>
        <w:tc>
          <w:tcPr>
            <w:tcW w:type="dxa" w:w="32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Function Under Test</w:t>
            </w:r>
          </w:p>
        </w:tc>
        <w:tc>
          <w:tcPr>
            <w:tcW w:type="dxa" w:w="14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n (calls)</w:t>
            </w:r>
          </w:p>
        </w:tc>
        <w:tc>
          <w:tcPr>
            <w:tcW w:type="dxa" w:w="16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Total Time</w:t>
            </w:r>
          </w:p>
        </w:tc>
        <w:tc>
          <w:tcPr>
            <w:tcW w:type="dxa" w:w="18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Avg Latency</w:t>
            </w:r>
          </w:p>
        </w:tc>
        <w:tc>
          <w:tcPr>
            <w:tcW w:type="dxa" w:w="18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Throughput</w:t>
            </w:r>
          </w:p>
        </w:tc>
      </w:tr>
      <w:tr>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Consolas" w:cs="Consolas" w:eastAsia="Consolas" w:hAnsi="Consolas"/>
                <w:b/>
                <w:bCs/>
                <w:sz w:val="18"/>
                <w:szCs w:val="18"/>
              </w:rPr>
              <w:t xml:space="preserve">normalizePath()</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28.778 ms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28.778 µs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34,749 ops/s</w:t>
            </w:r>
          </w:p>
        </w:tc>
      </w:tr>
      <w:tr>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Consolas" w:cs="Consolas" w:eastAsia="Consolas" w:hAnsi="Consolas"/>
                <w:b/>
                <w:bCs/>
                <w:sz w:val="18"/>
                <w:szCs w:val="18"/>
              </w:rPr>
              <w:t xml:space="preserve">normalizePath()</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10,000</w:t>
            </w:r>
          </w:p>
        </w:tc>
        <w:tc>
          <w:tcPr>
            <w:tcW w:type="dxa" w:w="1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85.817 ms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8.582 µs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116,527 ops/s</w:t>
            </w:r>
          </w:p>
        </w:tc>
      </w:tr>
      <w:tr>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Consolas" w:cs="Consolas" w:eastAsia="Consolas" w:hAnsi="Consolas"/>
                <w:b/>
                <w:bCs/>
                <w:sz w:val="18"/>
                <w:szCs w:val="18"/>
              </w:rPr>
              <w:t xml:space="preserve">normalizePath()</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100,000</w:t>
            </w:r>
          </w:p>
        </w:tc>
        <w:tc>
          <w:tcPr>
            <w:tcW w:type="dxa" w:w="1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603.720 ms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6.037 µs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165,640 ops/s</w:t>
            </w:r>
          </w:p>
        </w:tc>
      </w:tr>
      <w:tr>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Consolas" w:cs="Consolas" w:eastAsia="Consolas" w:hAnsi="Consolas"/>
                <w:b/>
                <w:bCs/>
                <w:sz w:val="18"/>
                <w:szCs w:val="18"/>
              </w:rPr>
              <w:t xml:space="preserve">compareVersions()</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15.369 ms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15.369 µs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65,066 ops/s</w:t>
            </w:r>
          </w:p>
        </w:tc>
      </w:tr>
      <w:tr>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Consolas" w:cs="Consolas" w:eastAsia="Consolas" w:hAnsi="Consolas"/>
                <w:b/>
                <w:bCs/>
                <w:sz w:val="18"/>
                <w:szCs w:val="18"/>
              </w:rPr>
              <w:t xml:space="preserve">compareVersions()</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10,000</w:t>
            </w:r>
          </w:p>
        </w:tc>
        <w:tc>
          <w:tcPr>
            <w:tcW w:type="dxa" w:w="1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78.546 ms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7.855 µs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127,314 ops/s</w:t>
            </w:r>
          </w:p>
        </w:tc>
      </w:tr>
      <w:tr>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Consolas" w:cs="Consolas" w:eastAsia="Consolas" w:hAnsi="Consolas"/>
                <w:b/>
                <w:bCs/>
                <w:sz w:val="18"/>
                <w:szCs w:val="18"/>
              </w:rPr>
              <w:t xml:space="preserve">compareVersions()</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100,000</w:t>
            </w:r>
          </w:p>
        </w:tc>
        <w:tc>
          <w:tcPr>
            <w:tcW w:type="dxa" w:w="1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279.590 ms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2.796 µs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357,666 ops/s</w:t>
            </w:r>
          </w:p>
        </w:tc>
      </w:tr>
      <w:tr>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Consolas" w:cs="Consolas" w:eastAsia="Consolas" w:hAnsi="Consolas"/>
                <w:b/>
                <w:bCs/>
                <w:sz w:val="18"/>
                <w:szCs w:val="18"/>
              </w:rPr>
              <w:t xml:space="preserve">ImpactScoringService.calculate()</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0.118 ms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0.118 µs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8.49M ops/s</w:t>
            </w:r>
          </w:p>
        </w:tc>
      </w:tr>
      <w:tr>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Consolas" w:cs="Consolas" w:eastAsia="Consolas" w:hAnsi="Consolas"/>
                <w:b/>
                <w:bCs/>
                <w:sz w:val="18"/>
                <w:szCs w:val="18"/>
              </w:rPr>
              <w:t xml:space="preserve">ImpactScoringService.calculate()</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100,000</w:t>
            </w:r>
          </w:p>
        </w:tc>
        <w:tc>
          <w:tcPr>
            <w:tcW w:type="dxa" w:w="1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1.814 ms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0.018 µs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55.12M ops/s</w:t>
            </w:r>
          </w:p>
        </w:tc>
      </w:tr>
    </w:tbl>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At 100,000 calls, path normalization stabilizes at 6.0 µs/op (~166K ops/sec) and semantic-version comparison at 2.8 µs/op (~358K ops/sec); the composite-scoring formula, being pure floating-point arithmetic with no string or regex work, is three orders of magnitude faster again at 0.018 µs/op (~55M ops/sec). None of these three functions is a plausible bottleneck for a system whose request volume is bounded by human- or CI-triggered comparisons rather than high-frequency traffic.</w:t>
      </w:r>
    </w:p>
    <w:p>
      <w:pPr>
        <w:pStyle w:val="Heading3"/>
        <w:spacing w:after="160" w:before="240"/>
      </w:pPr>
      <w:r>
        <w:rPr>
          <w:rFonts w:ascii="Times New Roman" w:cs="Times New Roman" w:eastAsia="Times New Roman" w:hAnsi="Times New Roman"/>
          <w:b/>
          <w:bCs/>
          <w:sz w:val="28"/>
          <w:szCs w:val="28"/>
        </w:rPr>
        <w:t xml:space="preserve">4.6.2 Scaling Behavior of the SGM Aggregation Pass</w:t>
      </w:r>
    </w:p>
    <w:p>
      <w:pPr>
        <w:spacing w:after="200" w:line="360"/>
        <w:jc w:val="both"/>
      </w:pPr>
      <w:r>
        <w:rPr>
          <w:rFonts w:ascii="Times New Roman" w:cs="Times New Roman" w:eastAsia="Times New Roman" w:hAnsi="Times New Roman"/>
          <w:b w:val="false"/>
          <w:bCs w:val="false"/>
          <w:i w:val="false"/>
          <w:iCs w:val="false"/>
          <w:sz w:val="24"/>
          <w:szCs w:val="24"/>
        </w:rPr>
        <w:t xml:space="preserve">SGMService's severity-aggregation loop (the O(n) pass that counts BREAKING/WARNING/INFO violations and derives dStruct) was benchmarked against synthetic violation sets sized to model specifications from 10 to 5,000 endpoints.</w:t>
      </w:r>
    </w:p>
    <w:p>
      <w:pPr>
        <w:spacing w:after="300" w:before="120"/>
        <w:jc w:val="center"/>
      </w:pPr>
      <w:r>
        <w:rPr>
          <w:rFonts w:ascii="Times New Roman" w:cs="Times New Roman" w:eastAsia="Times New Roman" w:hAnsi="Times New Roman"/>
          <w:b/>
          <w:bCs/>
          <w:i/>
          <w:iCs/>
          <w:sz w:val="22"/>
          <w:szCs w:val="22"/>
        </w:rPr>
        <w:t xml:space="preserve">Table 19: SGM Aggregation Latency vs. Specification Size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3200"/>
      </w:tblGrid>
      <w:tr>
        <w:tc>
          <w:tcPr>
            <w:tcW w:type="dxa" w:w="26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Spec Size (endpoints)</w:t>
            </w:r>
          </w:p>
        </w:tc>
        <w:tc>
          <w:tcPr>
            <w:tcW w:type="dxa" w:w="20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Avg Latency / Call</w:t>
            </w:r>
          </w:p>
        </w:tc>
        <w:tc>
          <w:tcPr>
            <w:tcW w:type="dxa" w:w="20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Throughput</w:t>
            </w:r>
          </w:p>
        </w:tc>
        <w:tc>
          <w:tcPr>
            <w:tcW w:type="dxa" w:w="32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Observation</w:t>
            </w:r>
          </w:p>
        </w:tc>
      </w:tr>
      <w:tr>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10</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0.188 µs</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5,312,000 ops/s</w:t>
            </w:r>
          </w:p>
        </w:tc>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Baseline</w:t>
            </w:r>
          </w:p>
        </w:tc>
      </w:tr>
      <w:tr>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50</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0.510 µs</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1,959,900 ops/s</w:t>
            </w:r>
          </w:p>
        </w:tc>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Roughly linear with violation-array size</w:t>
            </w:r>
          </w:p>
        </w:tc>
      </w:tr>
      <w:tr>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100</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0.089 µs</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11,232,446 ops/s</w:t>
            </w:r>
          </w:p>
        </w:tc>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Non-monotonic — attributable to JIT compilation kicking in mid-run, not an algorithmic effect (see note below)</w:t>
            </w:r>
          </w:p>
        </w:tc>
      </w:tr>
      <w:tr>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500</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0.846 µs</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1,182,616 ops/s</w:t>
            </w:r>
          </w:p>
        </w:tc>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Linear scaling resumes</w:t>
            </w:r>
          </w:p>
        </w:tc>
      </w:tr>
      <w:tr>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1,000</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1.589 µs</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629,445 ops/s</w:t>
            </w:r>
          </w:p>
        </w:tc>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~2× the 500-endpoint latency, consistent with O(n)</w:t>
            </w:r>
          </w:p>
        </w:tc>
      </w:tr>
      <w:tr>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5,000</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7.032 µs</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142,216 ops/s</w:t>
            </w:r>
          </w:p>
        </w:tc>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~4.4× the 1,000-endpoint latency — consistent with the O(n) aggregation loop in SGMService</w:t>
            </w:r>
          </w:p>
        </w:tc>
      </w:tr>
    </w:tbl>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The 10→500→1,000→5,000 progression is consistent with the loop's expected O(n) behavior once JIT warm-up noise at the small n=100 sample is set aside (a known artifact of single-run, non-JMH microbenchmarking, disclosed rather than smoothed over). Even at 5,000 endpoints — roughly 25× larger than any specification observed in this project's own sample files — the aggregation pass completes in 7.0 microseconds. This confirms that the SGM computation itself is not the limiting factor in end-to-end request latency; I/O-bound work (JPA persistence, JavaParser AST traversal for the extraction pipeline, and network round-trip) will dominate wall-clock time in a deployed instance, which is precisely why Section 4.6.4 scopes full end-to-end load testing as separate, necessary future work rather than estimating it here.</w:t>
      </w:r>
    </w:p>
    <w:p>
      <w:pPr>
        <w:pStyle w:val="Heading3"/>
        <w:spacing w:after="160" w:before="240"/>
      </w:pPr>
      <w:r>
        <w:rPr>
          <w:rFonts w:ascii="Times New Roman" w:cs="Times New Roman" w:eastAsia="Times New Roman" w:hAnsi="Times New Roman"/>
          <w:b/>
          <w:bCs/>
          <w:sz w:val="28"/>
          <w:szCs w:val="28"/>
        </w:rPr>
        <w:t xml:space="preserve">4.6.3 Payload Sizing</w:t>
      </w:r>
    </w:p>
    <w:p>
      <w:pPr>
        <w:spacing w:after="200" w:line="360"/>
        <w:jc w:val="both"/>
      </w:pPr>
      <w:r>
        <w:rPr>
          <w:rFonts w:ascii="Times New Roman" w:cs="Times New Roman" w:eastAsia="Times New Roman" w:hAnsi="Times New Roman"/>
          <w:b w:val="false"/>
          <w:bCs w:val="false"/>
          <w:i w:val="false"/>
          <w:iCs w:val="false"/>
          <w:sz w:val="24"/>
          <w:szCs w:val="24"/>
        </w:rPr>
        <w:t xml:space="preserve">Synthetic OpenAPI 3.0 documents were generated at six endpoint counts and their serialized JSON byte size measured directly, to characterize the rawContent column's storage and transfer footprint in the spec_versions table.</w:t>
      </w:r>
    </w:p>
    <w:p>
      <w:pPr>
        <w:spacing w:after="300" w:before="120"/>
        <w:jc w:val="center"/>
      </w:pPr>
      <w:r>
        <w:rPr>
          <w:rFonts w:ascii="Times New Roman" w:cs="Times New Roman" w:eastAsia="Times New Roman" w:hAnsi="Times New Roman"/>
          <w:b/>
          <w:bCs/>
          <w:i/>
          <w:iCs/>
          <w:sz w:val="22"/>
          <w:szCs w:val="22"/>
        </w:rPr>
        <w:t xml:space="preserve">Table 20: Synthetic OpenAPI Payload Sizing (measured)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c>
          <w:tcPr>
            <w:tcW w:type="dxa" w:w="26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Endpoints</w:t>
            </w:r>
          </w:p>
        </w:tc>
        <w:tc>
          <w:tcPr>
            <w:tcW w:type="dxa" w:w="36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Serialized Payload Size</w:t>
            </w:r>
          </w:p>
        </w:tc>
        <w:tc>
          <w:tcPr>
            <w:tcW w:type="dxa" w:w="3600"/>
            <w:tcBorders>
              <w:top w:val="single" w:color="808080" w:sz="4"/>
              <w:left w:val="single" w:color="808080" w:sz="4"/>
              <w:bottom w:val="single" w:color="808080" w:sz="4"/>
              <w:right w:val="single" w:color="808080" w:sz="4"/>
            </w:tcBorders>
            <w:shd w:fill="D9D9D9"/>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Bytes / Endpoint</w:t>
            </w:r>
          </w:p>
        </w:tc>
      </w:tr>
      <w:tr>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10</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3,466 bytes (3.4 KB)</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~347 B</w:t>
            </w:r>
          </w:p>
        </w:tc>
      </w:tr>
      <w:tr>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25</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8,581 bytes (8.4 KB)</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~343 B</w:t>
            </w:r>
          </w:p>
        </w:tc>
      </w:tr>
      <w:tr>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50</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17,106 bytes (16.7 KB)</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~342 B</w:t>
            </w:r>
          </w:p>
        </w:tc>
      </w:tr>
      <w:tr>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100</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34,156 bytes (33.4 KB)</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~342 B</w:t>
            </w:r>
          </w:p>
        </w:tc>
      </w:tr>
      <w:tr>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250</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85,606 bytes (83.6 KB)</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~342 B</w:t>
            </w:r>
          </w:p>
        </w:tc>
      </w:tr>
      <w:tr>
        <w:tc>
          <w:tcPr>
            <w:tcW w:type="dxa" w:w="2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500</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171,356 bytes (167.3 KB)</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~343 B</w:t>
            </w:r>
          </w:p>
        </w:tc>
      </w:tr>
    </w:tbl>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Payload size scales linearly at approximately 342–347 bytes per endpoint for this schema shape (single GET operation, one path parameter, one 200-response object schema with three string properties) — real production specifications with multiple HTTP methods per path, richer schemas, and descriptive text will scale at a higher per-endpoint rate; this figure is a conservative structural lower bound, not a representative average.</w:t>
      </w:r>
    </w:p>
    <w:p>
      <w:pPr>
        <w:pStyle w:val="Heading3"/>
        <w:spacing w:after="160" w:before="240"/>
      </w:pPr>
      <w:r>
        <w:rPr>
          <w:rFonts w:ascii="Times New Roman" w:cs="Times New Roman" w:eastAsia="Times New Roman" w:hAnsi="Times New Roman"/>
          <w:b/>
          <w:bCs/>
          <w:sz w:val="28"/>
          <w:szCs w:val="28"/>
        </w:rPr>
        <w:t xml:space="preserve">4.6.4 Stress Tolerance and Scope of Untested Conditions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following are explicitly not covered by the measurements above and are identified as required Part II activities before any production-readiness claim can be made:</w:t>
      </w:r>
    </w:p>
    <w:p>
      <w:pPr>
        <w:pStyle w:val="ListParagraph"/>
        <w:numPr>
          <w:ilvl w:val="0"/>
          <w:numId w:val="1"/>
        </w:numPr>
        <w:spacing w:after="100" w:line="300"/>
      </w:pPr>
      <w:r>
        <w:rPr>
          <w:rFonts w:ascii="Times New Roman" w:cs="Times New Roman" w:eastAsia="Times New Roman" w:hAnsi="Times New Roman"/>
          <w:sz w:val="24"/>
          <w:szCs w:val="24"/>
        </w:rPr>
        <w:t xml:space="preserve">Concurrent-request throughput against a running Spring Boot instance (e.g., a k6 or JMeter script driving N concurrent POST /api/analysis/compare requests) — no deployed instance exists yet.</w:t>
      </w:r>
    </w:p>
    <w:p>
      <w:pPr>
        <w:pStyle w:val="ListParagraph"/>
        <w:numPr>
          <w:ilvl w:val="0"/>
          <w:numId w:val="1"/>
        </w:numPr>
        <w:spacing w:after="100" w:line="300"/>
      </w:pPr>
      <w:r>
        <w:rPr>
          <w:rFonts w:ascii="Times New Roman" w:cs="Times New Roman" w:eastAsia="Times New Roman" w:hAnsi="Times New Roman"/>
          <w:sz w:val="24"/>
          <w:szCs w:val="24"/>
        </w:rPr>
        <w:t xml:space="preserve">JPA/PostgreSQL write latency under the @Transactional multi-row insert path in AnalysisService.compare() (one AnalysisReport row plus one Violation row per finding).</w:t>
      </w:r>
    </w:p>
    <w:p>
      <w:pPr>
        <w:pStyle w:val="ListParagraph"/>
        <w:numPr>
          <w:ilvl w:val="0"/>
          <w:numId w:val="1"/>
        </w:numPr>
        <w:spacing w:after="100" w:line="300"/>
      </w:pPr>
      <w:r>
        <w:rPr>
          <w:rFonts w:ascii="Times New Roman" w:cs="Times New Roman" w:eastAsia="Times New Roman" w:hAnsi="Times New Roman"/>
          <w:sz w:val="24"/>
          <w:szCs w:val="24"/>
        </w:rPr>
        <w:t xml:space="preserve">JavaParser AST-traversal cost against a large real-world source tree (the benchmarked functions above are all downstream of, not inclusive of, the AST walk itself).</w:t>
      </w:r>
    </w:p>
    <w:p>
      <w:pPr>
        <w:pStyle w:val="ListParagraph"/>
        <w:numPr>
          <w:ilvl w:val="0"/>
          <w:numId w:val="1"/>
        </w:numPr>
        <w:spacing w:after="100" w:line="300"/>
      </w:pPr>
      <w:r>
        <w:rPr>
          <w:rFonts w:ascii="Times New Roman" w:cs="Times New Roman" w:eastAsia="Times New Roman" w:hAnsi="Times New Roman"/>
          <w:sz w:val="24"/>
          <w:szCs w:val="24"/>
        </w:rPr>
        <w:t xml:space="preserve">Behavior under specification documents larger than the 500-endpoint synthetic ceiling used here, or with deeply nested $ref schema graphs, which is the input shape most likely to stress the swagger-parser dependency rather than API-CIA's own code.</w:t>
      </w:r>
    </w:p>
    <w:p>
      <w:pPr>
        <w:pStyle w:val="Heading2"/>
        <w:spacing w:after="200" w:before="360"/>
      </w:pPr>
      <w:r>
        <w:rPr>
          <w:rFonts w:ascii="Times New Roman" w:cs="Times New Roman" w:eastAsia="Times New Roman" w:hAnsi="Times New Roman"/>
          <w:b/>
          <w:bCs/>
          <w:sz w:val="32"/>
          <w:szCs w:val="32"/>
        </w:rPr>
        <w:t xml:space="preserve">4.7 Chapter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grounded the Part I implementation in verifiable detail: the REST/Swagger UI surface and its validation and error-handling contracts (4.3); the exact runtime, dependency, and configuration profile the codebase runs under, including a live plaintext-credential finding reaffirmed from Chapter 3's anticipated risk (4.4); the concrete module implementations behind every exposed route, the as-implemented two-term composite-scoring formula (a refinement of Chapter 3's general three-term model), and a proposed containerized deployment design (4.5); a 12-case test table drawn entirely from the repository's own JUnit suite, verified by direct execution where dependency-free and by source-level trace elsewhere, with the methodology for each disclosed per row (4.5.3); and a performance evaluation built from genuinely measured micro-benchmarks of every deterministic core algorithm, together with an explicit accounting of what remains untested pending a deployed instance (4.6). Chapter 5 now turns to interpreting these results and to a critical discussion of the system's current architectural limitations.</w:t>
      </w:r>
    </w:p>
    <w:p>
      <w:pPr>
        <w:pStyle w:val="Heading1"/>
        <w:pageBreakBefore/>
        <w:spacing w:after="300" w:before="200"/>
        <w:jc w:val="center"/>
      </w:pPr>
      <w:r>
        <w:rPr>
          <w:rFonts w:ascii="Times New Roman" w:cs="Times New Roman" w:eastAsia="Times New Roman" w:hAnsi="Times New Roman"/>
          <w:b/>
          <w:bCs/>
          <w:sz w:val="36"/>
          <w:szCs w:val="36"/>
        </w:rPr>
        <w:t xml:space="preserve">Chapter 5: Results &amp; Discussion</w:t>
      </w:r>
    </w:p>
    <w:p>
      <w:pPr>
        <w:pStyle w:val="Heading2"/>
        <w:spacing w:after="200" w:before="360"/>
      </w:pPr>
      <w:r>
        <w:rPr>
          <w:rFonts w:ascii="Times New Roman" w:cs="Times New Roman" w:eastAsia="Times New Roman" w:hAnsi="Times New Roman"/>
          <w:b/>
          <w:bCs/>
          <w:sz w:val="32"/>
          <w:szCs w:val="32"/>
        </w:rPr>
        <w:t xml:space="preserve">5.1 Outputs &amp; Outcomes</w:t>
      </w:r>
    </w:p>
    <w:p>
      <w:pPr>
        <w:spacing w:after="200" w:line="360"/>
        <w:jc w:val="both"/>
      </w:pPr>
      <w:r>
        <w:rPr>
          <w:rFonts w:ascii="Times New Roman" w:cs="Times New Roman" w:eastAsia="Times New Roman" w:hAnsi="Times New Roman"/>
          <w:b w:val="false"/>
          <w:bCs w:val="false"/>
          <w:i w:val="false"/>
          <w:iCs w:val="false"/>
          <w:sz w:val="24"/>
          <w:szCs w:val="24"/>
        </w:rPr>
        <w:t xml:space="preserve">The concrete, verifiable deliverables of the Part I implementation milestone are: an eight-rule SGM structural-diff engine with full unit-test coverage of its severity aggregation and scoring path; a JavaParser-based static dependency scanner that resolves Feign/RestTemplate/WebClient call sites to normalized endpoint paths and persists them as queryable ClientDependency records; a live blast-radius join inside AnalysisService that attaches the resolved consumer list to every detected violation and feeds a consumer-impact signal into the composite score — a materially more complete integration than the disconnected DTO scaffolding identified in the Chapter 2 delta audit, confirmed by the source trace performed for Chapter 4; a fully externally configurable, safety-clamped, threshold-banded composite scoring formula; a normalized six-entity PostgreSQL schema; a 13-endpoint REST surface across four controllers with centralized, uniform error handling; and an 18-method JUnit test suite spanning five classes, of which 12 representative cases were independently verified for this report (Table 17).</w:t>
      </w:r>
    </w:p>
    <w:p>
      <w:pPr>
        <w:pStyle w:val="Heading3"/>
        <w:spacing w:after="160" w:before="240"/>
      </w:pPr>
      <w:r>
        <w:rPr>
          <w:rFonts w:ascii="Times New Roman" w:cs="Times New Roman" w:eastAsia="Times New Roman" w:hAnsi="Times New Roman"/>
          <w:b/>
          <w:bCs/>
          <w:sz w:val="28"/>
          <w:szCs w:val="28"/>
        </w:rPr>
        <w:t xml:space="preserve">5.1.1 API Response Contract</w:t>
      </w:r>
    </w:p>
    <w:p>
      <w:pPr>
        <w:spacing w:after="200" w:line="360"/>
        <w:jc w:val="both"/>
      </w:pPr>
      <w:r>
        <w:rPr>
          <w:rFonts w:ascii="Times New Roman" w:cs="Times New Roman" w:eastAsia="Times New Roman" w:hAnsi="Times New Roman"/>
          <w:b w:val="false"/>
          <w:bCs w:val="false"/>
          <w:i w:val="false"/>
          <w:iCs w:val="false"/>
          <w:sz w:val="24"/>
          <w:szCs w:val="24"/>
        </w:rPr>
        <w:t xml:space="preserve">AnalysisResponseDTO — the payload returned by POST /api/analysis/compare and GET /api/analysis/reports/{id} — nests four sub-contracts: SGMResultDTO (the structural-diff result and its violation list), ImpactScoreDTO (the composite score and its per-term breakdown), BlastRadiusDTO (the consumer-impact join, itself nesting ImpactedEndpointDTO and ImpactedConsumerDTO for per-endpoint, per-consumer-project detail), and four spec-identity/timestamp fields. Figure 14 shows a representative response constructed field-for-field from this DTO contract — stated explicitly as an illustrative example built from the verified schema, not a screenshot of a live execution, since no deployed instance exists at the time of this report.</w:t>
      </w:r>
    </w:p>
    <w:p>
      <w:pPr>
        <w:spacing w:after="300" w:before="120"/>
        <w:jc w:val="center"/>
      </w:pPr>
      <w:r>
        <w:rPr>
          <w:rFonts w:ascii="Times New Roman" w:cs="Times New Roman" w:eastAsia="Times New Roman" w:hAnsi="Times New Roman"/>
          <w:b/>
          <w:bCs/>
          <w:i/>
          <w:iCs/>
          <w:sz w:val="22"/>
          <w:szCs w:val="22"/>
        </w:rPr>
        <w:t xml:space="preserve">Figure 14: Representative AnalysisResponseDTO JSON (illustrative, built from the verified DTO contract)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08080" w:sz="4"/>
              <w:left w:val="single" w:color="808080" w:sz="4"/>
              <w:bottom w:val="single" w:color="808080" w:sz="4"/>
              <w:right w:val="single" w:color="808080" w:sz="4"/>
            </w:tcBorders>
            <w:shd w:fill="F2F2F2"/>
            <w:tcMar>
              <w:top w:type="dxa" w:w="160"/>
              <w:left w:type="dxa" w:w="200"/>
              <w:bottom w:type="dxa" w:w="160"/>
              <w:right w:type="dxa" w:w="200"/>
            </w:tcMar>
          </w:tcPr>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"reportId": 118,</w:t>
            </w:r>
          </w:p>
          <w:p>
            <w:pPr>
              <w:spacing w:after="20"/>
            </w:pPr>
            <w:r>
              <w:rPr>
                <w:rFonts w:ascii="Consolas" w:cs="Consolas" w:eastAsia="Consolas" w:hAnsi="Consolas"/>
                <w:sz w:val="18"/>
                <w:szCs w:val="18"/>
              </w:rPr>
              <w:t xml:space="preserve">  "oldVersion": "1.2.0",</w:t>
            </w:r>
          </w:p>
          <w:p>
            <w:pPr>
              <w:spacing w:after="20"/>
            </w:pPr>
            <w:r>
              <w:rPr>
                <w:rFonts w:ascii="Consolas" w:cs="Consolas" w:eastAsia="Consolas" w:hAnsi="Consolas"/>
                <w:sz w:val="18"/>
                <w:szCs w:val="18"/>
              </w:rPr>
              <w:t xml:space="preserve">  "newVersion": "1.3.0",</w:t>
            </w:r>
          </w:p>
          <w:p>
            <w:pPr>
              <w:spacing w:after="20"/>
            </w:pPr>
            <w:r>
              <w:rPr>
                <w:rFonts w:ascii="Consolas" w:cs="Consolas" w:eastAsia="Consolas" w:hAnsi="Consolas"/>
                <w:sz w:val="18"/>
                <w:szCs w:val="18"/>
              </w:rPr>
              <w:t xml:space="preserve">  "sgm": {</w:t>
            </w:r>
          </w:p>
          <w:p>
            <w:pPr>
              <w:spacing w:after="20"/>
            </w:pPr>
            <w:r>
              <w:rPr>
                <w:rFonts w:ascii="Consolas" w:cs="Consolas" w:eastAsia="Consolas" w:hAnsi="Consolas"/>
                <w:sz w:val="18"/>
                <w:szCs w:val="18"/>
              </w:rPr>
              <w:t xml:space="preserve">    "totalViolations": 3,</w:t>
            </w:r>
          </w:p>
          <w:p>
            <w:pPr>
              <w:spacing w:after="20"/>
            </w:pPr>
            <w:r>
              <w:rPr>
                <w:rFonts w:ascii="Consolas" w:cs="Consolas" w:eastAsia="Consolas" w:hAnsi="Consolas"/>
                <w:sz w:val="18"/>
                <w:szCs w:val="18"/>
              </w:rPr>
              <w:t xml:space="preserve">    "breakingCount": 1,</w:t>
            </w:r>
          </w:p>
          <w:p>
            <w:pPr>
              <w:spacing w:after="20"/>
            </w:pPr>
            <w:r>
              <w:rPr>
                <w:rFonts w:ascii="Consolas" w:cs="Consolas" w:eastAsia="Consolas" w:hAnsi="Consolas"/>
                <w:sz w:val="18"/>
                <w:szCs w:val="18"/>
              </w:rPr>
              <w:t xml:space="preserve">    "warningCount": 1,</w:t>
            </w:r>
          </w:p>
          <w:p>
            <w:pPr>
              <w:spacing w:after="20"/>
            </w:pPr>
            <w:r>
              <w:rPr>
                <w:rFonts w:ascii="Consolas" w:cs="Consolas" w:eastAsia="Consolas" w:hAnsi="Consolas"/>
                <w:sz w:val="18"/>
                <w:szCs w:val="18"/>
              </w:rPr>
              <w:t xml:space="preserve">    "infoCount": 1,</w:t>
            </w:r>
          </w:p>
          <w:p>
            <w:pPr>
              <w:spacing w:after="20"/>
            </w:pPr>
            <w:r>
              <w:rPr>
                <w:rFonts w:ascii="Consolas" w:cs="Consolas" w:eastAsia="Consolas" w:hAnsi="Consolas"/>
                <w:sz w:val="18"/>
                <w:szCs w:val="18"/>
              </w:rPr>
              <w:t xml:space="preserve">    "dStruct": 0.75,</w:t>
            </w:r>
          </w:p>
          <w:p>
            <w:pPr>
              <w:spacing w:after="20"/>
            </w:pPr>
            <w:r>
              <w:rPr>
                <w:rFonts w:ascii="Consolas" w:cs="Consolas" w:eastAsia="Consolas" w:hAnsi="Consolas"/>
                <w:sz w:val="18"/>
                <w:szCs w:val="18"/>
              </w:rPr>
              <w:t xml:space="preserve">    "violations":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"ruleId": "SGM-004",</w:t>
            </w:r>
          </w:p>
          <w:p>
            <w:pPr>
              <w:spacing w:after="20"/>
            </w:pPr>
            <w:r>
              <w:rPr>
                <w:rFonts w:ascii="Consolas" w:cs="Consolas" w:eastAsia="Consolas" w:hAnsi="Consolas"/>
                <w:sz w:val="18"/>
                <w:szCs w:val="18"/>
              </w:rPr>
              <w:t xml:space="preserve">        "severity": "BREAKING",</w:t>
            </w:r>
          </w:p>
          <w:p>
            <w:pPr>
              <w:spacing w:after="20"/>
            </w:pPr>
            <w:r>
              <w:rPr>
                <w:rFonts w:ascii="Consolas" w:cs="Consolas" w:eastAsia="Consolas" w:hAnsi="Consolas"/>
                <w:sz w:val="18"/>
                <w:szCs w:val="18"/>
              </w:rPr>
              <w:t xml:space="preserve">        "endpoint": "DELETE /api/v1/orders/{id}",</w:t>
            </w:r>
          </w:p>
          <w:p>
            <w:pPr>
              <w:spacing w:after="20"/>
            </w:pPr>
            <w:r>
              <w:rPr>
                <w:rFonts w:ascii="Consolas" w:cs="Consolas" w:eastAsia="Consolas" w:hAnsi="Consolas"/>
                <w:sz w:val="18"/>
                <w:szCs w:val="18"/>
              </w:rPr>
              <w:t xml:space="preserve">        "message": "Required field 'reason' added to request body",</w:t>
            </w:r>
          </w:p>
          <w:p>
            <w:pPr>
              <w:spacing w:after="20"/>
            </w:pPr>
            <w:r>
              <w:rPr>
                <w:rFonts w:ascii="Consolas" w:cs="Consolas" w:eastAsia="Consolas" w:hAnsi="Consolas"/>
                <w:sz w:val="18"/>
                <w:szCs w:val="18"/>
              </w:rPr>
              <w:t xml:space="preserve">        "oldValue": "null",</w:t>
            </w:r>
          </w:p>
          <w:p>
            <w:pPr>
              <w:spacing w:after="20"/>
            </w:pPr>
            <w:r>
              <w:rPr>
                <w:rFonts w:ascii="Consolas" w:cs="Consolas" w:eastAsia="Consolas" w:hAnsi="Consolas"/>
                <w:sz w:val="18"/>
                <w:szCs w:val="18"/>
              </w:rPr>
              <w:t xml:space="preserve">        "newValue": "reason: string (required)",</w:t>
            </w:r>
          </w:p>
          <w:p>
            <w:pPr>
              <w:spacing w:after="20"/>
            </w:pPr>
            <w:r>
              <w:rPr>
                <w:rFonts w:ascii="Consolas" w:cs="Consolas" w:eastAsia="Consolas" w:hAnsi="Consolas"/>
                <w:sz w:val="18"/>
                <w:szCs w:val="18"/>
              </w:rPr>
              <w:t xml:space="preserve">        "changeType": "REQUIRED_FIELD_ADDED",</w:t>
            </w:r>
          </w:p>
          <w:p>
            <w:pPr>
              <w:spacing w:after="20"/>
            </w:pPr>
            <w:r>
              <w:rPr>
                <w:rFonts w:ascii="Consolas" w:cs="Consolas" w:eastAsia="Consolas" w:hAnsi="Consolas"/>
                <w:sz w:val="18"/>
                <w:szCs w:val="18"/>
              </w:rPr>
              <w:t xml:space="preserve">        "oldPath": "/api/v1/orders/{id}",</w:t>
            </w:r>
          </w:p>
          <w:p>
            <w:pPr>
              <w:spacing w:after="20"/>
            </w:pPr>
            <w:r>
              <w:rPr>
                <w:rFonts w:ascii="Consolas" w:cs="Consolas" w:eastAsia="Consolas" w:hAnsi="Consolas"/>
                <w:sz w:val="18"/>
                <w:szCs w:val="18"/>
              </w:rPr>
              <w:t xml:space="preserve">        "newPath": "/api/v1/orders/{id}",</w:t>
            </w:r>
          </w:p>
          <w:p>
            <w:pPr>
              <w:spacing w:after="20"/>
            </w:pPr>
            <w:r>
              <w:rPr>
                <w:rFonts w:ascii="Consolas" w:cs="Consolas" w:eastAsia="Consolas" w:hAnsi="Consolas"/>
                <w:sz w:val="18"/>
                <w:szCs w:val="18"/>
              </w:rPr>
              <w:t xml:space="preserve">        "controller": "OrderController",</w:t>
            </w:r>
          </w:p>
          <w:p>
            <w:pPr>
              <w:spacing w:after="20"/>
            </w:pPr>
            <w:r>
              <w:rPr>
                <w:rFonts w:ascii="Consolas" w:cs="Consolas" w:eastAsia="Consolas" w:hAnsi="Consolas"/>
                <w:sz w:val="18"/>
                <w:szCs w:val="18"/>
              </w:rPr>
              <w:t xml:space="preserve">        "method": "cancelOrder"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"impactScore": {</w:t>
            </w:r>
          </w:p>
          <w:p>
            <w:pPr>
              <w:spacing w:after="20"/>
            </w:pPr>
            <w:r>
              <w:rPr>
                <w:rFonts w:ascii="Consolas" w:cs="Consolas" w:eastAsia="Consolas" w:hAnsi="Consolas"/>
                <w:sz w:val="18"/>
                <w:szCs w:val="18"/>
              </w:rPr>
              <w:t xml:space="preserve">    "dStruct": 0.75,</w:t>
            </w:r>
          </w:p>
          <w:p>
            <w:pPr>
              <w:spacing w:after="20"/>
            </w:pPr>
            <w:r>
              <w:rPr>
                <w:rFonts w:ascii="Consolas" w:cs="Consolas" w:eastAsia="Consolas" w:hAnsi="Consolas"/>
                <w:sz w:val="18"/>
                <w:szCs w:val="18"/>
              </w:rPr>
              <w:t xml:space="preserve">    "dBlast": 0.2,</w:t>
            </w:r>
          </w:p>
          <w:p>
            <w:pPr>
              <w:spacing w:after="20"/>
            </w:pPr>
            <w:r>
              <w:rPr>
                <w:rFonts w:ascii="Consolas" w:cs="Consolas" w:eastAsia="Consolas" w:hAnsi="Consolas"/>
                <w:sz w:val="18"/>
                <w:szCs w:val="18"/>
              </w:rPr>
              <w:t xml:space="preserve">    "sTotal": 0.585,</w:t>
            </w:r>
          </w:p>
          <w:p>
            <w:pPr>
              <w:spacing w:after="20"/>
            </w:pPr>
            <w:r>
              <w:rPr>
                <w:rFonts w:ascii="Consolas" w:cs="Consolas" w:eastAsia="Consolas" w:hAnsi="Consolas"/>
                <w:sz w:val="18"/>
                <w:szCs w:val="18"/>
              </w:rPr>
              <w:t xml:space="preserve">    "riskLevel": "HIGH",</w:t>
            </w:r>
          </w:p>
          <w:p>
            <w:pPr>
              <w:spacing w:after="20"/>
            </w:pPr>
            <w:r>
              <w:rPr>
                <w:rFonts w:ascii="Consolas" w:cs="Consolas" w:eastAsia="Consolas" w:hAnsi="Consolas"/>
                <w:sz w:val="18"/>
                <w:szCs w:val="18"/>
              </w:rPr>
              <w:t xml:space="preserve">    "breakdown": { "w1_dStruct": 0.525, "w2_dBlast": 0.06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"blastRadius": {</w:t>
            </w:r>
          </w:p>
          <w:p>
            <w:pPr>
              <w:spacing w:after="20"/>
            </w:pPr>
            <w:r>
              <w:rPr>
                <w:rFonts w:ascii="Consolas" w:cs="Consolas" w:eastAsia="Consolas" w:hAnsi="Consolas"/>
                <w:sz w:val="18"/>
                <w:szCs w:val="18"/>
              </w:rPr>
              <w:t xml:space="preserve">    "totalImpactedConsumers": 2,</w:t>
            </w:r>
          </w:p>
          <w:p>
            <w:pPr>
              <w:spacing w:after="20"/>
            </w:pPr>
            <w:r>
              <w:rPr>
                <w:rFonts w:ascii="Consolas" w:cs="Consolas" w:eastAsia="Consolas" w:hAnsi="Consolas"/>
                <w:sz w:val="18"/>
                <w:szCs w:val="18"/>
              </w:rPr>
              <w:t xml:space="preserve">    "impactedEndpoints":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"endpoint": "/api/v1/orders/{id}",</w:t>
            </w:r>
          </w:p>
          <w:p>
            <w:pPr>
              <w:spacing w:after="20"/>
            </w:pPr>
            <w:r>
              <w:rPr>
                <w:rFonts w:ascii="Consolas" w:cs="Consolas" w:eastAsia="Consolas" w:hAnsi="Consolas"/>
                <w:sz w:val="18"/>
                <w:szCs w:val="18"/>
              </w:rPr>
              <w:t xml:space="preserve">        "method": "DELETE",</w:t>
            </w:r>
          </w:p>
          <w:p>
            <w:pPr>
              <w:spacing w:after="20"/>
            </w:pPr>
            <w:r>
              <w:rPr>
                <w:rFonts w:ascii="Consolas" w:cs="Consolas" w:eastAsia="Consolas" w:hAnsi="Consolas"/>
                <w:sz w:val="18"/>
                <w:szCs w:val="18"/>
              </w:rPr>
              <w:t xml:space="preserve">        "violations": ["SGM-004"],</w:t>
            </w:r>
          </w:p>
          <w:p>
            <w:pPr>
              <w:spacing w:after="20"/>
            </w:pPr>
            <w:r>
              <w:rPr>
                <w:rFonts w:ascii="Consolas" w:cs="Consolas" w:eastAsia="Consolas" w:hAnsi="Consolas"/>
                <w:sz w:val="18"/>
                <w:szCs w:val="18"/>
              </w:rPr>
              <w:t xml:space="preserve">        "consumers": [</w:t>
            </w:r>
          </w:p>
          <w:p>
            <w:pPr>
              <w:spacing w:after="20"/>
            </w:pPr>
            <w:r>
              <w:rPr>
                <w:rFonts w:ascii="Consolas" w:cs="Consolas" w:eastAsia="Consolas" w:hAnsi="Consolas"/>
                <w:sz w:val="18"/>
                <w:szCs w:val="18"/>
              </w:rPr>
              <w:t xml:space="preserve">          { "projectName": "checkout-service", "file": "OrderClient.java", "line": 47 },</w:t>
            </w:r>
          </w:p>
          <w:p>
            <w:pPr>
              <w:spacing w:after="20"/>
            </w:pPr>
            <w:r>
              <w:rPr>
                <w:rFonts w:ascii="Consolas" w:cs="Consolas" w:eastAsia="Consolas" w:hAnsi="Consolas"/>
                <w:sz w:val="18"/>
                <w:szCs w:val="18"/>
              </w:rPr>
              <w:t xml:space="preserve">          { "projectName": "admin-portal", "file": "OrderAdminClient.java", "line": 112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"dBlast": 0.2,</w:t>
            </w:r>
          </w:p>
          <w:p>
            <w:pPr>
              <w:spacing w:after="20"/>
            </w:pPr>
            <w:r>
              <w:rPr>
                <w:rFonts w:ascii="Consolas" w:cs="Consolas" w:eastAsia="Consolas" w:hAnsi="Consolas"/>
                <w:sz w:val="18"/>
                <w:szCs w:val="18"/>
              </w:rPr>
              <w:t xml:space="preserve">  "oldSpecId": 41,</w:t>
            </w:r>
          </w:p>
          <w:p>
            <w:pPr>
              <w:spacing w:after="20"/>
            </w:pPr>
            <w:r>
              <w:rPr>
                <w:rFonts w:ascii="Consolas" w:cs="Consolas" w:eastAsia="Consolas" w:hAnsi="Consolas"/>
                <w:sz w:val="18"/>
                <w:szCs w:val="18"/>
              </w:rPr>
              <w:t xml:space="preserve">  "oldSpecTimestamp": "2026-08-02T10:15:00",</w:t>
            </w:r>
          </w:p>
          <w:p>
            <w:pPr>
              <w:spacing w:after="20"/>
            </w:pPr>
            <w:r>
              <w:rPr>
                <w:rFonts w:ascii="Consolas" w:cs="Consolas" w:eastAsia="Consolas" w:hAnsi="Consolas"/>
                <w:sz w:val="18"/>
                <w:szCs w:val="18"/>
              </w:rPr>
              <w:t xml:space="preserve">  "newSpecId": 42,</w:t>
            </w:r>
          </w:p>
          <w:p>
            <w:pPr>
              <w:spacing w:after="20"/>
            </w:pPr>
            <w:r>
              <w:rPr>
                <w:rFonts w:ascii="Consolas" w:cs="Consolas" w:eastAsia="Consolas" w:hAnsi="Consolas"/>
                <w:sz w:val="18"/>
                <w:szCs w:val="18"/>
              </w:rPr>
              <w:t xml:space="preserve">  "newSpecTimestamp": "2026-08-14T09:40:00"</w:t>
            </w:r>
          </w:p>
          <w:p>
            <w:pPr>
              <w:spacing w:after="20"/>
            </w:pPr>
            <w:r>
              <w:rPr>
                <w:rFonts w:ascii="Consolas" w:cs="Consolas" w:eastAsia="Consolas" w:hAnsi="Consolas"/>
                <w:sz w:val="18"/>
                <w:szCs w:val="18"/>
              </w:rPr>
              <w:t xml:space="preserve">}</w:t>
            </w:r>
          </w:p>
        </w:tc>
      </w:tr>
    </w:tbl>
    <w:p>
      <w:r>
        <w:rPr>
          <w:rFonts w:ascii="Times New Roman" w:cs="Times New Roman" w:eastAsia="Times New Roman" w:hAnsi="Times New Roman"/>
          <w:sz w:val="24"/>
          <w:szCs w:val="24"/>
        </w:rPr>
        <w:t xml:space="preserve"/>
      </w:r>
    </w:p>
    <w:p>
      <w:pPr>
        <w:pStyle w:val="Heading3"/>
        <w:spacing w:after="160" w:before="240"/>
      </w:pPr>
      <w:r>
        <w:rPr>
          <w:rFonts w:ascii="Times New Roman" w:cs="Times New Roman" w:eastAsia="Times New Roman" w:hAnsi="Times New Roman"/>
          <w:b/>
          <w:bCs/>
          <w:sz w:val="28"/>
          <w:szCs w:val="28"/>
        </w:rPr>
        <w:t xml:space="preserve">5.1.2 Execution Outputs</w:t>
      </w:r>
    </w:p>
    <w:p>
      <w:pPr>
        <w:spacing w:after="200" w:line="360"/>
        <w:jc w:val="both"/>
      </w:pPr>
      <w:r>
        <w:rPr>
          <w:rFonts w:ascii="Times New Roman" w:cs="Times New Roman" w:eastAsia="Times New Roman" w:hAnsi="Times New Roman"/>
          <w:b w:val="false"/>
          <w:bCs w:val="false"/>
          <w:i w:val="false"/>
          <w:iCs w:val="false"/>
          <w:sz w:val="24"/>
          <w:szCs w:val="24"/>
        </w:rPr>
        <w:t xml:space="preserve">Beyond the HTTP response body, each comparison run produces three durable execution outputs: one AnalysisReport row (old/new spec IDs, dStruct, dBlast, sTotal, riskLevel, timestamp), one Violation row per SGM finding (queryable independently of its parent report via ViolationRepository), and — on the dependency-scanner side — one ClientDependency row per detected consumer call site, persisted once at scan time and re-read on every subsequent comparison's blast-radius join rather than re-scanned per request.</w:t>
      </w:r>
    </w:p>
    <w:p>
      <w:pPr>
        <w:pStyle w:val="Heading2"/>
        <w:spacing w:after="200" w:before="360"/>
      </w:pPr>
      <w:r>
        <w:rPr>
          <w:rFonts w:ascii="Times New Roman" w:cs="Times New Roman" w:eastAsia="Times New Roman" w:hAnsi="Times New Roman"/>
          <w:b/>
          <w:bCs/>
          <w:sz w:val="32"/>
          <w:szCs w:val="32"/>
        </w:rPr>
        <w:t xml:space="preserve">5.2 Analysis of Results &amp; Interpretation of Data</w:t>
      </w:r>
    </w:p>
    <w:p>
      <w:pPr>
        <w:pStyle w:val="Heading3"/>
        <w:spacing w:after="160" w:before="240"/>
      </w:pPr>
      <w:r>
        <w:rPr>
          <w:rFonts w:ascii="Times New Roman" w:cs="Times New Roman" w:eastAsia="Times New Roman" w:hAnsi="Times New Roman"/>
          <w:b/>
          <w:bCs/>
          <w:sz w:val="28"/>
          <w:szCs w:val="28"/>
        </w:rPr>
        <w:t xml:space="preserve">5.2.1 Functional Accuracy</w:t>
      </w:r>
    </w:p>
    <w:p>
      <w:pPr>
        <w:spacing w:after="200" w:line="360"/>
        <w:jc w:val="both"/>
      </w:pPr>
      <w:r>
        <w:rPr>
          <w:rFonts w:ascii="Times New Roman" w:cs="Times New Roman" w:eastAsia="Times New Roman" w:hAnsi="Times New Roman"/>
          <w:b w:val="false"/>
          <w:bCs w:val="false"/>
          <w:i w:val="false"/>
          <w:iCs w:val="false"/>
          <w:sz w:val="24"/>
          <w:szCs w:val="24"/>
        </w:rPr>
        <w:t xml:space="preserve">All 12 tabulated test cases (Table 17) pass under their disclosed verification methodology. The two directly executed classes of results are the most load-bearing for confidence: path normalization (TC-03) correctly collapses both {named} path parameters and bare numeric path segments to the same token — confirmed against four assertions including a full http:// URL with a live port number — which is the exact mechanism the blast-radius join in Section 5.1 depends on to match a consumer's RestTemplate.getForObject("/orders/42") call against a provider's declared DELETE /api/v1/orders/{id} endpoint. The composite scoring formula (TC-05–07) was verified across its full behavioral range: a mid-range combined score, the 1.0 safety clamp under an extreme input, and correct classification at both the LOW/MEDIUM boundary and within the MEDIUM band. No arithmetic or boundary-condition discrepancy was found between the implementation and its test assertions in any of the six directly executed cases.</w:t>
      </w:r>
    </w:p>
    <w:p>
      <w:pPr>
        <w:spacing w:after="200" w:line="360"/>
        <w:jc w:val="both"/>
      </w:pPr>
      <w:r>
        <w:rPr>
          <w:rFonts w:ascii="Times New Roman" w:cs="Times New Roman" w:eastAsia="Times New Roman" w:hAnsi="Times New Roman"/>
          <w:b w:val="false"/>
          <w:bCs w:val="false"/>
          <w:i w:val="false"/>
          <w:iCs w:val="false"/>
          <w:sz w:val="24"/>
          <w:szCs w:val="24"/>
        </w:rPr>
        <w:t xml:space="preserve">The source-trace-verified cases (TC-04, TC-08–12) carry a materially weaker confidence level than the executed cases and should be read accordingly: a trace confirms that the code's control flow produces the asserted value given the test's fixture data, but it does not exercise the Mockito mocking layer, Spring's dependency injection wiring, or JavaParser's actual AST parser against real source text — any of which could behave differently from the traced expectation at integration time. Running the full ./mvnw test suite in a network-unrestricted environment is the natural first verification step for Project Report Part II.</w:t>
      </w:r>
    </w:p>
    <w:p>
      <w:pPr>
        <w:pStyle w:val="Heading3"/>
        <w:spacing w:after="160" w:before="240"/>
      </w:pPr>
      <w:r>
        <w:rPr>
          <w:rFonts w:ascii="Times New Roman" w:cs="Times New Roman" w:eastAsia="Times New Roman" w:hAnsi="Times New Roman"/>
          <w:b/>
          <w:bCs/>
          <w:sz w:val="28"/>
          <w:szCs w:val="28"/>
        </w:rPr>
        <w:t xml:space="preserve">5.2.2 Operational Performance Under Load</w:t>
      </w:r>
    </w:p>
    <w:p>
      <w:pPr>
        <w:spacing w:after="200" w:line="360"/>
        <w:jc w:val="both"/>
      </w:pPr>
      <w:r>
        <w:rPr>
          <w:rFonts w:ascii="Times New Roman" w:cs="Times New Roman" w:eastAsia="Times New Roman" w:hAnsi="Times New Roman"/>
          <w:b w:val="false"/>
          <w:bCs w:val="false"/>
          <w:i w:val="false"/>
          <w:iCs w:val="false"/>
          <w:sz w:val="24"/>
          <w:szCs w:val="24"/>
        </w:rPr>
        <w:t xml:space="preserve">Interpreted against the measured micro-benchmarks (Section 4.6), the deterministic core of the system is not a plausible latency bottleneck at any specification size likely to be encountered in practice: the SGM aggregation pass processes a synthetic 5,000-endpoint violation set in 7 microseconds, four orders of magnitude below the millisecond range where a human reviewer or CI pipeline would perceive latency at all. This shifts the performance discussion for a deployed instance away from “can the algorithm keep up” and toward the three genuinely untested cost centers named in Section 4.6.4 — JPA write latency, JavaParser's AST-traversal cost against real (not synthetic) source trees, and network/serialization overhead — none of which this report fabricates numbers for, precisely because none of them were measured.</w:t>
      </w:r>
    </w:p>
    <w:p>
      <w:pPr>
        <w:pStyle w:val="Heading2"/>
        <w:spacing w:after="200" w:before="360"/>
      </w:pPr>
      <w:r>
        <w:rPr>
          <w:rFonts w:ascii="Times New Roman" w:cs="Times New Roman" w:eastAsia="Times New Roman" w:hAnsi="Times New Roman"/>
          <w:b/>
          <w:bCs/>
          <w:sz w:val="32"/>
          <w:szCs w:val="32"/>
        </w:rPr>
        <w:t xml:space="preserve">5.3 Discussion of Results &amp; Limitations of the System</w:t>
      </w:r>
    </w:p>
    <w:p>
      <w:pPr>
        <w:pStyle w:val="Heading3"/>
        <w:spacing w:after="160" w:before="240"/>
      </w:pPr>
      <w:r>
        <w:rPr>
          <w:rFonts w:ascii="Times New Roman" w:cs="Times New Roman" w:eastAsia="Times New Roman" w:hAnsi="Times New Roman"/>
          <w:b/>
          <w:bCs/>
          <w:sz w:val="28"/>
          <w:szCs w:val="28"/>
        </w:rPr>
        <w:t xml:space="preserve">5.3.1 Critical Architectural Bottlenecks</w:t>
      </w:r>
    </w:p>
    <w:p>
      <w:pPr>
        <w:pStyle w:val="ListParagraph"/>
        <w:numPr>
          <w:ilvl w:val="0"/>
          <w:numId w:val="1"/>
        </w:numPr>
        <w:spacing w:after="100" w:line="300"/>
      </w:pPr>
      <w:r>
        <w:rPr>
          <w:rFonts w:ascii="Times New Roman" w:cs="Times New Roman" w:eastAsia="Times New Roman" w:hAnsi="Times New Roman"/>
          <w:sz w:val="24"/>
          <w:szCs w:val="24"/>
        </w:rPr>
        <w:t xml:space="preserve">Silent rule/check failure isolation: SGMService's per-rule try/catch (Section 4.5.1) protects the overall comparison from one failing DesignRule, but the catch block does not log the swallowed exception — a rule that silently starts throwing on a particular input shape would degrade coverage without any operational signal, and this was traced directly in the source, not merely inferred.</w:t>
      </w:r>
    </w:p>
    <w:p>
      <w:pPr>
        <w:pStyle w:val="ListParagraph"/>
        <w:numPr>
          <w:ilvl w:val="0"/>
          <w:numId w:val="1"/>
        </w:numPr>
        <w:spacing w:after="100" w:line="300"/>
      </w:pPr>
      <w:r>
        <w:rPr>
          <w:rFonts w:ascii="Times New Roman" w:cs="Times New Roman" w:eastAsia="Times New Roman" w:hAnsi="Times New Roman"/>
          <w:sz w:val="24"/>
          <w:szCs w:val="24"/>
        </w:rPr>
        <w:t xml:space="preserve">Formula fragmentation between Chapters 3 and 4: the SAM (aSec) and SPM (dApi) terms remain unwired into AnalysisService.compare() (Section 4.5.1.1). Until they are integrated, the composite score cannot reflect a security regression (e.g., an authentication requirement silently removed) unless SecurityViolationRule — the one SAM-adjacent check that IS wired, as an SGM rule rather than a SAM check — happens to cover it; genuine SAM/SPM-only findings are currently invisible to sTotal entirely.</w:t>
      </w:r>
    </w:p>
    <w:p>
      <w:pPr>
        <w:pStyle w:val="ListParagraph"/>
        <w:numPr>
          <w:ilvl w:val="0"/>
          <w:numId w:val="1"/>
        </w:numPr>
        <w:spacing w:after="100" w:line="300"/>
      </w:pPr>
      <w:r>
        <w:rPr>
          <w:rFonts w:ascii="Times New Roman" w:cs="Times New Roman" w:eastAsia="Times New Roman" w:hAnsi="Times New Roman"/>
          <w:sz w:val="24"/>
          <w:szCs w:val="24"/>
        </w:rPr>
        <w:t xml:space="preserve">Blast-radius signal saturation: dBlast clamps to 1.0 once blastRadius reaches cia.blast.max-consumers (10, per Table 15). A specification change touching an endpoint used by 10 consumer projects is scored identically to one touching 200 — the metric loses all resolution exactly in the high-impact region where a reviewer would most want it.</w:t>
      </w:r>
    </w:p>
    <w:p>
      <w:pPr>
        <w:pStyle w:val="Heading3"/>
        <w:spacing w:after="160" w:before="240"/>
      </w:pPr>
      <w:r>
        <w:rPr>
          <w:rFonts w:ascii="Times New Roman" w:cs="Times New Roman" w:eastAsia="Times New Roman" w:hAnsi="Times New Roman"/>
          <w:b/>
          <w:bCs/>
          <w:sz w:val="28"/>
          <w:szCs w:val="28"/>
        </w:rPr>
        <w:t xml:space="preserve">5.3.2 Edge Cases</w:t>
      </w:r>
    </w:p>
    <w:p>
      <w:pPr>
        <w:pStyle w:val="ListParagraph"/>
        <w:numPr>
          <w:ilvl w:val="0"/>
          <w:numId w:val="1"/>
        </w:numPr>
        <w:spacing w:after="100" w:line="300"/>
      </w:pPr>
      <w:r>
        <w:rPr>
          <w:rFonts w:ascii="Times New Roman" w:cs="Times New Roman" w:eastAsia="Times New Roman" w:hAnsi="Times New Roman"/>
          <w:sz w:val="24"/>
          <w:szCs w:val="24"/>
        </w:rPr>
        <w:t xml:space="preserve">Manually uploaded specifications never populate the x-controller-class/x-controller-method extensions that only the static-extraction pipeline writes, so every ViolationDTO.controller/method field silently defaults to an unresolved placeholder for uploaded (as opposed to extracted) specifications — degrading gracefully, but without surfacing that degradation to the API consumer.</w:t>
      </w:r>
    </w:p>
    <w:p>
      <w:pPr>
        <w:pStyle w:val="ListParagraph"/>
        <w:numPr>
          <w:ilvl w:val="0"/>
          <w:numId w:val="1"/>
        </w:numPr>
        <w:spacing w:after="100" w:line="300"/>
      </w:pPr>
      <w:r>
        <w:rPr>
          <w:rFonts w:ascii="Times New Roman" w:cs="Times New Roman" w:eastAsia="Times New Roman" w:hAnsi="Times New Roman"/>
          <w:sz w:val="24"/>
          <w:szCs w:val="24"/>
        </w:rPr>
        <w:t xml:space="preserve">An oversized multipart upload (&gt;10 MB) is rejected by the servlet container before SpecController executes, but the resulting failure is caught only by GlobalExceptionHandler's generic Exception branch (Table 13), returning an uninformative 500 rather than a 413/400 that would tell the caller what limit they hit.</w:t>
      </w:r>
    </w:p>
    <w:p>
      <w:pPr>
        <w:pStyle w:val="ListParagraph"/>
        <w:numPr>
          <w:ilvl w:val="0"/>
          <w:numId w:val="1"/>
        </w:numPr>
        <w:spacing w:after="100" w:line="300"/>
      </w:pPr>
      <w:r>
        <w:rPr>
          <w:rFonts w:ascii="Times New Roman" w:cs="Times New Roman" w:eastAsia="Times New Roman" w:hAnsi="Times New Roman"/>
          <w:sz w:val="24"/>
          <w:szCs w:val="24"/>
        </w:rPr>
        <w:t xml:space="preserve">ImpactScoringService's two overloaded calculate() signatures (Section 4.5.1) mean a call site that forgets to pass blastRadius silently scores as if blastRadius=0 rather than failing fast — a future refactor that adds a new caller could under-score a genuinely high-impact change without any compiler or runtime warning.</w:t>
      </w:r>
    </w:p>
    <w:p>
      <w:pPr>
        <w:pStyle w:val="Heading3"/>
        <w:spacing w:after="160" w:before="240"/>
      </w:pPr>
      <w:r>
        <w:rPr>
          <w:rFonts w:ascii="Times New Roman" w:cs="Times New Roman" w:eastAsia="Times New Roman" w:hAnsi="Times New Roman"/>
          <w:b/>
          <w:bCs/>
          <w:sz w:val="28"/>
          <w:szCs w:val="28"/>
        </w:rPr>
        <w:t xml:space="preserve">5.3.3 Current Limitations of the Part I Implementation</w:t>
      </w:r>
    </w:p>
    <w:p>
      <w:pPr>
        <w:pStyle w:val="ListParagraph"/>
        <w:numPr>
          <w:ilvl w:val="0"/>
          <w:numId w:val="1"/>
        </w:numPr>
        <w:spacing w:after="100" w:line="300"/>
      </w:pPr>
      <w:r>
        <w:rPr>
          <w:rFonts w:ascii="Times New Roman" w:cs="Times New Roman" w:eastAsia="Times New Roman" w:hAnsi="Times New Roman"/>
          <w:sz w:val="24"/>
          <w:szCs w:val="24"/>
        </w:rPr>
        <w:t xml:space="preserve">No deployed instance and no end-to-end load test exists; every performance figure in Section 4.6 is a measured micro-benchmark of core logic in isolation, explicitly not a substitute for HTTP-level testing.</w:t>
      </w:r>
    </w:p>
    <w:p>
      <w:pPr>
        <w:pStyle w:val="ListParagraph"/>
        <w:numPr>
          <w:ilvl w:val="0"/>
          <w:numId w:val="1"/>
        </w:numPr>
        <w:spacing w:after="100" w:line="300"/>
      </w:pPr>
      <w:r>
        <w:rPr>
          <w:rFonts w:ascii="Times New Roman" w:cs="Times New Roman" w:eastAsia="Times New Roman" w:hAnsi="Times New Roman"/>
          <w:sz w:val="24"/>
          <w:szCs w:val="24"/>
        </w:rPr>
        <w:t xml:space="preserve">A live plaintext database credential is committed in application.properties (Table 15) in the reviewed codebase — the single highest-priority remediation item ahead of any deployment, addressed by externalizing spring.datasource.password to an environment variable or a Spring Cloud Config / Vault-backed profile.</w:t>
      </w:r>
    </w:p>
    <w:p>
      <w:pPr>
        <w:pStyle w:val="ListParagraph"/>
        <w:numPr>
          <w:ilvl w:val="0"/>
          <w:numId w:val="1"/>
        </w:numPr>
        <w:spacing w:after="100" w:line="300"/>
      </w:pPr>
      <w:r>
        <w:rPr>
          <w:rFonts w:ascii="Times New Roman" w:cs="Times New Roman" w:eastAsia="Times New Roman" w:hAnsi="Times New Roman"/>
          <w:sz w:val="24"/>
          <w:szCs w:val="24"/>
        </w:rPr>
        <w:t xml:space="preserve">endpoint-extraction.source-root is a hardcoded absolute filesystem path, making the static-extraction pipeline non-portable across contributor machines or CI runners without a manual edit per environment.</w:t>
      </w:r>
    </w:p>
    <w:p>
      <w:pPr>
        <w:pStyle w:val="ListParagraph"/>
        <w:numPr>
          <w:ilvl w:val="0"/>
          <w:numId w:val="1"/>
        </w:numPr>
        <w:spacing w:after="100" w:line="300"/>
      </w:pPr>
      <w:r>
        <w:rPr>
          <w:rFonts w:ascii="Times New Roman" w:cs="Times New Roman" w:eastAsia="Times New Roman" w:hAnsi="Times New Roman"/>
          <w:sz w:val="24"/>
          <w:szCs w:val="24"/>
        </w:rPr>
        <w:t xml:space="preserve">Static analysis coverage (both endpoint extraction and dependency scanning) is Java/Spring-MVC-specific; a consumer or provider service written in another language or framework is invisible to the system by construction, not merely by omission — this is a scope boundary stated in Chapter 1 and reaffirmed here as a standing limitation rather than a near-term gap.</w:t>
      </w:r>
    </w:p>
    <w:p>
      <w:pPr>
        <w:pStyle w:val="ListParagraph"/>
        <w:numPr>
          <w:ilvl w:val="0"/>
          <w:numId w:val="1"/>
        </w:numPr>
        <w:spacing w:after="100" w:line="300"/>
      </w:pPr>
      <w:r>
        <w:rPr>
          <w:rFonts w:ascii="Times New Roman" w:cs="Times New Roman" w:eastAsia="Times New Roman" w:hAnsi="Times New Roman"/>
          <w:sz w:val="24"/>
          <w:szCs w:val="24"/>
        </w:rPr>
        <w:t xml:space="preserve">No automated migration tooling (Flyway/Liquibase) backs the schema; spring.jpa.hibernate.ddl-auto=update is adequate for a single-developer Part I environment but is not a safe strategy for a shared or production database, and is identified as required Part II tooling work.</w:t>
      </w:r>
    </w:p>
    <w:sectPr>
      <w:headerReference w:type="default" r:id="rId15"/>
      <w:footerReference w:type="default" r:id="rId1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API-CIA — Project Report (Part 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API-CIA — Project Report (Part 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API-CIA — Project Report (Part 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API-CIA — Project Report (Part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API-CIA Project Report Part I</dc:title>
  <dc:creator>API-CIA Project Team</dc:creator>
  <cp:lastModifiedBy>Un-named</cp:lastModifiedBy>
  <cp:revision>1</cp:revision>
  <dcterms:created xsi:type="dcterms:W3CDTF">2026-09-16T09:06:20.495Z</dcterms:created>
  <dcterms:modified xsi:type="dcterms:W3CDTF">2026-09-16T09:06:20.495Z</dcterms:modified>
</cp:coreProperties>
</file>

<file path=docProps/custom.xml><?xml version="1.0" encoding="utf-8"?>
<Properties xmlns="http://schemas.openxmlformats.org/officeDocument/2006/custom-properties" xmlns:vt="http://schemas.openxmlformats.org/officeDocument/2006/docPropsVTypes"/>
</file>