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2.0.0.4 livré le 01/04/2026</w:t>
      </w:r>
    </w:p>
    <w:p>
      <w:pPr>
        <w:spacing w:after="2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 (comportement normal, décision technique)</w:t>
      </w:r>
    </w:p>
    <w:p>
      <w:pPr>
        <w:spacing w:before="2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2026-04-01T12:44:18.367Z</dcterms:created>
  <dcterms:modified xsi:type="dcterms:W3CDTF">2026-04-01T12:44:18.367Z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