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>
  <w:body>
    <w:p>
      <w:pPr>
        <w:pStyle w:val="Title"/>
      </w:pPr>
      <w:r>
        <w:t xml:space="preserve">Passos restantes para concluir e submeter o artigo</w:t>
      </w:r>
    </w:p>
    <w:p>
      <w:pPr>
        <w:pStyle w:val="Subtitle"/>
      </w:pPr>
      <w:r>
        <w:t xml:space="preserve">Situação em 27 de setembro de 2026 — acompanha ARTIGO_UAVIDS2025_REVISADO.docx</w:t>
      </w:r>
    </w:p>
    <w:p>
      <w:pPr>
        <w:pStyle w:val="Heading1"/>
      </w:pPr>
      <w:r>
        <w:t xml:space="preserve">O que já está concluído</w:t>
      </w:r>
    </w:p>
    <w:p>
      <w:pPr>
        <w:pStyle w:val="Normal"/>
      </w:pPr>
      <w:r>
        <w:t xml:space="preserve">O dataset canônico foi identificado por hash e sua licença CC BY 4.0 foi conferida. Foram executados o painel principal v4 (150 ajustes), a estabilidade v5 (150 ajustes) e a sensibilidade v6 (10 ajustes). As análises possuem manifestos e predições rastreáveis. A reprodução em uma cópia limpa completou os 310 ajustes e verificou 13 tabelas com tolerância absoluta de 10⁻¹². Pacotes locais de reprodução e seus checksums estão preparados. O artigo foi reescrito com os resultados atuais, limitações explícitas e referências próximas ao problema.</w:t>
      </w:r>
    </w:p>
    <w:p>
      <w:pPr>
        <w:pStyle w:val="Normal"/>
      </w:pPr>
      <w:r>
        <w:t xml:space="preserve">O arquivo original ARTIGO_UAVIDS2025.docx permanece preservado. A nova versão é um manuscrito para revisão dos autores; não está submetida e não declara um depósito público que ainda não ocorreu.</w:t>
      </w:r>
    </w:p>
    <w:p>
      <w:pPr>
        <w:pStyle w:val="Heading1"/>
      </w:pPr>
      <w:r>
        <w:t xml:space="preserve">1. Revisar a contribuição e a análise estatística</w:t>
      </w:r>
    </w:p>
    <w:p>
      <w:pPr>
        <w:pStyle w:val="Normal"/>
      </w:pPr>
      <w:r>
        <w:t xml:space="preserve">Responsável: autores e orientador; quando possível, leitor com experiência em avaliação de aprendizado de máquina.</w:t>
      </w:r>
    </w:p>
    <w:p>
      <w:pPr>
        <w:pStyle w:val="Normal"/>
      </w:pPr>
      <w:r>
        <w:t xml:space="preserve">Conferir se a comparação S0/S1/S2 e a ablação negativa acrescentam informação suficiente aos trabalhos de Zarkadis e Douligeris e de Demir e Gumus. A afirmação central deve continuar restrita ao benchmark e à tarefa fechada de cinco classes. Não apresentar origem disjunta, RF/XGBoost ou confusão Blackhole/Wormhole como novidades isoladas.</w:t>
      </w:r>
    </w:p>
    <w:p>
      <w:pPr>
        <w:pStyle w:val="Normal"/>
      </w:pPr>
      <w:r>
        <w:t xml:space="preserve">Revisar a adequação do bootstrap de grupos, particularmente a dependência entre assinaturas em S1 e a interpretação dos intervalos condicionais às predições fixas. Todos os contrastes são exploratórios. Se a revisão exigir mudança de unidade, estimador ou intervalo, versionar a análise e regenerar tabelas e texto. Não reinterpretar os intervalos atuais como prova de equivalência.</w:t>
      </w:r>
    </w:p>
    <w:p>
      <w:pPr>
        <w:pStyle w:val="Normal"/>
      </w:pPr>
      <w:r>
        <w:t xml:space="preserve">Critério de conclusão: um revisor humano consegue explicar o que cada protocolo estima, o que os intervalos cobrem e qual contribuição permanece diante da literatura. As decisões ficam registradas em protocol/statistical_review.md e protocol/literature_matrix.csv.</w:t>
      </w:r>
    </w:p>
    <w:p>
      <w:pPr>
        <w:pStyle w:val="Heading1"/>
      </w:pPr>
      <w:r>
        <w:t xml:space="preserve">2. Decidir se a explicação de A3 exige um experimento adicional</w:t>
      </w:r>
    </w:p>
    <w:p>
      <w:pPr>
        <w:pStyle w:val="Normal"/>
      </w:pPr>
      <w:r>
        <w:t xml:space="preserve">Responsável: autores; implementação e execução podem ser automatizadas após a definição do protocolo.</w:t>
      </w:r>
    </w:p>
    <w:p>
      <w:pPr>
        <w:pStyle w:val="Normal"/>
      </w:pPr>
      <w:r>
        <w:t xml:space="preserve">A razão de vazão por salto fica ausente em 31,5% dos registros. O manuscrito atual reconhece que não separa o efeito do valor da razão do efeito da cobertura e imputação. Se a discussão pretender explicar o mecanismo, acrescentar uma ablação específica: A0 com apenas o indicador AverageHopCount≤0; A0 com a razão imputada; e A0 com razão e indicador. Usar os mesmos folds, dois modelos, parâmetros fixos e três sementes em S2. A comparação é exploratória porque os dados já foram vistos.</w:t>
      </w:r>
    </w:p>
    <w:p>
      <w:pPr>
        <w:pStyle w:val="Normal"/>
      </w:pPr>
      <w:r>
        <w:t xml:space="preserve">Registrar o tratamento de ausentes, as condições e o orçamento antes de executar; usar o mesmo indicador em treino e teste sem ajustar limiares pelo resultado. A conclusão pode continuar negativa. Esse experimento não é necessário para manter o relato limitado atual, mas é necessário para afirmar que o pequeno efeito de A3 vem da razão, da ausência ou de um mecanismo físico específico.</w:t>
      </w:r>
    </w:p>
    <w:p>
      <w:pPr>
        <w:pStyle w:val="Normal"/>
      </w:pPr>
      <w:r>
        <w:t xml:space="preserve">Critério de conclusão: executar todas as condições previstas e relatar seus resultados, ou manter expressamente a limitação sem explicação causal.</w:t>
      </w:r>
    </w:p>
    <w:p>
      <w:pPr>
        <w:pStyle w:val="Heading1"/>
      </w:pPr>
      <w:r>
        <w:t xml:space="preserve">3. Escolher a revista e conferir suas regras atuais</w:t>
      </w:r>
    </w:p>
    <w:p>
      <w:pPr>
        <w:pStyle w:val="Normal"/>
      </w:pPr>
      <w:r>
        <w:t xml:space="preserve">Responsável: autores e programa de pós-graduação.</w:t>
      </w:r>
    </w:p>
    <w:p>
      <w:pPr>
        <w:pStyle w:val="Normal"/>
      </w:pPr>
      <w:r>
        <w:t xml:space="preserve">Selecionar uma revista cujo escopo aceite avaliação empírica e estudos reprodutíveis de segurança ou aprendizado de máquina. Conferir artigos recentes semelhantes, idioma, modelo de publicação, custos, extensão e exigência de disponibilidade de dados e código. Um periódico de exigência compatível pode ser mais adequado do que insistir em uma contribuição de arquitetura que não existe.</w:t>
      </w:r>
    </w:p>
    <w:p>
      <w:pPr>
        <w:pStyle w:val="Normal"/>
      </w:pPr>
      <w:r>
        <w:t xml:space="preserve">Não é possível garantir aceitação por um estrato. A CAPES informou que o Qualis 2021–2024 é retrospectivo e que o Qualis Periódicos não será utilizado no ciclo 2025–2028. Para a área de Ciência da Computação, qualquer referência a A2 ou B2 precisa indicar o ciclo histórico consultado e ser alinhada às regras do programa. Ainda não foi selecionada uma revista B2 específica. Fonte oficial: https://www.gov.br/capes/pt-br/assuntos/noticias/sobre-o-qualis-periodicos-na-avaliacao-quadrienal-2021-2024.</w:t>
      </w:r>
    </w:p>
    <w:p>
      <w:pPr>
        <w:pStyle w:val="Normal"/>
      </w:pPr>
      <w:r>
        <w:t xml:space="preserve">Critério de conclusão: registrar nome, ISSN, escopo, idioma, regras, custos e justificativa de adequação em protocol/journal_screen.md. A classificação histórica sozinha não resolve a escolha.</w:t>
      </w:r>
    </w:p>
    <w:p>
      <w:pPr>
        <w:pStyle w:val="Heading1"/>
      </w:pPr>
      <w:r>
        <w:t xml:space="preserve">4. Fechar autoria e revisar o texto integralmente</w:t>
      </w:r>
    </w:p>
    <w:p>
      <w:pPr>
        <w:pStyle w:val="Normal"/>
      </w:pPr>
      <w:r>
        <w:t xml:space="preserve">Responsável: todos os autores.</w:t>
      </w:r>
    </w:p>
    <w:p>
      <w:pPr>
        <w:pStyle w:val="Normal"/>
      </w:pPr>
      <w:r>
        <w:t xml:space="preserve">Inserir nomes, afiliações, ORCID e autor correspondente antes da submissão. Definir contribuições, financiamento, conflitos e agradecimentos a partir de informações reais. Aprovar a declaração de assistência por IA segundo a política da revista. As informações editoriais pendentes foram mantidas neste plano para evitar declarações inventadas no artigo.</w:t>
      </w:r>
    </w:p>
    <w:p>
      <w:pPr>
        <w:pStyle w:val="Normal"/>
      </w:pPr>
      <w:r>
        <w:t xml:space="preserve">Conferir títulos, autores, DOI e versões das referências; atualizar a literatura imediatamente antes da submissão. Adicionar fundamentos metodológicos quando exigidos pela revista, sem inflar a bibliografia. Verificar cada número contra sua tabela de origem e distinguir pontos percentuais de valores absolutos de F1.</w:t>
      </w:r>
    </w:p>
    <w:p>
      <w:pPr>
        <w:pStyle w:val="Normal"/>
      </w:pPr>
      <w:r>
        <w:t xml:space="preserve">Adaptar o manuscrito ao template e ao idioma da revista. O resumo em inglês já está presente; a tradução integral deve preservar o alcance das conclusões. Abrir o Word e revisar paginação, cabeçalhos, tabelas e referências após aplicar o template.</w:t>
      </w:r>
    </w:p>
    <w:p>
      <w:pPr>
        <w:pStyle w:val="Normal"/>
      </w:pPr>
      <w:r>
        <w:t xml:space="preserve">Critério de conclusão: nenhum campo de autoria ou declaração pendente, aprovação de todos os autores e texto compatível com as regras do periódico.</w:t>
      </w:r>
    </w:p>
    <w:p>
      <w:pPr>
        <w:pStyle w:val="Heading1"/>
      </w:pPr>
      <w:r>
        <w:t xml:space="preserve">5. Preparar o depósito público de reprodução</w:t>
      </w:r>
    </w:p>
    <w:p>
      <w:pPr>
        <w:pStyle w:val="Normal"/>
      </w:pPr>
      <w:r>
        <w:t xml:space="preserve">Responsável: autores; depósito externo depende da escolha de licença e da aprovação do conteúdo a publicar.</w:t>
      </w:r>
    </w:p>
    <w:p>
      <w:pPr>
        <w:pStyle w:val="Normal"/>
      </w:pPr>
      <w:r>
        <w:t xml:space="preserve">Definir a licença do código próprio e conferir materiais de terceiros. Não aplicar automaticamente CC BY 4.0 ao código: essa é a licença confirmada para o dataset. Revisar arquivos para evitar incluir dados pessoais, credenciais ou materiais sem autorização. O CSV pode ser obtido da fonte original; os pacotes locais não o redistribuem.</w:t>
      </w:r>
    </w:p>
    <w:p>
      <w:pPr>
        <w:pStyle w:val="Normal"/>
      </w:pPr>
      <w:r>
        <w:t xml:space="preserve">Publicar uma versão estável do código, configurações, ambiente, splits, predições e relatórios necessários à reprodução em um arquivo persistente, por exemplo Zenodo, após a revisão dos autores. Conferir os manifestos e os checksums dos pacotes antes do depósito. Obter DOI ou URL persistente e substituir o campo de disponibilidade no manuscrito. Não confundir os arquivos ZIP locais com um depósito público concluído.</w:t>
      </w:r>
    </w:p>
    <w:p>
      <w:pPr>
        <w:pStyle w:val="Normal"/>
      </w:pPr>
      <w:r>
        <w:t xml:space="preserve">Critério de conclusão: um leitor externo consegue obter os dados canônicos e executar ou verificar a análise seguindo RESEARCH_WORKFLOW.md, e o artigo aponta para a versão exata utilizada.</w:t>
      </w:r>
    </w:p>
    <w:p>
      <w:pPr>
        <w:pStyle w:val="Heading1"/>
      </w:pPr>
      <w:r>
        <w:t xml:space="preserve">6. Fazer a conferência final e preparar a submissão</w:t>
      </w:r>
    </w:p>
    <w:p>
      <w:pPr>
        <w:pStyle w:val="Normal"/>
      </w:pPr>
      <w:r>
        <w:t xml:space="preserve">Responsável: autor correspondente, com aprovação dos coautores.</w:t>
      </w:r>
    </w:p>
    <w:p>
      <w:pPr>
        <w:pStyle w:val="Normal"/>
      </w:pPr>
      <w:r>
        <w:t xml:space="preserve">Verificar coerência entre resumo, métodos, tabelas e conclusão; confirmar que não há promessa de zero-day, detecção online, energia ou hardware que os experimentos não mediram. Preparar a carta de apresentação com a pergunta, a contribuição limitada e a adequação ao escopo. Separar figuras e arquivos suplementares conforme as instruções do periódico e anonimizar a versão de avaliação, quando exigido.</w:t>
      </w:r>
    </w:p>
    <w:p>
      <w:pPr>
        <w:pStyle w:val="Normal"/>
      </w:pPr>
      <w:r>
        <w:t xml:space="preserve">Critério de conclusão: manuscrito, suplemento, declarações, arquivo de reprodução e carta estão completos e aprovados. A submissão é uma ação posterior dos autores, não realizada nesta tarefa.</w:t>
      </w:r>
    </w:p>
    <w:p>
      <w:pPr>
        <w:pStyle w:val="Heading1"/>
      </w:pPr>
      <w:r>
        <w:t xml:space="preserve">Evolução científica além da versão atual</w:t>
      </w:r>
    </w:p>
    <w:p>
      <w:pPr>
        <w:pStyle w:val="Normal"/>
      </w:pPr>
      <w:r>
        <w:t xml:space="preserve">Para sustentar transferência a outras redes, obter dados com execuções, cenários e instante de coleta identificáveis; reservar um conjunto externo antes de examinar seus resultados. Se houver outro dataset, verificar compatibilidade de unidades, atributos, janelas e rótulos antes de construir uma tarefa de transferência. Diferentes sementes do CSV atual não resolvem essa lacuna.</w:t>
      </w:r>
    </w:p>
    <w:p>
      <w:pPr>
        <w:pStyle w:val="Normal"/>
      </w:pPr>
      <w:r>
        <w:t xml:space="preserve">Para sustentar detecção online ou embarcada, definir a janela de decisão e os atributos disponíveis nesse instante; implementar o coletor e medir atraso, custo de inferência, memória e energia no hardware pretendido. Essas atividades formam uma extensão experimental. Não são resultados presentes nem devem ser prometidas no artigo atual.</w:t>
      </w:r>
    </w:p>
    <w:p>
      <w:pPr>
        <w:pStyle w:val="Heading1"/>
      </w:pPr>
      <w:r>
        <w:t xml:space="preserve">Ordem recomendada</w:t>
      </w:r>
    </w:p>
    <w:p>
      <w:pPr>
        <w:pStyle w:val="Normal"/>
      </w:pPr>
      <w:r>
        <w:t xml:space="preserve">Primeiro, concluir a revisão científica e estatística. Em seguida, decidir sobre a ablação de A3 e escolher a revista. Depois, fechar texto, autoria e licença, realizar o depósito de reprodução e adaptar o template. Por fim, conferir o pacote e submeter. Não é necessário repetir os 310 ajustes sem uma mudança de protocolo ou uma falha que justifique isso.</w:t>
      </w:r>
    </w:p>
    <w:sectPr>
      <w:footerReference w:type="default" r:id="rIdFooter"/>
      <w:pgSz w:w="12240" w:h="15840"/>
      <w:pgMar w:top="1440" w:right="1440" w:bottom="1440" w:left="1440" w:header="708" w:footer="708"/>
      <w:cols w:space="720"/>
    </w:sectPr>
  </w:body>
</w:document>
</file>

<file path=word/footer1.xml><?xml version="1.0" encoding="utf-8"?>
<w:ftr xmlns:w="http://schemas.openxmlformats.org/wordprocessingml/2006/main">
  <w:p>
    <w:pPr>
      <w:pStyle w:val="Footer"/>
      <w:jc w:val="right"/>
    </w:pPr>
    <w:r>
      <w:t>Página </w:t>
    </w:r>
    <w:fldSimple w:instr="PAGE">
      <w:r>
        <w:t>1</w:t>
      </w:r>
    </w:fldSimple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color w:val="000000"/>
        <w:lang w:val="pt-BR"/>
      </w:rPr>
    </w:rPrDefault>
    <w:pPrDefault>
      <w:pPr>
        <w:spacing w:before="0" w:after="120" w:line="300" w:lineRule="auto"/>
        <w:widowControl/>
      </w:pPr>
    </w:pPrDefault>
  </w:docDefaults>
  <w:style w:type="paragraph" w:default="1" w:styleId="Normal">
    <w:name w:val="Normal"/>
    <w:pPr>
      <w:jc w:val="left"/>
    </w:pPr>
  </w:style>
  <w:style w:type="paragraph" w:styleId="Title">
    <w:name w:val="Title"/>
    <w:basedOn w:val="Normal"/>
    <w:next w:val="Normal"/>
    <w:pPr>
      <w:jc w:val="left"/>
      <w:keepNext/>
      <w:spacing w:before="0" w:after="140" w:line="240" w:lineRule="auto"/>
    </w:pPr>
    <w:rPr>
      <w:sz w:val="32"/>
      <w:color w:val="000000"/>
      <w:b/>
    </w:rPr>
  </w:style>
  <w:style w:type="paragraph" w:styleId="Subtitle">
    <w:name w:val="Subtitle"/>
    <w:basedOn w:val="Normal"/>
    <w:next w:val="Normal"/>
    <w:pPr>
      <w:jc w:val="left"/>
      <w:spacing w:before="0" w:after="140" w:line="240" w:lineRule="auto"/>
    </w:pPr>
    <w:rPr>
      <w:sz w:val="20"/>
      <w:color w:val="555555"/>
    </w:rPr>
  </w:style>
  <w:style w:type="paragraph" w:styleId="Heading1">
    <w:name w:val="heading 1"/>
    <w:basedOn w:val="Normal"/>
    <w:next w:val="Normal"/>
    <w:pPr>
      <w:jc w:val="left"/>
      <w:keepNext/>
      <w:outlineLvl w:val="0"/>
      <w:spacing w:before="360" w:after="200" w:line="240" w:lineRule="auto"/>
    </w:pPr>
    <w:rPr>
      <w:sz w:val="32"/>
      <w:color w:val="2E74B5"/>
      <w:b/>
    </w:rPr>
  </w:style>
  <w:style w:type="paragraph" w:styleId="Heading2">
    <w:name w:val="heading 2"/>
    <w:basedOn w:val="Normal"/>
    <w:next w:val="Normal"/>
    <w:pPr>
      <w:jc w:val="left"/>
      <w:keepNext/>
      <w:outlineLvl w:val="1"/>
      <w:spacing w:before="280" w:after="140" w:line="240" w:lineRule="auto"/>
    </w:pPr>
    <w:rPr>
      <w:sz w:val="26"/>
      <w:color w:val="2E74B5"/>
      <w:b/>
    </w:rPr>
  </w:style>
  <w:style w:type="paragraph" w:styleId="Heading3">
    <w:name w:val="heading 3"/>
    <w:basedOn w:val="Normal"/>
    <w:next w:val="Normal"/>
    <w:pPr>
      <w:jc w:val="left"/>
      <w:keepNext/>
      <w:outlineLvl w:val="2"/>
      <w:spacing w:before="200" w:after="100" w:line="240" w:lineRule="auto"/>
    </w:pPr>
    <w:rPr>
      <w:sz w:val="24"/>
      <w:color w:val="2E74B5"/>
      <w:b/>
    </w:rPr>
  </w:style>
  <w:style w:type="paragraph" w:styleId="Caption">
    <w:name w:val="Caption"/>
    <w:basedOn w:val="Normal"/>
    <w:next w:val="Normal"/>
    <w:pPr>
      <w:jc w:val="left"/>
      <w:keepNext/>
      <w:spacing w:before="80" w:after="80" w:line="240" w:lineRule="auto"/>
    </w:pPr>
    <w:rPr>
      <w:sz w:val="20"/>
      <w:color w:val="000000"/>
    </w:rPr>
  </w:style>
  <w:style w:type="paragraph" w:styleId="TableText">
    <w:name w:val="Table Text"/>
    <w:basedOn w:val="Normal"/>
    <w:next w:val="Normal"/>
    <w:pPr>
      <w:jc w:val="left"/>
      <w:spacing w:before="0" w:after="0" w:line="240" w:lineRule="auto"/>
    </w:pPr>
    <w:rPr>
      <w:sz w:val="20"/>
      <w:color w:val="000000"/>
    </w:rPr>
  </w:style>
  <w:style w:type="paragraph" w:styleId="Reference">
    <w:name w:val="Reference"/>
    <w:basedOn w:val="Normal"/>
    <w:next w:val="Normal"/>
    <w:pPr>
      <w:jc w:val="left"/>
      <w:spacing w:before="0" w:after="40" w:line="240" w:lineRule="auto"/>
    </w:pPr>
    <w:rPr>
      <w:sz w:val="20"/>
      <w:color w:val="000000"/>
    </w:rPr>
  </w:style>
  <w:style w:type="paragraph" w:styleId="Footer">
    <w:name w:val="Footer"/>
    <w:basedOn w:val="Normal"/>
    <w:next w:val="Normal"/>
    <w:pPr>
      <w:jc w:val="left"/>
      <w:spacing w:before="0" w:after="0" w:line="240" w:lineRule="auto"/>
    </w:pPr>
    <w:rPr>
      <w:sz w:val="18"/>
      <w:color w:val="555555"/>
    </w:rPr>
  </w:style>
  <w:style w:type="paragraph" w:styleId="Equation">
    <w:name w:val="Equation"/>
    <w:basedOn w:val="Normal"/>
    <w:next w:val="Normal"/>
    <w:pPr>
      <w:jc w:val="center"/>
      <w:keepLines/>
      <w:spacing w:before="80" w:after="80" w:line="280" w:lineRule="auto"/>
    </w:pPr>
    <w:rPr>
      <w:rFonts w:ascii="Cambria Math" w:hAnsi="Cambria Math"/>
      <w:sz w:val="22"/>
    </w:rPr>
  </w:style>
  <w:style w:type="paragraph" w:styleId="EquationLead">
    <w:name w:val="Equation Lead"/>
    <w:basedOn w:val="Normal"/>
    <w:next w:val="Equation"/>
    <w:pPr>
      <w:keepNext/>
    </w:pPr>
  </w:style>
  <w:style w:type="paragraph" w:styleId="CaptionSource">
    <w:name w:val="Caption Source"/>
    <w:basedOn w:val="Caption"/>
    <w:pPr>
      <w:keepNext w:val="0"/>
    </w:pPr>
  </w:style>
  <w:style w:type="paragraph" w:styleId="FigureCaptionBreak">
    <w:name w:val="Figure Caption"/>
    <w:basedOn w:val="Caption"/>
    <w:pPr>
      <w:keepNext/>
    </w:pPr>
  </w:style>
</w:styles>
</file>

<file path=word/_rels/document.xml.rels><Relationships xmlns="http://schemas.openxmlformats.org/package/2006/relationships"><Relationship Id="rIdStyles" Type="http://schemas.openxmlformats.org/officeDocument/2006/relationships/styles" Target="styles.xml"/><Relationship Id="rIdFooter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>
  <dc:title>Passos restantes para concluir e submeter o artigo</dc:title>
  <dc:language>pt-BR</dc:language>
  <dc:description>Manuscrito científico em revisão sobre avaliação experimental no conjunto UAVIDS-2025.</dc:description>
</cp:coreProperties>
</file>