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BE46" w14:textId="77777777" w:rsidR="00AE1E1F" w:rsidRPr="00A1146C" w:rsidRDefault="00AE1E1F" w:rsidP="004D71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Нов Български Университет</w:t>
      </w:r>
    </w:p>
    <w:p w14:paraId="0AB37087" w14:textId="09A92267" w:rsidR="00AE1E1F" w:rsidRPr="00A1146C" w:rsidRDefault="00AE1E1F" w:rsidP="004D71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Департамент </w:t>
      </w:r>
      <w:r w:rsidR="00EE63D8" w:rsidRPr="00A1146C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Когнитивна наука и Психология</w:t>
      </w:r>
      <w:r w:rsidR="00EE63D8" w:rsidRPr="00A1146C">
        <w:rPr>
          <w:rFonts w:ascii="Times New Roman" w:hAnsi="Times New Roman" w:cs="Times New Roman"/>
          <w:sz w:val="24"/>
          <w:szCs w:val="24"/>
          <w:lang w:val="bg-BG"/>
        </w:rPr>
        <w:t>”</w:t>
      </w:r>
    </w:p>
    <w:p w14:paraId="389971E1" w14:textId="22AC866B" w:rsidR="00EE63D8" w:rsidRPr="00A1146C" w:rsidRDefault="00EE63D8" w:rsidP="004D71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Бакалавърска програма по Психология</w:t>
      </w:r>
    </w:p>
    <w:p w14:paraId="4FAD7D3A" w14:textId="77777777" w:rsidR="00EE63D8" w:rsidRPr="00A1146C" w:rsidRDefault="00EE63D8" w:rsidP="004D71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4DAA096A" w14:textId="77777777" w:rsidR="00EE63D8" w:rsidRPr="00A1146C" w:rsidRDefault="00EE63D8" w:rsidP="004D71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0F37FE34" w14:textId="0E0E8593" w:rsidR="00EE63D8" w:rsidRPr="00417FD5" w:rsidRDefault="001B6791" w:rsidP="004D71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17FD5">
        <w:rPr>
          <w:rFonts w:ascii="Times New Roman" w:hAnsi="Times New Roman" w:cs="Times New Roman"/>
          <w:b/>
          <w:sz w:val="28"/>
          <w:szCs w:val="28"/>
          <w:lang w:val="bg-BG"/>
        </w:rPr>
        <w:t>Дипломна работа</w:t>
      </w:r>
    </w:p>
    <w:p w14:paraId="2DC385AA" w14:textId="4E4E3352" w:rsidR="0012561A" w:rsidRPr="00417FD5" w:rsidRDefault="00417FD5" w:rsidP="004D71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н</w:t>
      </w:r>
      <w:r w:rsidR="00EE63D8" w:rsidRPr="00417FD5">
        <w:rPr>
          <w:rFonts w:ascii="Times New Roman" w:hAnsi="Times New Roman" w:cs="Times New Roman"/>
          <w:b/>
          <w:sz w:val="28"/>
          <w:szCs w:val="28"/>
          <w:lang w:val="bg-BG"/>
        </w:rPr>
        <w:t>а тема:</w:t>
      </w:r>
    </w:p>
    <w:p w14:paraId="40EB95C3" w14:textId="77777777" w:rsidR="0012561A" w:rsidRPr="00A1146C" w:rsidRDefault="0012561A" w:rsidP="004D71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480ED7A7" w14:textId="6BFE17BB" w:rsidR="0012561A" w:rsidRPr="00A1146C" w:rsidRDefault="0012561A" w:rsidP="004D71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7C73F270" w14:textId="1D5B1E13" w:rsidR="00D724E1" w:rsidRPr="00417FD5" w:rsidRDefault="00625700" w:rsidP="004D715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ЛИ</w:t>
      </w:r>
      <w:r w:rsidR="00D2366D" w:rsidRPr="00D2366D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Ч</w:t>
      </w:r>
      <w:r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НОСТОВИТЕ</w:t>
      </w:r>
      <w:r w:rsidR="005F41EB"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  <w:r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ЧЕРТИ</w:t>
      </w:r>
      <w:r w:rsidR="005F41EB"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  <w:r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И</w:t>
      </w:r>
      <w:r w:rsidR="005F41EB"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  <w:r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УДОВЛЕТВОРЕНОСТТА</w:t>
      </w:r>
      <w:r w:rsidR="005F41EB"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  <w:r w:rsidRPr="00417FD5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ОТ ТРУДА КАТО ПРЕДИКТОРИ НА БЪРНАУТ</w:t>
      </w:r>
    </w:p>
    <w:p w14:paraId="0728AB8D" w14:textId="77777777" w:rsidR="00D724E1" w:rsidRPr="00A1146C" w:rsidRDefault="00D724E1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E49F340" w14:textId="77777777" w:rsidR="00D724E1" w:rsidRPr="00A1146C" w:rsidRDefault="00D724E1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7831E3B" w14:textId="0E4EA5F6" w:rsidR="008879CD" w:rsidRPr="00A1146C" w:rsidRDefault="008879CD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000C279" w14:textId="77777777" w:rsidR="008879CD" w:rsidRPr="00A1146C" w:rsidRDefault="008879CD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A7E5BEE" w14:textId="77777777" w:rsidR="008879CD" w:rsidRPr="00A1146C" w:rsidRDefault="008879CD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605AC7A" w14:textId="5BD6ED85" w:rsidR="006D7F22" w:rsidRPr="00A1146C" w:rsidRDefault="00D724E1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Методи Симеонов</w:t>
      </w:r>
      <w:r w:rsidR="008D427B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F84085</w:t>
      </w:r>
    </w:p>
    <w:p w14:paraId="49E51A82" w14:textId="25F2DFFD" w:rsidR="00AE1E1F" w:rsidRPr="00A1146C" w:rsidRDefault="00AE1E1F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Научен ръководител</w:t>
      </w:r>
      <w:r w:rsidR="00EE63D8" w:rsidRPr="00A1146C">
        <w:rPr>
          <w:rFonts w:ascii="Times New Roman" w:hAnsi="Times New Roman" w:cs="Times New Roman"/>
          <w:sz w:val="24"/>
          <w:szCs w:val="24"/>
          <w:lang w:val="bg-BG"/>
        </w:rPr>
        <w:t>: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E13FB" w:rsidRPr="00A1146C">
        <w:rPr>
          <w:rFonts w:ascii="Times New Roman" w:hAnsi="Times New Roman" w:cs="Times New Roman"/>
          <w:sz w:val="24"/>
          <w:szCs w:val="24"/>
          <w:lang w:val="bg-BG"/>
        </w:rPr>
        <w:t>Гл. ас. д-р Соня Драгова</w:t>
      </w:r>
    </w:p>
    <w:p w14:paraId="3AF99B48" w14:textId="77777777" w:rsidR="00EA2B47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Подпис</w:t>
      </w:r>
      <w:r w:rsidR="00E7175D" w:rsidRPr="00A1146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3E0BE855" w14:textId="77ECFD63" w:rsidR="00EE63D8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Гр.</w:t>
      </w:r>
      <w:r w:rsidR="00E7175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София</w:t>
      </w:r>
      <w:r w:rsidR="00A579C3" w:rsidRPr="00EF0F88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F0F88" w:rsidRPr="00EF0F88">
        <w:rPr>
          <w:rFonts w:ascii="Times New Roman" w:hAnsi="Times New Roman" w:cs="Times New Roman"/>
          <w:sz w:val="24"/>
          <w:szCs w:val="24"/>
          <w:lang w:val="bg-BG"/>
        </w:rPr>
        <w:t>07</w:t>
      </w:r>
      <w:r w:rsidR="00A579C3" w:rsidRPr="00EF0F8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4563C3" w:rsidRPr="00EF0F88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EF0F88" w:rsidRPr="00EF0F88">
        <w:rPr>
          <w:rFonts w:ascii="Times New Roman" w:hAnsi="Times New Roman" w:cs="Times New Roman"/>
          <w:sz w:val="24"/>
          <w:szCs w:val="24"/>
          <w:lang w:val="bg-BG"/>
        </w:rPr>
        <w:t>5</w:t>
      </w:r>
      <w:r w:rsidR="00A579C3" w:rsidRPr="00EF0F8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EF0F88">
        <w:rPr>
          <w:rFonts w:ascii="Times New Roman" w:hAnsi="Times New Roman" w:cs="Times New Roman"/>
          <w:sz w:val="24"/>
          <w:szCs w:val="24"/>
          <w:lang w:val="bg-BG"/>
        </w:rPr>
        <w:t>20</w:t>
      </w:r>
      <w:r w:rsidR="006C7B0F" w:rsidRPr="00EF0F88">
        <w:rPr>
          <w:rFonts w:ascii="Times New Roman" w:hAnsi="Times New Roman" w:cs="Times New Roman"/>
          <w:sz w:val="24"/>
          <w:szCs w:val="24"/>
          <w:lang w:val="bg-BG"/>
        </w:rPr>
        <w:t>21</w:t>
      </w:r>
    </w:p>
    <w:p w14:paraId="7854ADFA" w14:textId="77777777" w:rsidR="00EA2B47" w:rsidRPr="00A1146C" w:rsidRDefault="00EA2B47" w:rsidP="004D715F">
      <w:pPr>
        <w:tabs>
          <w:tab w:val="center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56F005E" w14:textId="2BF559E2" w:rsidR="002D10D6" w:rsidRPr="00A1146C" w:rsidRDefault="00A80D24" w:rsidP="00EA2B47">
      <w:pPr>
        <w:tabs>
          <w:tab w:val="center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7E86078B" w14:textId="77777777" w:rsidR="00EA2B47" w:rsidRPr="00A1146C" w:rsidRDefault="00EA2B47" w:rsidP="00EA2B47">
      <w:pPr>
        <w:tabs>
          <w:tab w:val="center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6D8918F" w14:textId="4289A616" w:rsidR="00EE63D8" w:rsidRPr="00A1146C" w:rsidRDefault="00EE63D8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Декларирам, че аз съм автор на представената работа и тя отговаря на правилата за използване и цитиране на ли</w:t>
      </w:r>
      <w:r w:rsidR="002D10D6" w:rsidRPr="00A1146C">
        <w:rPr>
          <w:rFonts w:ascii="Times New Roman" w:hAnsi="Times New Roman" w:cs="Times New Roman"/>
          <w:sz w:val="24"/>
          <w:szCs w:val="24"/>
          <w:lang w:val="bg-BG"/>
        </w:rPr>
        <w:t>тературни източници. Запознат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съм с правилата. Ясно ми е, че нарушаването на тези правила води до получаване на оценка слаб (2) и административни наказания.</w:t>
      </w:r>
    </w:p>
    <w:p w14:paraId="74951DC6" w14:textId="77777777" w:rsidR="00EE63D8" w:rsidRPr="00A1146C" w:rsidRDefault="00EE63D8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53F4C30" w14:textId="4ECE55BA" w:rsidR="00EE63D8" w:rsidRPr="00A1146C" w:rsidRDefault="00EE63D8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Методи Симеонов</w:t>
      </w:r>
      <w:r w:rsidR="002D10D6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84085</w:t>
      </w:r>
    </w:p>
    <w:p w14:paraId="59EF9388" w14:textId="77777777" w:rsidR="00EE63D8" w:rsidRPr="00A1146C" w:rsidRDefault="00EE63D8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E54B6CC" w14:textId="4EE3E516" w:rsidR="00EE63D8" w:rsidRPr="00A1146C" w:rsidRDefault="00EE63D8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0F88">
        <w:rPr>
          <w:rFonts w:ascii="Times New Roman" w:hAnsi="Times New Roman" w:cs="Times New Roman"/>
          <w:sz w:val="24"/>
          <w:szCs w:val="24"/>
          <w:lang w:val="bg-BG"/>
        </w:rPr>
        <w:t>Дата</w:t>
      </w:r>
      <w:r w:rsidR="00C953F8" w:rsidRPr="00EF0F8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F0F88" w:rsidRPr="00EF0F88">
        <w:rPr>
          <w:rFonts w:ascii="Times New Roman" w:hAnsi="Times New Roman" w:cs="Times New Roman"/>
          <w:sz w:val="24"/>
          <w:szCs w:val="24"/>
          <w:lang w:val="bg-BG"/>
        </w:rPr>
        <w:t>07</w:t>
      </w:r>
      <w:r w:rsidR="001B6791" w:rsidRPr="00EF0F8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F2B25" w:rsidRPr="00EF0F88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EF0F88" w:rsidRPr="00EF0F88">
        <w:rPr>
          <w:rFonts w:ascii="Times New Roman" w:hAnsi="Times New Roman" w:cs="Times New Roman"/>
          <w:sz w:val="24"/>
          <w:szCs w:val="24"/>
          <w:lang w:val="bg-BG"/>
        </w:rPr>
        <w:t>5</w:t>
      </w:r>
      <w:r w:rsidR="001B6791" w:rsidRPr="00EF0F88">
        <w:rPr>
          <w:rFonts w:ascii="Times New Roman" w:hAnsi="Times New Roman" w:cs="Times New Roman"/>
          <w:sz w:val="24"/>
          <w:szCs w:val="24"/>
          <w:lang w:val="bg-BG"/>
        </w:rPr>
        <w:t>.2021</w:t>
      </w:r>
      <w:r w:rsidR="00C953F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               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Подпис.......................</w:t>
      </w:r>
    </w:p>
    <w:p w14:paraId="59A1DC25" w14:textId="77777777" w:rsidR="00EE63D8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1874BD0" w14:textId="77777777" w:rsidR="00EE63D8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E743245" w14:textId="77777777" w:rsidR="00EE63D8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AB95463" w14:textId="77777777" w:rsidR="00EE63D8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2E73334" w14:textId="77777777" w:rsidR="00EE63D8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AA4388B" w14:textId="77777777" w:rsidR="00EE63D8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5976CBD" w14:textId="09EED890" w:rsidR="00EE63D8" w:rsidRPr="00A1146C" w:rsidRDefault="00EE63D8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AF6B1DA" w14:textId="77777777" w:rsidR="00EA2B47" w:rsidRPr="00A1146C" w:rsidRDefault="00EA2B47" w:rsidP="004D7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8C8491B" w14:textId="57A752D2" w:rsidR="000139C4" w:rsidRPr="00A1146C" w:rsidRDefault="000139C4" w:rsidP="004D71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0382E4F5" w14:textId="77777777" w:rsidR="00B16E9B" w:rsidRPr="00A1146C" w:rsidRDefault="00B16E9B" w:rsidP="00805375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bg-BG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bg-BG"/>
        </w:rPr>
        <w:id w:val="73775917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822A562" w14:textId="77777777" w:rsidR="009851CA" w:rsidRPr="00A1146C" w:rsidRDefault="009851CA" w:rsidP="009851CA">
          <w:pPr>
            <w:pStyle w:val="TOCHeading"/>
            <w:spacing w:line="360" w:lineRule="auto"/>
            <w:jc w:val="center"/>
            <w:outlineLvl w:val="0"/>
            <w:rPr>
              <w:rFonts w:ascii="Times New Roman" w:hAnsi="Times New Roman" w:cs="Times New Roman"/>
              <w:b/>
              <w:color w:val="auto"/>
              <w:sz w:val="20"/>
              <w:szCs w:val="20"/>
              <w:lang w:val="bg-BG"/>
            </w:rPr>
          </w:pPr>
          <w:r w:rsidRPr="00A1146C">
            <w:rPr>
              <w:rFonts w:ascii="Times New Roman" w:hAnsi="Times New Roman" w:cs="Times New Roman"/>
              <w:b/>
              <w:color w:val="auto"/>
              <w:sz w:val="20"/>
              <w:szCs w:val="20"/>
              <w:lang w:val="bg-BG"/>
            </w:rPr>
            <w:t>Съдържание</w:t>
          </w:r>
        </w:p>
        <w:p w14:paraId="5FECD5B4" w14:textId="403A2ABE" w:rsidR="00073786" w:rsidRPr="007264F1" w:rsidRDefault="00073786" w:rsidP="009851CA">
          <w:pPr>
            <w:pStyle w:val="TOC1"/>
            <w:spacing w:line="360" w:lineRule="auto"/>
            <w:jc w:val="both"/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</w:pPr>
          <w:r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 xml:space="preserve">Резюме </w:t>
          </w:r>
          <w:r w:rsidRPr="007264F1">
            <w:rPr>
              <w:rFonts w:ascii="Times New Roman" w:hAnsi="Times New Roman"/>
              <w:sz w:val="20"/>
              <w:szCs w:val="20"/>
              <w:lang w:val="bg-BG"/>
            </w:rPr>
            <w:ptab w:relativeTo="margin" w:alignment="right" w:leader="dot"/>
          </w:r>
          <w:r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4</w:t>
          </w:r>
        </w:p>
        <w:p w14:paraId="5960A6C4" w14:textId="5A4A2305" w:rsidR="00073786" w:rsidRPr="00726525" w:rsidRDefault="00073786" w:rsidP="00073786">
          <w:pPr>
            <w:pStyle w:val="TOC1"/>
            <w:spacing w:line="360" w:lineRule="auto"/>
            <w:jc w:val="both"/>
            <w:rPr>
              <w:rFonts w:ascii="Times New Roman" w:hAnsi="Times New Roman"/>
              <w:b/>
              <w:bCs/>
              <w:sz w:val="20"/>
              <w:szCs w:val="20"/>
              <w:lang w:val="ru-RU"/>
            </w:rPr>
          </w:pPr>
          <w:r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 xml:space="preserve">Увод </w:t>
          </w:r>
          <w:r w:rsidRPr="007264F1">
            <w:rPr>
              <w:rFonts w:ascii="Times New Roman" w:hAnsi="Times New Roman"/>
              <w:sz w:val="20"/>
              <w:szCs w:val="20"/>
              <w:lang w:val="bg-BG"/>
            </w:rPr>
            <w:ptab w:relativeTo="margin" w:alignment="right" w:leader="dot"/>
          </w:r>
          <w:r w:rsidR="003F1707" w:rsidRPr="00726525">
            <w:rPr>
              <w:rFonts w:ascii="Times New Roman" w:hAnsi="Times New Roman"/>
              <w:b/>
              <w:bCs/>
              <w:sz w:val="20"/>
              <w:szCs w:val="20"/>
              <w:lang w:val="ru-RU"/>
            </w:rPr>
            <w:t>4</w:t>
          </w:r>
        </w:p>
        <w:p w14:paraId="242F72E0" w14:textId="315A68E2" w:rsidR="009851CA" w:rsidRPr="007264F1" w:rsidRDefault="006151B0" w:rsidP="009851CA">
          <w:pPr>
            <w:pStyle w:val="TOC1"/>
            <w:spacing w:line="360" w:lineRule="auto"/>
            <w:jc w:val="both"/>
            <w:rPr>
              <w:rFonts w:ascii="Times New Roman" w:hAnsi="Times New Roman"/>
              <w:sz w:val="20"/>
              <w:szCs w:val="20"/>
              <w:lang w:val="bg-BG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1</w:t>
          </w:r>
          <w:r w:rsidR="00073786"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 xml:space="preserve">. </w:t>
          </w:r>
          <w:r w:rsidR="009851CA"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Въведение</w:t>
          </w:r>
          <w:r w:rsidR="009851CA" w:rsidRPr="007264F1">
            <w:rPr>
              <w:rFonts w:ascii="Times New Roman" w:hAnsi="Times New Roman"/>
              <w:sz w:val="20"/>
              <w:szCs w:val="20"/>
              <w:lang w:val="bg-BG"/>
            </w:rPr>
            <w:ptab w:relativeTo="margin" w:alignment="right" w:leader="dot"/>
          </w:r>
          <w:r w:rsidR="00073786"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6</w:t>
          </w:r>
        </w:p>
        <w:p w14:paraId="4B56BFC9" w14:textId="01FA2803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.1 Бърнаут синдром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5</w:t>
          </w:r>
        </w:p>
        <w:p w14:paraId="5A0855A3" w14:textId="74A4A332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.2 Големите Пет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9</w:t>
          </w:r>
        </w:p>
        <w:p w14:paraId="0CCA4355" w14:textId="3A23B12C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.2.1 Отвореност към Опита (O)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DB3634" w:rsidRPr="007264F1">
            <w:rPr>
              <w:sz w:val="20"/>
              <w:szCs w:val="20"/>
            </w:rPr>
            <w:t>11</w:t>
          </w:r>
        </w:p>
        <w:p w14:paraId="4685C3AF" w14:textId="62FA7338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.2.2 Съзнателност (C)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</w:t>
          </w:r>
          <w:r w:rsidR="00DB3634" w:rsidRPr="007264F1">
            <w:rPr>
              <w:sz w:val="20"/>
              <w:szCs w:val="20"/>
            </w:rPr>
            <w:t>1</w:t>
          </w:r>
        </w:p>
        <w:p w14:paraId="14B0E612" w14:textId="05E65297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.2.3 Екстраверсия (E)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</w:t>
          </w:r>
          <w:r w:rsidR="00DB3634" w:rsidRPr="007264F1">
            <w:rPr>
              <w:sz w:val="20"/>
              <w:szCs w:val="20"/>
            </w:rPr>
            <w:t>1</w:t>
          </w:r>
        </w:p>
        <w:p w14:paraId="6176FDAE" w14:textId="123FD81A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.2.4 Доброжелателност (A)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</w:t>
          </w:r>
          <w:r w:rsidR="00DB3634" w:rsidRPr="007264F1">
            <w:rPr>
              <w:sz w:val="20"/>
              <w:szCs w:val="20"/>
            </w:rPr>
            <w:t>2</w:t>
          </w:r>
        </w:p>
        <w:p w14:paraId="2CEEDE72" w14:textId="0770E79D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.2.5 Невротизъм (N)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</w:t>
          </w:r>
          <w:r w:rsidR="00DB3634" w:rsidRPr="007264F1">
            <w:rPr>
              <w:sz w:val="20"/>
              <w:szCs w:val="20"/>
            </w:rPr>
            <w:t>2</w:t>
          </w:r>
        </w:p>
        <w:p w14:paraId="62D873E8" w14:textId="645D9584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.2.6 Ограничения на Пет Факторния Модел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</w:t>
          </w:r>
          <w:r w:rsidR="00DB3634" w:rsidRPr="007264F1">
            <w:rPr>
              <w:sz w:val="20"/>
              <w:szCs w:val="20"/>
            </w:rPr>
            <w:t>2</w:t>
          </w:r>
        </w:p>
        <w:p w14:paraId="24E389D6" w14:textId="61AB0646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.3 Удовлетвореност от труда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</w:t>
          </w:r>
          <w:r w:rsidR="00DB3634" w:rsidRPr="007264F1">
            <w:rPr>
              <w:sz w:val="20"/>
              <w:szCs w:val="20"/>
            </w:rPr>
            <w:t>3</w:t>
          </w:r>
        </w:p>
        <w:p w14:paraId="482BA890" w14:textId="572E6E5B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9851CA" w:rsidRPr="007264F1">
            <w:rPr>
              <w:sz w:val="20"/>
              <w:szCs w:val="20"/>
            </w:rPr>
            <w:t>.4 Предходни изследвания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</w:t>
          </w:r>
          <w:r w:rsidR="003E6DC3" w:rsidRPr="007264F1">
            <w:rPr>
              <w:sz w:val="20"/>
              <w:szCs w:val="20"/>
            </w:rPr>
            <w:t>5</w:t>
          </w:r>
        </w:p>
        <w:p w14:paraId="4DEE83A3" w14:textId="31FA0F89" w:rsidR="009851CA" w:rsidRPr="007264F1" w:rsidRDefault="006151B0" w:rsidP="009851CA">
          <w:pPr>
            <w:pStyle w:val="TOC1"/>
            <w:spacing w:line="360" w:lineRule="auto"/>
            <w:jc w:val="both"/>
            <w:rPr>
              <w:rFonts w:ascii="Times New Roman" w:hAnsi="Times New Roman"/>
              <w:sz w:val="20"/>
              <w:szCs w:val="20"/>
              <w:lang w:val="bg-BG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2</w:t>
          </w:r>
          <w:r w:rsidR="009851CA"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. Цел и хипотези</w:t>
          </w:r>
          <w:r w:rsidR="009851CA" w:rsidRPr="007264F1">
            <w:rPr>
              <w:rFonts w:ascii="Times New Roman" w:hAnsi="Times New Roman"/>
              <w:sz w:val="20"/>
              <w:szCs w:val="20"/>
              <w:lang w:val="bg-BG"/>
            </w:rPr>
            <w:ptab w:relativeTo="margin" w:alignment="right" w:leader="dot"/>
          </w:r>
          <w:r w:rsidR="009851CA"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1</w:t>
          </w:r>
          <w:r w:rsidR="003E6DC3"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9</w:t>
          </w:r>
        </w:p>
        <w:p w14:paraId="523CF08F" w14:textId="7247A20E" w:rsidR="009851CA" w:rsidRPr="007264F1" w:rsidRDefault="006151B0" w:rsidP="009851CA">
          <w:pPr>
            <w:pStyle w:val="TOC2"/>
            <w:spacing w:line="360" w:lineRule="auto"/>
            <w:jc w:val="both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3</w:t>
          </w:r>
          <w:r w:rsidR="009851CA" w:rsidRPr="007264F1">
            <w:rPr>
              <w:rFonts w:ascii="Times New Roman" w:hAnsi="Times New Roman"/>
              <w:sz w:val="20"/>
              <w:szCs w:val="20"/>
            </w:rPr>
            <w:t>. Методика на проучването</w:t>
          </w:r>
          <w:r w:rsidR="009851CA" w:rsidRPr="007264F1">
            <w:rPr>
              <w:rFonts w:ascii="Times New Roman" w:hAnsi="Times New Roman"/>
              <w:b w:val="0"/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rFonts w:ascii="Times New Roman" w:hAnsi="Times New Roman"/>
              <w:sz w:val="20"/>
              <w:szCs w:val="20"/>
            </w:rPr>
            <w:t>1</w:t>
          </w:r>
          <w:r w:rsidR="002051B6" w:rsidRPr="007264F1">
            <w:rPr>
              <w:rFonts w:ascii="Times New Roman" w:hAnsi="Times New Roman"/>
              <w:sz w:val="20"/>
              <w:szCs w:val="20"/>
            </w:rPr>
            <w:t>9</w:t>
          </w:r>
        </w:p>
        <w:p w14:paraId="06E590D1" w14:textId="24175E30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="009851CA" w:rsidRPr="007264F1">
            <w:rPr>
              <w:sz w:val="20"/>
              <w:szCs w:val="20"/>
            </w:rPr>
            <w:t>.1 Участници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</w:t>
          </w:r>
          <w:r w:rsidR="002051B6" w:rsidRPr="007264F1">
            <w:rPr>
              <w:sz w:val="20"/>
              <w:szCs w:val="20"/>
            </w:rPr>
            <w:t>9</w:t>
          </w:r>
        </w:p>
        <w:p w14:paraId="2FF166DC" w14:textId="22D76CF1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="009851CA" w:rsidRPr="007264F1">
            <w:rPr>
              <w:sz w:val="20"/>
              <w:szCs w:val="20"/>
            </w:rPr>
            <w:t>.2 Дизайн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2051B6" w:rsidRPr="007264F1">
            <w:rPr>
              <w:sz w:val="20"/>
              <w:szCs w:val="20"/>
            </w:rPr>
            <w:t>20</w:t>
          </w:r>
        </w:p>
        <w:p w14:paraId="5B03E3F5" w14:textId="38A64990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="009851CA" w:rsidRPr="007264F1">
            <w:rPr>
              <w:sz w:val="20"/>
              <w:szCs w:val="20"/>
            </w:rPr>
            <w:t xml:space="preserve">.3 </w:t>
          </w:r>
          <w:r w:rsidR="00B15082" w:rsidRPr="007264F1">
            <w:rPr>
              <w:sz w:val="20"/>
              <w:szCs w:val="20"/>
            </w:rPr>
            <w:t>Инструментариум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19</w:t>
          </w:r>
        </w:p>
        <w:p w14:paraId="3F4D0645" w14:textId="48C18C50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="009851CA" w:rsidRPr="007264F1">
            <w:rPr>
              <w:sz w:val="20"/>
              <w:szCs w:val="20"/>
            </w:rPr>
            <w:t>.4 Процедура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2</w:t>
          </w:r>
          <w:r w:rsidR="002051B6" w:rsidRPr="007264F1">
            <w:rPr>
              <w:sz w:val="20"/>
              <w:szCs w:val="20"/>
            </w:rPr>
            <w:t>2</w:t>
          </w:r>
        </w:p>
        <w:p w14:paraId="08F65DDC" w14:textId="1C9C6A76" w:rsidR="009851CA" w:rsidRPr="007264F1" w:rsidRDefault="006151B0" w:rsidP="009851CA">
          <w:pPr>
            <w:pStyle w:val="TOC2"/>
            <w:spacing w:line="360" w:lineRule="auto"/>
            <w:jc w:val="both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4</w:t>
          </w:r>
          <w:r w:rsidR="009851CA" w:rsidRPr="007264F1">
            <w:rPr>
              <w:rFonts w:ascii="Times New Roman" w:hAnsi="Times New Roman"/>
              <w:sz w:val="20"/>
              <w:szCs w:val="20"/>
            </w:rPr>
            <w:t>. Резултати</w:t>
          </w:r>
          <w:r w:rsidR="009851CA" w:rsidRPr="007264F1">
            <w:rPr>
              <w:rFonts w:ascii="Times New Roman" w:hAnsi="Times New Roman"/>
              <w:b w:val="0"/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rFonts w:ascii="Times New Roman" w:hAnsi="Times New Roman"/>
              <w:sz w:val="20"/>
              <w:szCs w:val="20"/>
            </w:rPr>
            <w:t>22</w:t>
          </w:r>
        </w:p>
        <w:p w14:paraId="6E7B7DC3" w14:textId="012AD9D7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  <w:r w:rsidR="009851CA" w:rsidRPr="007264F1">
            <w:rPr>
              <w:sz w:val="20"/>
              <w:szCs w:val="20"/>
            </w:rPr>
            <w:t>.1 Дескриптивна статистика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22</w:t>
          </w:r>
        </w:p>
        <w:p w14:paraId="12948E90" w14:textId="7CD4A679" w:rsidR="009851CA" w:rsidRPr="007264F1" w:rsidRDefault="006151B0" w:rsidP="009851CA">
          <w:pPr>
            <w:pStyle w:val="TOC3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  <w:r w:rsidR="009851CA" w:rsidRPr="007264F1">
            <w:rPr>
              <w:sz w:val="20"/>
              <w:szCs w:val="20"/>
            </w:rPr>
            <w:t xml:space="preserve">.2 Регресионен анализ на бърнаут и </w:t>
          </w:r>
          <w:r w:rsidR="000A08AD">
            <w:rPr>
              <w:sz w:val="20"/>
              <w:szCs w:val="20"/>
            </w:rPr>
            <w:t>Г</w:t>
          </w:r>
          <w:r w:rsidR="009851CA" w:rsidRPr="007264F1">
            <w:rPr>
              <w:sz w:val="20"/>
              <w:szCs w:val="20"/>
            </w:rPr>
            <w:t xml:space="preserve">олемите пет личностови фактора </w:t>
          </w:r>
          <w:r w:rsidR="009851CA" w:rsidRPr="007264F1">
            <w:rPr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sz w:val="20"/>
              <w:szCs w:val="20"/>
            </w:rPr>
            <w:t>3</w:t>
          </w:r>
          <w:r w:rsidR="00572881" w:rsidRPr="007264F1">
            <w:rPr>
              <w:sz w:val="20"/>
              <w:szCs w:val="20"/>
            </w:rPr>
            <w:t>1</w:t>
          </w:r>
        </w:p>
        <w:p w14:paraId="682DF35E" w14:textId="3B85F792" w:rsidR="009851CA" w:rsidRPr="007264F1" w:rsidRDefault="006151B0" w:rsidP="009851CA">
          <w:pPr>
            <w:pStyle w:val="TOC2"/>
            <w:spacing w:line="360" w:lineRule="auto"/>
            <w:jc w:val="both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5</w:t>
          </w:r>
          <w:r w:rsidR="009851CA" w:rsidRPr="007264F1">
            <w:rPr>
              <w:rFonts w:ascii="Times New Roman" w:hAnsi="Times New Roman"/>
              <w:sz w:val="20"/>
              <w:szCs w:val="20"/>
            </w:rPr>
            <w:t>. Дискусия</w:t>
          </w:r>
          <w:r w:rsidR="009851CA" w:rsidRPr="007264F1">
            <w:rPr>
              <w:rFonts w:ascii="Times New Roman" w:hAnsi="Times New Roman"/>
              <w:b w:val="0"/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rFonts w:ascii="Times New Roman" w:hAnsi="Times New Roman"/>
              <w:sz w:val="20"/>
              <w:szCs w:val="20"/>
            </w:rPr>
            <w:t>3</w:t>
          </w:r>
          <w:r w:rsidR="00617DF3" w:rsidRPr="007264F1">
            <w:rPr>
              <w:rFonts w:ascii="Times New Roman" w:hAnsi="Times New Roman"/>
              <w:sz w:val="20"/>
              <w:szCs w:val="20"/>
            </w:rPr>
            <w:t>6</w:t>
          </w:r>
        </w:p>
        <w:p w14:paraId="45DE3ACF" w14:textId="0C5C3A1E" w:rsidR="009851CA" w:rsidRPr="007264F1" w:rsidRDefault="006151B0" w:rsidP="009851CA">
          <w:pPr>
            <w:pStyle w:val="TOC2"/>
            <w:spacing w:line="360" w:lineRule="auto"/>
            <w:jc w:val="both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6</w:t>
          </w:r>
          <w:r w:rsidR="009851CA" w:rsidRPr="007264F1">
            <w:rPr>
              <w:rFonts w:ascii="Times New Roman" w:hAnsi="Times New Roman"/>
              <w:sz w:val="20"/>
              <w:szCs w:val="20"/>
            </w:rPr>
            <w:t>. Ограничения</w:t>
          </w:r>
          <w:r w:rsidR="009851CA" w:rsidRPr="007264F1">
            <w:rPr>
              <w:rFonts w:ascii="Times New Roman" w:hAnsi="Times New Roman"/>
              <w:b w:val="0"/>
              <w:sz w:val="20"/>
              <w:szCs w:val="20"/>
            </w:rPr>
            <w:ptab w:relativeTo="margin" w:alignment="right" w:leader="dot"/>
          </w:r>
          <w:r w:rsidR="009851CA" w:rsidRPr="007264F1">
            <w:rPr>
              <w:rFonts w:ascii="Times New Roman" w:hAnsi="Times New Roman"/>
              <w:sz w:val="20"/>
              <w:szCs w:val="20"/>
            </w:rPr>
            <w:t>3</w:t>
          </w:r>
          <w:r w:rsidR="00617DF3" w:rsidRPr="007264F1">
            <w:rPr>
              <w:rFonts w:ascii="Times New Roman" w:hAnsi="Times New Roman"/>
              <w:sz w:val="20"/>
              <w:szCs w:val="20"/>
            </w:rPr>
            <w:t>8</w:t>
          </w:r>
        </w:p>
        <w:p w14:paraId="0273F23C" w14:textId="289D4832" w:rsidR="009851CA" w:rsidRPr="00A1146C" w:rsidRDefault="009851CA" w:rsidP="0089375A">
          <w:pPr>
            <w:pStyle w:val="TOC1"/>
            <w:spacing w:line="360" w:lineRule="auto"/>
            <w:jc w:val="both"/>
            <w:rPr>
              <w:rFonts w:ascii="Times New Roman" w:hAnsi="Times New Roman"/>
              <w:sz w:val="24"/>
              <w:szCs w:val="24"/>
              <w:lang w:val="bg-BG"/>
            </w:rPr>
          </w:pPr>
          <w:r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Използвана литература</w:t>
          </w:r>
          <w:r w:rsidRPr="007264F1">
            <w:rPr>
              <w:rFonts w:ascii="Times New Roman" w:hAnsi="Times New Roman"/>
              <w:sz w:val="20"/>
              <w:szCs w:val="20"/>
              <w:lang w:val="bg-BG"/>
            </w:rPr>
            <w:ptab w:relativeTo="margin" w:alignment="right" w:leader="dot"/>
          </w:r>
          <w:r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3</w:t>
          </w:r>
          <w:r w:rsidR="00617DF3" w:rsidRPr="007264F1">
            <w:rPr>
              <w:rFonts w:ascii="Times New Roman" w:hAnsi="Times New Roman"/>
              <w:b/>
              <w:bCs/>
              <w:sz w:val="20"/>
              <w:szCs w:val="20"/>
              <w:lang w:val="bg-BG"/>
            </w:rPr>
            <w:t>9</w:t>
          </w:r>
        </w:p>
      </w:sdtContent>
    </w:sdt>
    <w:p w14:paraId="298CCA93" w14:textId="6CD5D628" w:rsidR="002C791D" w:rsidRPr="00B636D3" w:rsidRDefault="00EE63D8" w:rsidP="00B636D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B636D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Резюме</w:t>
      </w:r>
    </w:p>
    <w:p w14:paraId="1A3D4AFF" w14:textId="22A0E316" w:rsidR="0089375A" w:rsidRPr="00A1146C" w:rsidRDefault="0089375A" w:rsidP="0003601F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Настоящата</w:t>
      </w:r>
      <w:r w:rsidR="00073786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разработка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цели да установи </w:t>
      </w:r>
      <w:r w:rsidR="00073786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до каква степен личностовите черти и удовлетвореността от труда могат да послужат като предиктори на нивото на бърнаут сред инженери и ИТ консултанти в голяма международна корпорация. Основни инструменти за събиране на данни са Maslach Burnout Inventory-General Survey (MBI-GS), Петфакторният Модел (Big Five Inventory – BFI; John et al., 1991) и Въпросник за диагностика на удовлетвореността от труда (Величков &amp; Радославова, 2005).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5A6C00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Получените резултати потвърждават изведените хипотези, които постулират, че невротизмът е силен и значим предиктор за появата на бърнаут (хипотеза 1) и високата удовлетвореност от труда предполага ниски нива на бърнаут (хипотеза 2).  </w:t>
      </w:r>
    </w:p>
    <w:p w14:paraId="61EC4724" w14:textId="167B87E5" w:rsidR="00DD44EE" w:rsidRPr="00A1146C" w:rsidRDefault="004A041F" w:rsidP="0089375A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i/>
          <w:iCs/>
          <w:sz w:val="24"/>
          <w:szCs w:val="24"/>
          <w:lang w:val="bg-BG"/>
        </w:rPr>
        <w:t>Ключови понятия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: работен стрес, организационно поведение, работоспособност, менажиране на стреса, емоционално изтощение, дехуманизация</w:t>
      </w:r>
      <w:r w:rsidR="00EE63D8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632D6C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отвореност към опита,</w:t>
      </w:r>
      <w:r w:rsidR="00632D6C" w:rsidRPr="00A1146C">
        <w:rPr>
          <w:rFonts w:ascii="Times New Roman" w:hAnsi="Times New Roman" w:cs="Times New Roman"/>
          <w:b/>
          <w:i/>
          <w:iCs/>
          <w:sz w:val="24"/>
          <w:szCs w:val="24"/>
          <w:lang w:val="bg-BG"/>
        </w:rPr>
        <w:t xml:space="preserve"> </w:t>
      </w:r>
      <w:r w:rsidR="000C3AD7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съзнателност</w:t>
      </w:r>
      <w:r w:rsidR="00632D6C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екстраверсия, </w:t>
      </w:r>
      <w:r w:rsidR="007C3574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доброжелателност</w:t>
      </w:r>
      <w:r w:rsidR="00632D6C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, невротизъм</w:t>
      </w:r>
      <w:r w:rsidR="00D03A55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, удовлетвореност от труда</w:t>
      </w:r>
      <w:r w:rsidR="00632D6C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;</w:t>
      </w:r>
    </w:p>
    <w:p w14:paraId="45D2DC6D" w14:textId="33976B41" w:rsidR="000876A5" w:rsidRPr="00B636D3" w:rsidRDefault="00A008C9" w:rsidP="00B636D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B636D3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14:paraId="7EB331E9" w14:textId="5A4C1880" w:rsidR="005129AA" w:rsidRDefault="00DC6FA5" w:rsidP="005617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Со</w:t>
      </w:r>
      <w:r w:rsidR="00F02EC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циалната промяна и трансформацията в 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съвременната </w:t>
      </w:r>
      <w:r w:rsidR="00F02EC7" w:rsidRPr="00A1146C">
        <w:rPr>
          <w:rFonts w:ascii="Times New Roman" w:hAnsi="Times New Roman" w:cs="Times New Roman"/>
          <w:sz w:val="24"/>
          <w:szCs w:val="24"/>
          <w:lang w:val="bg-BG"/>
        </w:rPr>
        <w:t>работна среда</w:t>
      </w:r>
      <w:r w:rsidR="00105E52">
        <w:rPr>
          <w:rFonts w:ascii="Times New Roman" w:hAnsi="Times New Roman" w:cs="Times New Roman"/>
          <w:sz w:val="24"/>
          <w:szCs w:val="24"/>
          <w:lang w:val="bg-BG"/>
        </w:rPr>
        <w:t xml:space="preserve"> създа</w:t>
      </w:r>
      <w:r w:rsidR="00AF4EBF">
        <w:rPr>
          <w:rFonts w:ascii="Times New Roman" w:hAnsi="Times New Roman" w:cs="Times New Roman"/>
          <w:sz w:val="24"/>
          <w:szCs w:val="24"/>
          <w:lang w:val="bg-BG"/>
        </w:rPr>
        <w:t>ват</w:t>
      </w:r>
      <w:r w:rsidR="00105E52">
        <w:rPr>
          <w:rFonts w:ascii="Times New Roman" w:hAnsi="Times New Roman" w:cs="Times New Roman"/>
          <w:sz w:val="24"/>
          <w:szCs w:val="24"/>
          <w:lang w:val="bg-BG"/>
        </w:rPr>
        <w:t xml:space="preserve"> предпоставки за естествен и логично обясним интерес към </w:t>
      </w:r>
      <w:r w:rsidR="00F02EC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бърнаут </w:t>
      </w:r>
      <w:r w:rsidR="00105E52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F02EC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последн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F02EC7" w:rsidRPr="00A1146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105E52">
        <w:rPr>
          <w:rFonts w:ascii="Times New Roman" w:hAnsi="Times New Roman" w:cs="Times New Roman"/>
          <w:sz w:val="24"/>
          <w:szCs w:val="24"/>
          <w:lang w:val="bg-BG"/>
        </w:rPr>
        <w:t xml:space="preserve"> години.</w:t>
      </w:r>
      <w:r w:rsidR="00F02EC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>Допълнител</w:t>
      </w:r>
      <w:r w:rsidR="00105E52">
        <w:rPr>
          <w:rFonts w:ascii="Times New Roman" w:hAnsi="Times New Roman" w:cs="Times New Roman"/>
          <w:sz w:val="24"/>
          <w:szCs w:val="24"/>
          <w:lang w:val="bg-BG"/>
        </w:rPr>
        <w:t xml:space="preserve">ен акцент върху този интерес се поставя и от необходимостта да 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="00105E52">
        <w:rPr>
          <w:rFonts w:ascii="Times New Roman" w:hAnsi="Times New Roman" w:cs="Times New Roman"/>
          <w:sz w:val="24"/>
          <w:szCs w:val="24"/>
          <w:lang w:val="bg-BG"/>
        </w:rPr>
        <w:t>изследва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потенциалното въздействие</w:t>
      </w:r>
      <w:r w:rsidR="00105E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>на глобалната пандемия от COVID-19</w:t>
      </w:r>
      <w:r w:rsidR="00105E52">
        <w:rPr>
          <w:rFonts w:ascii="Times New Roman" w:hAnsi="Times New Roman" w:cs="Times New Roman"/>
          <w:sz w:val="24"/>
          <w:szCs w:val="24"/>
          <w:lang w:val="bg-BG"/>
        </w:rPr>
        <w:t xml:space="preserve"> върху динамиката на работните взаимоотношения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По всичко личи, че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извънредната ситуация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променя начина, по който взаимодействаме</w:t>
      </w:r>
      <w:r w:rsidR="00C9571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65ACC">
        <w:rPr>
          <w:rFonts w:ascii="Times New Roman" w:hAnsi="Times New Roman" w:cs="Times New Roman"/>
          <w:sz w:val="24"/>
          <w:szCs w:val="24"/>
          <w:lang w:val="bg-BG"/>
        </w:rPr>
        <w:t>помежду си</w:t>
      </w:r>
      <w:r w:rsidR="00C9571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Изтощението от ежедневната работа по време на пандемия, която сякаш вече не може да бъде рамкирана в </w:t>
      </w:r>
      <w:r w:rsidR="00653F0A" w:rsidRPr="00A1146C">
        <w:rPr>
          <w:rFonts w:ascii="Times New Roman" w:hAnsi="Times New Roman" w:cs="Times New Roman"/>
          <w:sz w:val="24"/>
          <w:szCs w:val="24"/>
          <w:lang w:val="bg-BG"/>
        </w:rPr>
        <w:t>40 часова работна седмица</w:t>
      </w:r>
      <w:r w:rsidR="00C9571F" w:rsidRPr="00A1146C">
        <w:rPr>
          <w:rFonts w:ascii="Times New Roman" w:hAnsi="Times New Roman" w:cs="Times New Roman"/>
          <w:sz w:val="24"/>
          <w:szCs w:val="24"/>
          <w:lang w:val="bg-BG"/>
        </w:rPr>
        <w:t>, допълнен</w:t>
      </w:r>
      <w:r w:rsidR="00653F0A" w:rsidRPr="00A1146C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C9571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от страха от заразяване и потенциална загуба на близки</w:t>
      </w:r>
      <w:r w:rsidR="00CE6C57">
        <w:rPr>
          <w:rFonts w:ascii="Times New Roman" w:hAnsi="Times New Roman" w:cs="Times New Roman"/>
          <w:sz w:val="24"/>
          <w:szCs w:val="24"/>
        </w:rPr>
        <w:t xml:space="preserve"> </w:t>
      </w:r>
      <w:r w:rsidR="00CE6C57">
        <w:rPr>
          <w:rFonts w:ascii="Times New Roman" w:hAnsi="Times New Roman" w:cs="Times New Roman"/>
          <w:sz w:val="24"/>
          <w:szCs w:val="24"/>
          <w:lang w:val="bg-BG"/>
        </w:rPr>
        <w:t>и колеги</w:t>
      </w:r>
      <w:r w:rsidR="00C9571F" w:rsidRPr="00A1146C">
        <w:rPr>
          <w:rFonts w:ascii="Times New Roman" w:hAnsi="Times New Roman" w:cs="Times New Roman"/>
          <w:sz w:val="24"/>
          <w:szCs w:val="24"/>
          <w:lang w:val="bg-BG"/>
        </w:rPr>
        <w:t>, безспорно повишава нивото на стрес и отчаяние сред мнозина.</w:t>
      </w:r>
      <w:r w:rsidR="00C71B2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3F0A" w:rsidRPr="00A1146C">
        <w:rPr>
          <w:rFonts w:ascii="Times New Roman" w:hAnsi="Times New Roman" w:cs="Times New Roman"/>
          <w:sz w:val="24"/>
          <w:szCs w:val="24"/>
          <w:lang w:val="bg-BG"/>
        </w:rPr>
        <w:t>Дори след като</w:t>
      </w:r>
      <w:r w:rsidR="00A177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пандемията приключи, </w:t>
      </w:r>
      <w:r w:rsidR="00653F0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установяването до каква степен извънредните обстоятелства </w:t>
      </w:r>
      <w:r w:rsidR="00257969" w:rsidRPr="00A1146C">
        <w:rPr>
          <w:rFonts w:ascii="Times New Roman" w:hAnsi="Times New Roman" w:cs="Times New Roman"/>
          <w:sz w:val="24"/>
          <w:szCs w:val="24"/>
          <w:lang w:val="bg-BG"/>
        </w:rPr>
        <w:t>допринасят за развитието на бърнаут симптоматика</w:t>
      </w:r>
      <w:r w:rsidR="00653F0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ще бъде дълъг процес.</w:t>
      </w:r>
      <w:r w:rsidR="00B41E3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61707">
        <w:rPr>
          <w:rFonts w:ascii="Times New Roman" w:hAnsi="Times New Roman" w:cs="Times New Roman"/>
          <w:sz w:val="24"/>
          <w:szCs w:val="24"/>
          <w:lang w:val="bg-BG"/>
        </w:rPr>
        <w:t xml:space="preserve">Поради тези причини, изследването на бърнаут като явление става все по-актуално в контекста на социална изолация. </w:t>
      </w:r>
    </w:p>
    <w:p w14:paraId="58EF5F0E" w14:textId="3AAF73FB" w:rsidR="00066628" w:rsidRPr="00A1146C" w:rsidRDefault="00B41E30" w:rsidP="00E60B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По стечение на обстоятелствата, данните използвани в този анализ са събрани през 201</w:t>
      </w:r>
      <w:r w:rsidR="00212CA4">
        <w:rPr>
          <w:rFonts w:ascii="Times New Roman" w:hAnsi="Times New Roman" w:cs="Times New Roman"/>
          <w:sz w:val="24"/>
          <w:szCs w:val="24"/>
          <w:lang w:val="bg-BG"/>
        </w:rPr>
        <w:t>8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година. Поради тази причина не може да се </w:t>
      </w:r>
      <w:r w:rsidR="00BD57D3">
        <w:rPr>
          <w:rFonts w:ascii="Times New Roman" w:hAnsi="Times New Roman" w:cs="Times New Roman"/>
          <w:sz w:val="24"/>
          <w:szCs w:val="24"/>
          <w:lang w:val="bg-BG"/>
        </w:rPr>
        <w:t>говори за влияние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1489">
        <w:rPr>
          <w:rFonts w:ascii="Times New Roman" w:hAnsi="Times New Roman" w:cs="Times New Roman"/>
          <w:sz w:val="24"/>
          <w:szCs w:val="24"/>
          <w:lang w:val="bg-BG"/>
        </w:rPr>
        <w:t>актуалните събития, свързани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пандемията и извънредната обстановка</w:t>
      </w:r>
      <w:r w:rsidR="00561707">
        <w:rPr>
          <w:rFonts w:ascii="Times New Roman" w:hAnsi="Times New Roman" w:cs="Times New Roman"/>
          <w:sz w:val="24"/>
          <w:szCs w:val="24"/>
          <w:lang w:val="bg-BG"/>
        </w:rPr>
        <w:t xml:space="preserve"> над получените резултати от анализите</w:t>
      </w:r>
      <w:r w:rsidR="00F02EC7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0C68327" w14:textId="4C5474CA" w:rsidR="00AE7316" w:rsidRPr="00726525" w:rsidRDefault="00B44A81" w:rsidP="00AE73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Що се отнася до изследователската перспектива на явлението бърнаут, п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овечето изследвания в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тази 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t>сфера се фокусират върху ситуационните стресори, които влияят за неговата поява. Такива стресори са прекомерното натоварване, емоционално взискателни взаимодействия и липса на контрол или участие в решения, които засягат служителя и неговата работна среда (Maslach, Schaufeli, &amp; Leiter, 2001; &amp; Enzmann, 1998). Настоящата разработка разглежда риска от появата на бърнаут не само ситуационно, но и личностово в контекста на работната среда.</w:t>
      </w:r>
    </w:p>
    <w:p w14:paraId="5AA23094" w14:textId="6E8B56E1" w:rsidR="00AE7316" w:rsidRPr="00A1146C" w:rsidRDefault="00B44A81" w:rsidP="00AE73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Разглеждайки п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t>редходни проучвания</w:t>
      </w:r>
      <w:r>
        <w:rPr>
          <w:rFonts w:ascii="Times New Roman" w:hAnsi="Times New Roman" w:cs="Times New Roman"/>
          <w:sz w:val="24"/>
          <w:szCs w:val="24"/>
          <w:lang w:val="bg-BG"/>
        </w:rPr>
        <w:t>, акцентът пада върху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определя</w:t>
      </w:r>
      <w:r>
        <w:rPr>
          <w:rFonts w:ascii="Times New Roman" w:hAnsi="Times New Roman" w:cs="Times New Roman"/>
          <w:sz w:val="24"/>
          <w:szCs w:val="24"/>
          <w:lang w:val="bg-BG"/>
        </w:rPr>
        <w:t>нето на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личността като един от ключовите фактори, които влияят върху нивата на бърнаут </w:t>
      </w:r>
      <w:r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различни професионални групи. Изследвания в тази сфера показват, че бърнаут може да бъде открит както в роли ангажирани в сферата на услугите, така и извън тях (Bakker, Demerouti, &amp; Schaufeli, 2002). Обикновено професионалистите заети в сферата на услугите са с относително висок риск от появата на бърнаут (Schaufeli, 2003). Въпреки това, ограничен брой проучвания се фокусират над професионалисти извън сферите на образованието и подпомагащите услуги и доколкото изглежда, опити да се направи такова изследване сред служители в сферата на информационните технологии са доста редки. Що се отнася до удовлетвореността от труда и бърнаут, според Tsigilis, et al., (2004), тези </w:t>
      </w:r>
      <w:r w:rsidR="00C9298F">
        <w:rPr>
          <w:rFonts w:ascii="Times New Roman" w:hAnsi="Times New Roman" w:cs="Times New Roman"/>
          <w:sz w:val="24"/>
          <w:szCs w:val="24"/>
          <w:lang w:val="bg-BG"/>
        </w:rPr>
        <w:t>конструкти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са афективни отговори на работата. Предходни проучвания показват от умерена до силна връзка между двете понятия. Наличието на данни за връзката между </w:t>
      </w:r>
      <w:r w:rsidR="000A08AD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олемите пет и удовлетвореността от труда допълнително показва, че между 9% и 15% от вариацията в мотивацията на работното място се дължи на личностните черти от Голямата петорка (Furnham, et al., 2009). В съответствие с предишни констатации (Judge, et al., 2002) доброжелателността е съществен предиктор за удовлетвореност от труда, като според </w:t>
      </w:r>
      <w:r w:rsidR="00AE7316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Furnham (2009) тя обяснява между 11% и 13% от вариацията, отчитайки личностови променливи. </w:t>
      </w:r>
    </w:p>
    <w:p w14:paraId="585451FD" w14:textId="6A05DEAC" w:rsidR="00A81BE1" w:rsidRPr="00726525" w:rsidRDefault="00AE7316" w:rsidP="00732F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Изглежда и трите </w:t>
      </w:r>
      <w:r w:rsidR="00C9298F">
        <w:rPr>
          <w:rFonts w:ascii="Times New Roman" w:hAnsi="Times New Roman" w:cs="Times New Roman"/>
          <w:sz w:val="24"/>
          <w:szCs w:val="24"/>
          <w:lang w:val="bg-BG"/>
        </w:rPr>
        <w:t>конструкта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са подробно проучени и данни за преки взаимовръзки между тях не липсват. До каква степен би могло да се твърди, че </w:t>
      </w:r>
      <w:r w:rsidR="00C9298F">
        <w:rPr>
          <w:rFonts w:ascii="Times New Roman" w:hAnsi="Times New Roman" w:cs="Times New Roman"/>
          <w:sz w:val="24"/>
          <w:szCs w:val="24"/>
          <w:lang w:val="bg-BG"/>
        </w:rPr>
        <w:t>стойностите на тези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променливи </w:t>
      </w:r>
      <w:r w:rsidR="00C9298F">
        <w:rPr>
          <w:rFonts w:ascii="Times New Roman" w:hAnsi="Times New Roman" w:cs="Times New Roman"/>
          <w:sz w:val="24"/>
          <w:szCs w:val="24"/>
          <w:lang w:val="bg-BG"/>
        </w:rPr>
        <w:t>могат да предскажат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9298F">
        <w:rPr>
          <w:rFonts w:ascii="Times New Roman" w:hAnsi="Times New Roman" w:cs="Times New Roman"/>
          <w:sz w:val="24"/>
          <w:szCs w:val="24"/>
          <w:lang w:val="bg-BG"/>
        </w:rPr>
        <w:t>нивата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появата на другите е интересен научен въпрос, който си струва да се изследва</w:t>
      </w:r>
      <w:r w:rsidRPr="0072652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81BE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69A7296" w14:textId="76879AB8" w:rsidR="00E00223" w:rsidRPr="00B636D3" w:rsidRDefault="00E00223" w:rsidP="00B636D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B636D3">
        <w:rPr>
          <w:rFonts w:ascii="Times New Roman" w:hAnsi="Times New Roman" w:cs="Times New Roman"/>
          <w:b/>
          <w:sz w:val="24"/>
          <w:szCs w:val="24"/>
          <w:lang w:val="bg-BG"/>
        </w:rPr>
        <w:t>Въведение</w:t>
      </w:r>
    </w:p>
    <w:p w14:paraId="407210A9" w14:textId="396F0A72" w:rsidR="00836CFA" w:rsidRPr="004F5888" w:rsidRDefault="00E00223" w:rsidP="004F588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4F5888">
        <w:rPr>
          <w:rFonts w:ascii="Times New Roman" w:hAnsi="Times New Roman" w:cs="Times New Roman"/>
          <w:b/>
          <w:sz w:val="24"/>
          <w:szCs w:val="24"/>
          <w:lang w:val="bg-BG"/>
        </w:rPr>
        <w:t>О</w:t>
      </w:r>
      <w:r w:rsidR="00836CFA" w:rsidRPr="004F5888">
        <w:rPr>
          <w:rFonts w:ascii="Times New Roman" w:hAnsi="Times New Roman" w:cs="Times New Roman"/>
          <w:b/>
          <w:sz w:val="24"/>
          <w:szCs w:val="24"/>
          <w:lang w:val="bg-BG"/>
        </w:rPr>
        <w:t>писание на бърнаут синдрома</w:t>
      </w:r>
    </w:p>
    <w:p w14:paraId="11B3CAEE" w14:textId="77777777" w:rsidR="00F02A31" w:rsidRPr="00A1146C" w:rsidRDefault="002556E8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Бърнаут е продължителна реакция към хронични емоционални и интерперсонални стресови фактори</w:t>
      </w:r>
      <w:r w:rsidR="0020412B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свързани с работната среда</w:t>
      </w:r>
      <w:r w:rsidR="00A07D9C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07D9C" w:rsidRPr="00A1146C">
        <w:rPr>
          <w:rFonts w:ascii="Times New Roman" w:hAnsi="Times New Roman" w:cs="Times New Roman"/>
          <w:sz w:val="24"/>
          <w:szCs w:val="24"/>
          <w:lang w:val="bg-BG"/>
        </w:rPr>
        <w:t>Б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ива дефиниран посредством три основни дименсии </w:t>
      </w:r>
      <w:r w:rsidR="00A07D9C" w:rsidRPr="00A1146C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276C9">
        <w:rPr>
          <w:rFonts w:ascii="Times New Roman" w:hAnsi="Times New Roman" w:cs="Times New Roman"/>
          <w:i/>
          <w:iCs/>
          <w:sz w:val="24"/>
          <w:szCs w:val="24"/>
          <w:lang w:val="bg-BG"/>
        </w:rPr>
        <w:t>емоционално изтощение</w:t>
      </w:r>
      <w:r w:rsidR="0020412B" w:rsidRPr="00A1146C">
        <w:rPr>
          <w:rFonts w:ascii="Times New Roman" w:hAnsi="Times New Roman" w:cs="Times New Roman"/>
          <w:sz w:val="24"/>
          <w:szCs w:val="24"/>
          <w:lang w:val="bg-BG"/>
        </w:rPr>
        <w:t>;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276C9">
        <w:rPr>
          <w:rFonts w:ascii="Times New Roman" w:hAnsi="Times New Roman" w:cs="Times New Roman"/>
          <w:i/>
          <w:iCs/>
          <w:sz w:val="24"/>
          <w:szCs w:val="24"/>
          <w:lang w:val="bg-BG"/>
        </w:rPr>
        <w:t>дехуманизация</w:t>
      </w:r>
      <w:r w:rsidR="007D6BF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(дистанцирано отношение спрямо работата)</w:t>
      </w:r>
      <w:r w:rsidR="0020412B" w:rsidRPr="00A1146C">
        <w:rPr>
          <w:rFonts w:ascii="Times New Roman" w:hAnsi="Times New Roman" w:cs="Times New Roman"/>
          <w:sz w:val="24"/>
          <w:szCs w:val="24"/>
          <w:lang w:val="bg-BG"/>
        </w:rPr>
        <w:t>;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25AE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D6BFD" w:rsidRPr="000276C9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намалена </w:t>
      </w:r>
      <w:r w:rsidRPr="000276C9">
        <w:rPr>
          <w:rFonts w:ascii="Times New Roman" w:hAnsi="Times New Roman" w:cs="Times New Roman"/>
          <w:i/>
          <w:iCs/>
          <w:sz w:val="24"/>
          <w:szCs w:val="24"/>
          <w:lang w:val="bg-BG"/>
        </w:rPr>
        <w:t>работоспособност</w:t>
      </w:r>
      <w:r w:rsidR="00A07D9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(Maslach </w:t>
      </w:r>
      <w:r w:rsidR="00687ECE" w:rsidRPr="00A1146C">
        <w:rPr>
          <w:rFonts w:ascii="Times New Roman" w:hAnsi="Times New Roman" w:cs="Times New Roman"/>
          <w:sz w:val="24"/>
          <w:szCs w:val="24"/>
          <w:lang w:val="bg-BG"/>
        </w:rPr>
        <w:t>&amp;</w:t>
      </w:r>
      <w:r w:rsidR="00A07D9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Schaufeli, 2001)</w:t>
      </w:r>
      <w:r w:rsidR="00CF72D3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02A3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83C357A" w14:textId="742A5674" w:rsidR="000428E7" w:rsidRPr="00A1146C" w:rsidRDefault="000638C5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Емоционалното изтощение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се отнася до изчерпани емоционални ресурси, необходими за управление на задачите</w:t>
      </w:r>
      <w:r w:rsidR="00736A8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 работното място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Това води до чувство на напрежение и чувство на неудовлетвореност, дължащо се на страх, че </w:t>
      </w:r>
      <w:r w:rsidR="00736A8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човек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е може да покрие очакванията си за лична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ефективност</w:t>
      </w:r>
      <w:r w:rsidR="00614D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(Bakker, et al, 2002)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255FE83" w14:textId="03217744" w:rsidR="000428E7" w:rsidRPr="00A1146C" w:rsidRDefault="000638C5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Второто измерение на бърнаут синдрома, 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де</w:t>
      </w:r>
      <w:r w:rsidR="00DF0AD7" w:rsidRPr="00A1146C">
        <w:rPr>
          <w:rFonts w:ascii="Times New Roman" w:hAnsi="Times New Roman" w:cs="Times New Roman"/>
          <w:b/>
          <w:sz w:val="24"/>
          <w:szCs w:val="24"/>
          <w:lang w:val="bg-BG"/>
        </w:rPr>
        <w:t>хум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а</w:t>
      </w:r>
      <w:r w:rsidR="00DF0AD7" w:rsidRPr="00A1146C">
        <w:rPr>
          <w:rFonts w:ascii="Times New Roman" w:hAnsi="Times New Roman" w:cs="Times New Roman"/>
          <w:b/>
          <w:sz w:val="24"/>
          <w:szCs w:val="24"/>
          <w:lang w:val="bg-BG"/>
        </w:rPr>
        <w:t>н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изацията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настъпва, когато човек се дистанцира от работата си (Schaufeli </w:t>
      </w:r>
      <w:r w:rsidR="00C2027E" w:rsidRPr="00A1146C">
        <w:rPr>
          <w:rFonts w:ascii="Times New Roman" w:hAnsi="Times New Roman" w:cs="Times New Roman"/>
          <w:sz w:val="24"/>
          <w:szCs w:val="24"/>
          <w:lang w:val="bg-BG"/>
        </w:rPr>
        <w:t>&amp;</w:t>
      </w:r>
      <w:r w:rsidR="00DF0AD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Enzmann, 1998)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C559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Чрез такова поведение индивидът създава ем</w:t>
      </w:r>
      <w:r w:rsidR="0078542C" w:rsidRPr="00A1146C">
        <w:rPr>
          <w:rFonts w:ascii="Times New Roman" w:hAnsi="Times New Roman" w:cs="Times New Roman"/>
          <w:sz w:val="24"/>
          <w:szCs w:val="24"/>
          <w:lang w:val="bg-BG"/>
        </w:rPr>
        <w:t>оционал</w:t>
      </w:r>
      <w:r w:rsidR="002C559E" w:rsidRPr="00A1146C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8542C" w:rsidRPr="00A1146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2C559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8542C" w:rsidRPr="00A1146C">
        <w:rPr>
          <w:rFonts w:ascii="Times New Roman" w:hAnsi="Times New Roman" w:cs="Times New Roman"/>
          <w:sz w:val="24"/>
          <w:szCs w:val="24"/>
          <w:lang w:val="bg-BG"/>
        </w:rPr>
        <w:t>дистанция</w:t>
      </w:r>
      <w:r w:rsidR="002C559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между себе си и задълженията си (Cordes &amp; Dougherty, 1993).</w:t>
      </w:r>
      <w:r w:rsidR="00BB032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Дехуманизацията се характеризира и като негативно, цинично или прекомерно откъснато поведени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BB032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8542C" w:rsidRPr="00A1146C">
        <w:rPr>
          <w:rFonts w:ascii="Times New Roman" w:hAnsi="Times New Roman" w:cs="Times New Roman"/>
          <w:sz w:val="24"/>
          <w:szCs w:val="24"/>
          <w:lang w:val="bg-BG"/>
        </w:rPr>
        <w:t>спрямо</w:t>
      </w:r>
      <w:r w:rsidR="00BB032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други членове на организацията </w:t>
      </w:r>
      <w:r w:rsidR="0014753A" w:rsidRPr="006151B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или клиенти </w:t>
      </w:r>
      <w:r w:rsidR="00BB032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 по този начин </w:t>
      </w:r>
      <w:r w:rsidR="0078542C" w:rsidRPr="00A1146C">
        <w:rPr>
          <w:rFonts w:ascii="Times New Roman" w:hAnsi="Times New Roman" w:cs="Times New Roman"/>
          <w:sz w:val="24"/>
          <w:szCs w:val="24"/>
          <w:lang w:val="bg-BG"/>
        </w:rPr>
        <w:t>дефинира</w:t>
      </w:r>
      <w:r w:rsidR="00BB032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междуличностния компонент на бърнаут</w:t>
      </w:r>
      <w:r w:rsidR="0078542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B032D" w:rsidRPr="00A1146C">
        <w:rPr>
          <w:rFonts w:ascii="Times New Roman" w:hAnsi="Times New Roman" w:cs="Times New Roman"/>
          <w:sz w:val="24"/>
          <w:szCs w:val="24"/>
          <w:lang w:val="bg-BG"/>
        </w:rPr>
        <w:t>(Shirom, 2003).</w:t>
      </w:r>
    </w:p>
    <w:p w14:paraId="5F350B94" w14:textId="18A1BF56" w:rsidR="000428E7" w:rsidRPr="00A1146C" w:rsidRDefault="000638C5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Намален</w:t>
      </w:r>
      <w:r w:rsidR="00C2027E" w:rsidRPr="00A1146C">
        <w:rPr>
          <w:rFonts w:ascii="Times New Roman" w:hAnsi="Times New Roman" w:cs="Times New Roman"/>
          <w:b/>
          <w:sz w:val="24"/>
          <w:szCs w:val="24"/>
          <w:lang w:val="bg-BG"/>
        </w:rPr>
        <w:t>а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т</w:t>
      </w:r>
      <w:r w:rsidR="00C2027E" w:rsidRPr="00A1146C">
        <w:rPr>
          <w:rFonts w:ascii="Times New Roman" w:hAnsi="Times New Roman" w:cs="Times New Roman"/>
          <w:b/>
          <w:sz w:val="24"/>
          <w:szCs w:val="24"/>
          <w:lang w:val="bg-BG"/>
        </w:rPr>
        <w:t>а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C2027E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работоспособност или 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лично постижение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третото измерение на </w:t>
      </w:r>
      <w:r w:rsidR="00C2027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синдрома бърнаут, включва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чувства на ограничена компетентност и липса на постижения на работното място. Намалената професионална ефикасност може също да намали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доверието в способността на човек да изпълнява задълженията си в работата (Maslach </w:t>
      </w:r>
      <w:r w:rsidR="00B431D2" w:rsidRPr="00A1146C">
        <w:rPr>
          <w:rFonts w:ascii="Times New Roman" w:hAnsi="Times New Roman" w:cs="Times New Roman"/>
          <w:sz w:val="24"/>
          <w:szCs w:val="24"/>
          <w:lang w:val="bg-BG"/>
        </w:rPr>
        <w:t>&amp;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Leiter, 2008).</w:t>
      </w:r>
    </w:p>
    <w:p w14:paraId="72F60267" w14:textId="71BE356E" w:rsidR="00503DFB" w:rsidRPr="00A1146C" w:rsidRDefault="00CB2C1E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Поради тези причини,</w:t>
      </w:r>
      <w:r w:rsidR="000638C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2027E" w:rsidRPr="00A1146C">
        <w:rPr>
          <w:rFonts w:ascii="Times New Roman" w:hAnsi="Times New Roman" w:cs="Times New Roman"/>
          <w:sz w:val="24"/>
          <w:szCs w:val="24"/>
          <w:lang w:val="bg-BG"/>
        </w:rPr>
        <w:t>бърнаут се счита за</w:t>
      </w:r>
      <w:r w:rsidR="00555EC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D59" w:rsidRPr="00A1146C">
        <w:rPr>
          <w:rFonts w:ascii="Times New Roman" w:hAnsi="Times New Roman" w:cs="Times New Roman"/>
          <w:sz w:val="24"/>
          <w:szCs w:val="24"/>
          <w:lang w:val="bg-BG"/>
        </w:rPr>
        <w:t>психологическия</w:t>
      </w:r>
      <w:r w:rsidR="00555EC1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555EC1" w:rsidRPr="00A1146C">
        <w:rPr>
          <w:rFonts w:ascii="Times New Roman" w:hAnsi="Times New Roman" w:cs="Times New Roman"/>
          <w:sz w:val="24"/>
          <w:szCs w:val="24"/>
          <w:lang w:val="bg-BG"/>
        </w:rPr>
        <w:t>отговор на</w:t>
      </w:r>
      <w:r w:rsidR="000638C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хроничния стрес от работата</w:t>
      </w:r>
      <w:r w:rsidR="00C2027E" w:rsidRPr="00A1146C">
        <w:rPr>
          <w:rFonts w:ascii="Times New Roman" w:hAnsi="Times New Roman" w:cs="Times New Roman"/>
          <w:sz w:val="24"/>
          <w:szCs w:val="24"/>
          <w:lang w:val="bg-BG"/>
        </w:rPr>
        <w:t>, който</w:t>
      </w:r>
      <w:r w:rsidR="000638C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води до емоционално изтощение, </w:t>
      </w:r>
      <w:r w:rsidR="00DF0AD7" w:rsidRPr="00A1146C">
        <w:rPr>
          <w:rFonts w:ascii="Times New Roman" w:hAnsi="Times New Roman" w:cs="Times New Roman"/>
          <w:sz w:val="24"/>
          <w:szCs w:val="24"/>
          <w:lang w:val="bg-BG"/>
        </w:rPr>
        <w:t>дехуманизация</w:t>
      </w:r>
      <w:r w:rsidR="000638C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намалена работоспособност</w:t>
      </w:r>
      <w:r w:rsidR="00C2027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07D9C" w:rsidRPr="00A1146C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2556E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рез </w:t>
      </w:r>
      <w:r w:rsidR="00CF72D3" w:rsidRPr="00A1146C">
        <w:rPr>
          <w:rFonts w:ascii="Times New Roman" w:hAnsi="Times New Roman" w:cs="Times New Roman"/>
          <w:sz w:val="24"/>
          <w:szCs w:val="24"/>
          <w:lang w:val="bg-BG"/>
        </w:rPr>
        <w:t>изминалите</w:t>
      </w:r>
      <w:r w:rsidR="002556E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40 години</w:t>
      </w:r>
      <w:r w:rsidR="00CF72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4FA5">
        <w:rPr>
          <w:rFonts w:ascii="Times New Roman" w:hAnsi="Times New Roman" w:cs="Times New Roman"/>
          <w:sz w:val="24"/>
          <w:szCs w:val="24"/>
          <w:lang w:val="bg-BG"/>
        </w:rPr>
        <w:t>явлението</w:t>
      </w:r>
      <w:r w:rsidR="00CF72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бърнаут подлежи на задълбочено проучване, което </w:t>
      </w:r>
      <w:r w:rsidR="00A07D9C" w:rsidRPr="00A1146C">
        <w:rPr>
          <w:rFonts w:ascii="Times New Roman" w:hAnsi="Times New Roman" w:cs="Times New Roman"/>
          <w:sz w:val="24"/>
          <w:szCs w:val="24"/>
          <w:lang w:val="bg-BG"/>
        </w:rPr>
        <w:t>определя</w:t>
      </w:r>
      <w:r w:rsidR="00CF72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неговата сложност, поставяйки индивидуалните стресови преживявания в контекста на организацията и отношението на хората към тяхната работа</w:t>
      </w:r>
      <w:r w:rsidR="00084FA5">
        <w:rPr>
          <w:rFonts w:ascii="Times New Roman" w:hAnsi="Times New Roman" w:cs="Times New Roman"/>
          <w:sz w:val="24"/>
          <w:szCs w:val="24"/>
          <w:lang w:val="bg-BG"/>
        </w:rPr>
        <w:t xml:space="preserve"> като ключови фактори</w:t>
      </w:r>
      <w:r w:rsidR="00CF72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(Maslach </w:t>
      </w:r>
      <w:r w:rsidR="00687ECE" w:rsidRPr="00A1146C">
        <w:rPr>
          <w:rFonts w:ascii="Times New Roman" w:hAnsi="Times New Roman" w:cs="Times New Roman"/>
          <w:sz w:val="24"/>
          <w:szCs w:val="24"/>
          <w:lang w:val="bg-BG"/>
        </w:rPr>
        <w:t>&amp;</w:t>
      </w:r>
      <w:r w:rsidR="00CF72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Schaufeli, 2001).</w:t>
      </w:r>
      <w:r w:rsidR="00A07D9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2027E" w:rsidRPr="00A1146C">
        <w:rPr>
          <w:rFonts w:ascii="Times New Roman" w:hAnsi="Times New Roman" w:cs="Times New Roman"/>
          <w:sz w:val="24"/>
          <w:szCs w:val="24"/>
          <w:lang w:val="bg-BG"/>
        </w:rPr>
        <w:t>Проучвания показват, че бърнаут може да се появи сред професии извън здравния и образователен сектор, които се считат за основните рискови групи.</w:t>
      </w:r>
    </w:p>
    <w:p w14:paraId="62C70F8B" w14:textId="17DB623C" w:rsidR="008D36E9" w:rsidRPr="00A1146C" w:rsidRDefault="006C7BFC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Разбирането на същността на бърнаут синдрома налага ясното му разграничаване от сходни състояния </w:t>
      </w:r>
      <w:r w:rsidR="00A01413" w:rsidRPr="00A1146C">
        <w:rPr>
          <w:rFonts w:ascii="Times New Roman" w:hAnsi="Times New Roman" w:cs="Times New Roman"/>
          <w:sz w:val="24"/>
          <w:szCs w:val="24"/>
          <w:lang w:val="bg-BG"/>
        </w:rPr>
        <w:t>като лошо психично здраве, депресия, психично насилие и други</w:t>
      </w:r>
      <w:r w:rsidR="00503DFB" w:rsidRPr="00A1146C">
        <w:rPr>
          <w:rFonts w:ascii="Times New Roman" w:hAnsi="Times New Roman" w:cs="Times New Roman"/>
          <w:sz w:val="24"/>
          <w:szCs w:val="24"/>
          <w:lang w:val="bg-BG"/>
        </w:rPr>
        <w:t>, но</w:t>
      </w:r>
      <w:r w:rsidR="002036C6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за разлика от тези общи психични проблеми, бърнаут е пряко свързан със специфичната работна среда и трудовата дейност (</w:t>
      </w:r>
      <w:r w:rsidR="00131078" w:rsidRPr="00A1146C">
        <w:rPr>
          <w:rFonts w:ascii="Times New Roman" w:hAnsi="Times New Roman" w:cs="Times New Roman"/>
          <w:sz w:val="24"/>
          <w:szCs w:val="24"/>
          <w:lang w:val="bg-BG"/>
        </w:rPr>
        <w:t>Ценова</w:t>
      </w:r>
      <w:r w:rsidR="002036C6" w:rsidRPr="00A1146C">
        <w:rPr>
          <w:rFonts w:ascii="Times New Roman" w:hAnsi="Times New Roman" w:cs="Times New Roman"/>
          <w:sz w:val="24"/>
          <w:szCs w:val="24"/>
          <w:lang w:val="bg-BG"/>
        </w:rPr>
        <w:t>, 2001).</w:t>
      </w:r>
      <w:r w:rsidR="00503DF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Многобройни изследвания потвърждават, че една от трите </w:t>
      </w:r>
      <w:r w:rsidR="00E41067" w:rsidRPr="00A1146C">
        <w:rPr>
          <w:rFonts w:ascii="Times New Roman" w:hAnsi="Times New Roman" w:cs="Times New Roman"/>
          <w:sz w:val="24"/>
          <w:szCs w:val="24"/>
          <w:lang w:val="bg-BG"/>
        </w:rPr>
        <w:t>основни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причини за 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появата на 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>бърнаут е претоварването. Така наречените „</w:t>
      </w:r>
      <w:r w:rsidR="00B8090C" w:rsidRPr="00A1146C">
        <w:rPr>
          <w:rFonts w:ascii="Times New Roman" w:hAnsi="Times New Roman" w:cs="Times New Roman"/>
          <w:b/>
          <w:sz w:val="24"/>
          <w:szCs w:val="24"/>
          <w:lang w:val="bg-BG"/>
        </w:rPr>
        <w:t>изискващи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>“ роли и професии, характеризиращи се с количеството и обема на работа, налага</w:t>
      </w:r>
      <w:r w:rsidR="00E41067" w:rsidRPr="00A1146C">
        <w:rPr>
          <w:rFonts w:ascii="Times New Roman" w:hAnsi="Times New Roman" w:cs="Times New Roman"/>
          <w:sz w:val="24"/>
          <w:szCs w:val="24"/>
          <w:lang w:val="bg-BG"/>
        </w:rPr>
        <w:t>щ</w:t>
      </w:r>
      <w:r w:rsidR="00EE372B"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изпълнение в кратък период от време</w:t>
      </w:r>
      <w:r w:rsidR="00E41067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са</w:t>
      </w:r>
      <w:r w:rsidR="00E4106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сред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E372B" w:rsidRPr="00A1146C">
        <w:rPr>
          <w:rFonts w:ascii="Times New Roman" w:hAnsi="Times New Roman" w:cs="Times New Roman"/>
          <w:sz w:val="24"/>
          <w:szCs w:val="24"/>
          <w:lang w:val="bg-BG"/>
        </w:rPr>
        <w:t>основни</w:t>
      </w:r>
      <w:r w:rsidR="00E41067" w:rsidRPr="00A1146C">
        <w:rPr>
          <w:rFonts w:ascii="Times New Roman" w:hAnsi="Times New Roman" w:cs="Times New Roman"/>
          <w:sz w:val="24"/>
          <w:szCs w:val="24"/>
          <w:lang w:val="bg-BG"/>
        </w:rPr>
        <w:t>те причини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="00E41067" w:rsidRPr="00A1146C">
        <w:rPr>
          <w:rFonts w:ascii="Times New Roman" w:hAnsi="Times New Roman" w:cs="Times New Roman"/>
          <w:sz w:val="24"/>
          <w:szCs w:val="24"/>
          <w:lang w:val="bg-BG"/>
        </w:rPr>
        <w:t>появата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 бърнаут. Липсата на подходяща подкрепа от </w:t>
      </w:r>
      <w:r w:rsidR="002236B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лица, изпълняващи </w:t>
      </w:r>
      <w:r w:rsidR="00B8090C" w:rsidRPr="00A1146C">
        <w:rPr>
          <w:rFonts w:ascii="Times New Roman" w:hAnsi="Times New Roman" w:cs="Times New Roman"/>
          <w:sz w:val="24"/>
          <w:szCs w:val="24"/>
          <w:lang w:val="bg-BG"/>
        </w:rPr>
        <w:t>ръковод</w:t>
      </w:r>
      <w:r w:rsidR="00EE372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ни роли, както и извършването на дейности с ограничение над вземането на решения, също са основни предпоставки за появата на </w:t>
      </w:r>
      <w:r w:rsidR="00E4106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синдрома </w:t>
      </w:r>
      <w:r w:rsidR="00EE372B" w:rsidRPr="00A1146C">
        <w:rPr>
          <w:rFonts w:ascii="Times New Roman" w:hAnsi="Times New Roman" w:cs="Times New Roman"/>
          <w:sz w:val="24"/>
          <w:szCs w:val="24"/>
          <w:lang w:val="bg-BG"/>
        </w:rPr>
        <w:t>бърнаут</w:t>
      </w:r>
      <w:r w:rsidR="00E4106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E372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(Maslach </w:t>
      </w:r>
      <w:r w:rsidR="00687ECE" w:rsidRPr="00A1146C">
        <w:rPr>
          <w:rFonts w:ascii="Times New Roman" w:hAnsi="Times New Roman" w:cs="Times New Roman"/>
          <w:sz w:val="24"/>
          <w:szCs w:val="24"/>
          <w:lang w:val="bg-BG"/>
        </w:rPr>
        <w:t>&amp;</w:t>
      </w:r>
      <w:r w:rsidR="00EE372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Schaufeli, 2001).</w:t>
      </w:r>
    </w:p>
    <w:p w14:paraId="09AC3784" w14:textId="33816677" w:rsidR="008D36E9" w:rsidRPr="00A1146C" w:rsidRDefault="008735CD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С оглед на голямото количество изследвания, става ясно, че б</w:t>
      </w:r>
      <w:r w:rsidR="000337D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ърнаут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има пряка връзка с </w:t>
      </w:r>
      <w:r w:rsidRPr="00A1146C">
        <w:rPr>
          <w:rFonts w:ascii="Times New Roman" w:hAnsi="Times New Roman" w:cs="Times New Roman"/>
          <w:b/>
          <w:i/>
          <w:sz w:val="24"/>
          <w:szCs w:val="24"/>
          <w:lang w:val="bg-BG"/>
        </w:rPr>
        <w:t>неудовлетвореността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от труда. Корелационни коефициенти с нива 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40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-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52 пряко онагледяват това</w:t>
      </w:r>
      <w:r w:rsidR="000337D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твърдение, но все още не става ясно какво се корени в тази връзка – дали бърнаут кара хората да са неудовлетворени от работата си, или спад в удовлетвореността е предпоставка за появата на бърнаут (</w:t>
      </w:r>
      <w:r w:rsidR="00131078" w:rsidRPr="00A1146C">
        <w:rPr>
          <w:rFonts w:ascii="Times New Roman" w:hAnsi="Times New Roman" w:cs="Times New Roman"/>
          <w:sz w:val="24"/>
          <w:szCs w:val="24"/>
          <w:lang w:val="bg-BG"/>
        </w:rPr>
        <w:t>Ценова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2001</w:t>
      </w:r>
      <w:r w:rsidR="00986853" w:rsidRPr="00A1146C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14:paraId="2EDA8BA3" w14:textId="31707138" w:rsidR="00CF0264" w:rsidRPr="00A1146C" w:rsidRDefault="00B44A81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Според Ценова (2001), с</w:t>
      </w:r>
      <w:r w:rsidR="008D36E9" w:rsidRPr="00A1146C">
        <w:rPr>
          <w:rFonts w:ascii="Times New Roman" w:hAnsi="Times New Roman" w:cs="Times New Roman"/>
          <w:sz w:val="24"/>
          <w:szCs w:val="24"/>
          <w:lang w:val="bg-BG"/>
        </w:rPr>
        <w:t>ъвременната теоре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>тична рамка на бърнаут синдрома</w:t>
      </w:r>
      <w:r w:rsidR="008D36E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ясно интегрира ситуационни факт</w:t>
      </w:r>
      <w:r w:rsidR="009B2D2F" w:rsidRPr="00A1146C">
        <w:rPr>
          <w:rFonts w:ascii="Times New Roman" w:hAnsi="Times New Roman" w:cs="Times New Roman"/>
          <w:sz w:val="24"/>
          <w:szCs w:val="24"/>
          <w:lang w:val="bg-BG"/>
        </w:rPr>
        <w:t>ори на базата на модела „работа-</w:t>
      </w:r>
      <w:r w:rsidR="008D36E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личност“ с фокус върху </w:t>
      </w:r>
      <w:r w:rsidR="008D36E9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симбиозата между служителя и </w:t>
      </w:r>
      <w:r w:rsidR="008D36E9" w:rsidRPr="00A1146C">
        <w:rPr>
          <w:rFonts w:ascii="Times New Roman" w:hAnsi="Times New Roman" w:cs="Times New Roman"/>
          <w:b/>
          <w:i/>
          <w:sz w:val="24"/>
          <w:szCs w:val="24"/>
          <w:lang w:val="bg-BG"/>
        </w:rPr>
        <w:t>шест ключови области на работната среда</w:t>
      </w:r>
      <w:r w:rsidR="008D36E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7B7D70" w:rsidRPr="00A1146C">
        <w:rPr>
          <w:rFonts w:ascii="Times New Roman" w:hAnsi="Times New Roman" w:cs="Times New Roman"/>
          <w:i/>
          <w:sz w:val="24"/>
          <w:szCs w:val="24"/>
          <w:lang w:val="bg-BG"/>
        </w:rPr>
        <w:t xml:space="preserve">трудово натоварване, контрол, </w:t>
      </w:r>
      <w:r w:rsidR="00682E3E" w:rsidRPr="00A1146C">
        <w:rPr>
          <w:rFonts w:ascii="Times New Roman" w:hAnsi="Times New Roman" w:cs="Times New Roman"/>
          <w:i/>
          <w:sz w:val="24"/>
          <w:szCs w:val="24"/>
          <w:lang w:val="bg-BG"/>
        </w:rPr>
        <w:t>(</w:t>
      </w:r>
      <w:r w:rsidR="007B7D70" w:rsidRPr="00A1146C">
        <w:rPr>
          <w:rFonts w:ascii="Times New Roman" w:hAnsi="Times New Roman" w:cs="Times New Roman"/>
          <w:i/>
          <w:sz w:val="24"/>
          <w:szCs w:val="24"/>
          <w:lang w:val="bg-BG"/>
        </w:rPr>
        <w:t>въз</w:t>
      </w:r>
      <w:r w:rsidR="00682E3E" w:rsidRPr="00A1146C">
        <w:rPr>
          <w:rFonts w:ascii="Times New Roman" w:hAnsi="Times New Roman" w:cs="Times New Roman"/>
          <w:i/>
          <w:sz w:val="24"/>
          <w:szCs w:val="24"/>
          <w:lang w:val="bg-BG"/>
        </w:rPr>
        <w:t>)</w:t>
      </w:r>
      <w:r w:rsidR="007B7D70" w:rsidRPr="00A1146C">
        <w:rPr>
          <w:rFonts w:ascii="Times New Roman" w:hAnsi="Times New Roman" w:cs="Times New Roman"/>
          <w:i/>
          <w:sz w:val="24"/>
          <w:szCs w:val="24"/>
          <w:lang w:val="bg-BG"/>
        </w:rPr>
        <w:t>награждаване, общност и справедливост и ценности</w:t>
      </w:r>
      <w:r w:rsidR="007B7D70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0BA1F0C" w14:textId="5512A7BB" w:rsidR="008C24A1" w:rsidRPr="00637669" w:rsidRDefault="008C24A1" w:rsidP="008C24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оред </w:t>
      </w:r>
      <w:r w:rsidR="00E60BF5" w:rsidRPr="00EF10DB">
        <w:rPr>
          <w:rFonts w:ascii="Times New Roman" w:hAnsi="Times New Roman" w:cs="Times New Roman"/>
          <w:sz w:val="24"/>
          <w:szCs w:val="24"/>
          <w:lang w:val="bg-BG"/>
        </w:rPr>
        <w:t>Shanafelt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(2018)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>, появата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бърнаут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е следствие от социален, културен и технологичен натиск, който засяга професионалната среда като цяло.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Съществуват индивидуални р</w:t>
      </w:r>
      <w:r w:rsidR="00C347B0">
        <w:rPr>
          <w:rFonts w:ascii="Times New Roman" w:hAnsi="Times New Roman" w:cs="Times New Roman"/>
          <w:sz w:val="24"/>
          <w:szCs w:val="24"/>
          <w:lang w:val="bg-BG"/>
        </w:rPr>
        <w:t>азличия в очакванията на хората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спрямо </w:t>
      </w:r>
      <w:r w:rsidR="00B44A81">
        <w:rPr>
          <w:rFonts w:ascii="Times New Roman" w:hAnsi="Times New Roman" w:cs="Times New Roman"/>
          <w:sz w:val="24"/>
          <w:szCs w:val="24"/>
          <w:lang w:val="bg-BG"/>
        </w:rPr>
        <w:t>тяхната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работа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. В някои случаи тези очаквания са много високи, както по отношение на естеството на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самата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 работата</w:t>
      </w:r>
      <w:r w:rsidR="00C347B0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напр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имер работата трябва да </w:t>
      </w:r>
      <w:r w:rsidR="00B44A81">
        <w:rPr>
          <w:rFonts w:ascii="Times New Roman" w:hAnsi="Times New Roman" w:cs="Times New Roman"/>
          <w:sz w:val="24"/>
          <w:szCs w:val="24"/>
          <w:lang w:val="bg-BG"/>
        </w:rPr>
        <w:t>бъде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ълнуващ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, предизвикател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, забавн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а, т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ака и по отношение на вероятността за постигане на успех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апр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имер, постигане на високи резултати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реализиране на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53DCC">
        <w:rPr>
          <w:rFonts w:ascii="Times New Roman" w:hAnsi="Times New Roman" w:cs="Times New Roman"/>
          <w:sz w:val="24"/>
          <w:szCs w:val="24"/>
          <w:lang w:val="bg-BG"/>
        </w:rPr>
        <w:t>повишение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и други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. Независимо дали такива високи очаквания се считат за идеалистични или нереалистични, една от хипотезите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E60BF5">
        <w:rPr>
          <w:rFonts w:ascii="Times New Roman" w:hAnsi="Times New Roman" w:cs="Times New Roman"/>
          <w:sz w:val="24"/>
          <w:szCs w:val="24"/>
        </w:rPr>
        <w:t>Maslach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(2001) 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е, че те са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предпоставка за появата на бърнаут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Авторката предполага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, че високите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работни 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>очаквания карат хората да работят твърде много</w:t>
      </w:r>
      <w:r w:rsidR="00353DC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53DCC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огато </w:t>
      </w:r>
      <w:r w:rsidR="00B77CDD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олемите усилия не водят до очаквани резултати, много бързо се достига до степен на</w:t>
      </w:r>
      <w:r w:rsidR="00E60BF5" w:rsidRPr="006E0747">
        <w:rPr>
          <w:rFonts w:ascii="Times New Roman" w:hAnsi="Times New Roman" w:cs="Times New Roman"/>
          <w:sz w:val="24"/>
          <w:szCs w:val="24"/>
          <w:lang w:val="bg-BG"/>
        </w:rPr>
        <w:t xml:space="preserve"> изтощение и евентуален цинизъм.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Следователно</w:t>
      </w:r>
      <w:r w:rsidR="00C347B0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о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питите за справяне с проблема трябва да целят </w:t>
      </w:r>
      <w:r w:rsidR="00353DCC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>високо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професионално изпълнение, а не просто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облекчаване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A2DA3">
        <w:rPr>
          <w:rFonts w:ascii="Times New Roman" w:hAnsi="Times New Roman" w:cs="Times New Roman"/>
          <w:sz w:val="24"/>
          <w:szCs w:val="24"/>
          <w:lang w:val="bg-BG"/>
        </w:rPr>
        <w:t xml:space="preserve">бърнаут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симптомите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Това означава, че до голяма степен бърнаут е организационен проблем. Допълнително, о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рганизационният контекст се формира и от по-големи социални, културни и икономически сили.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В актуалната кризисна обстановка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 множество о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рганизации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преминават през значителни 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промени, като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стесняване и намаляване на бизнеса. Всичко това води до съкращения на персонал, което безспорно оказва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силно 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>въздействие върх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 xml:space="preserve">у </w:t>
      </w:r>
      <w:r w:rsidR="00E60BF5" w:rsidRPr="00A1146C">
        <w:rPr>
          <w:rFonts w:ascii="Times New Roman" w:hAnsi="Times New Roman" w:cs="Times New Roman"/>
          <w:sz w:val="24"/>
          <w:szCs w:val="24"/>
          <w:lang w:val="bg-BG"/>
        </w:rPr>
        <w:t>служители</w:t>
      </w:r>
      <w:r w:rsidR="00E60BF5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A87C3A" w:rsidRPr="007265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7C3A">
        <w:rPr>
          <w:rFonts w:ascii="Times New Roman" w:hAnsi="Times New Roman" w:cs="Times New Roman"/>
          <w:sz w:val="24"/>
          <w:szCs w:val="24"/>
          <w:lang w:val="bg-BG"/>
        </w:rPr>
        <w:t>и допълнително поставя акцент върху управлението на фирмените политики</w:t>
      </w:r>
      <w:r w:rsidR="00FA2DA3">
        <w:rPr>
          <w:rFonts w:ascii="Times New Roman" w:hAnsi="Times New Roman" w:cs="Times New Roman"/>
          <w:sz w:val="24"/>
          <w:szCs w:val="24"/>
          <w:lang w:val="bg-BG"/>
        </w:rPr>
        <w:t xml:space="preserve"> и външната икономическа подкрепа от страна на държавата към цели социални и икономически сектори.</w:t>
      </w:r>
    </w:p>
    <w:p w14:paraId="6FEAFC86" w14:textId="65E06418" w:rsidR="000E4E1A" w:rsidRDefault="007F0E33" w:rsidP="00A411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Предходни и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>зследвания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свързани с взаимодействието на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347B0" w:rsidRPr="006151B0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чертите от модела на </w:t>
      </w:r>
      <w:r w:rsidR="00C347B0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>ол</w:t>
      </w:r>
      <w:r w:rsidR="00A4117D">
        <w:rPr>
          <w:rFonts w:ascii="Times New Roman" w:hAnsi="Times New Roman" w:cs="Times New Roman"/>
          <w:sz w:val="24"/>
          <w:szCs w:val="24"/>
          <w:lang w:val="bg-BG"/>
        </w:rPr>
        <w:t xml:space="preserve">емите </w:t>
      </w:r>
      <w:r w:rsidR="00EA50F6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A4117D">
        <w:rPr>
          <w:rFonts w:ascii="Times New Roman" w:hAnsi="Times New Roman" w:cs="Times New Roman"/>
          <w:sz w:val="24"/>
          <w:szCs w:val="24"/>
          <w:lang w:val="bg-BG"/>
        </w:rPr>
        <w:t xml:space="preserve">ет </w:t>
      </w:r>
      <w:r>
        <w:rPr>
          <w:rFonts w:ascii="Times New Roman" w:hAnsi="Times New Roman" w:cs="Times New Roman"/>
          <w:sz w:val="24"/>
          <w:szCs w:val="24"/>
          <w:lang w:val="bg-BG"/>
        </w:rPr>
        <w:t>и бърнаут показват</w:t>
      </w:r>
      <w:r w:rsidR="00A4117D">
        <w:rPr>
          <w:rFonts w:ascii="Times New Roman" w:hAnsi="Times New Roman" w:cs="Times New Roman"/>
          <w:sz w:val="24"/>
          <w:szCs w:val="24"/>
          <w:lang w:val="bg-BG"/>
        </w:rPr>
        <w:t xml:space="preserve"> силно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влияние на чертата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 невротиз</w:t>
      </w:r>
      <w:r>
        <w:rPr>
          <w:rFonts w:ascii="Times New Roman" w:hAnsi="Times New Roman" w:cs="Times New Roman"/>
          <w:sz w:val="24"/>
          <w:szCs w:val="24"/>
          <w:lang w:val="bg-BG"/>
        </w:rPr>
        <w:t>ъм</w:t>
      </w:r>
      <w:r w:rsidR="00A4117D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A4117D">
        <w:rPr>
          <w:rFonts w:ascii="Times New Roman" w:hAnsi="Times New Roman" w:cs="Times New Roman"/>
          <w:sz w:val="24"/>
          <w:szCs w:val="24"/>
        </w:rPr>
        <w:t>Maslach</w:t>
      </w:r>
      <w:r w:rsidR="00A4117D" w:rsidRPr="00726525">
        <w:rPr>
          <w:rFonts w:ascii="Times New Roman" w:hAnsi="Times New Roman" w:cs="Times New Roman"/>
          <w:sz w:val="24"/>
          <w:szCs w:val="24"/>
          <w:lang w:val="ru-RU"/>
        </w:rPr>
        <w:t>, 2001</w:t>
      </w:r>
      <w:r w:rsidR="00A4117D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. Невротизмът включва </w:t>
      </w:r>
      <w:r w:rsidR="00581D61">
        <w:rPr>
          <w:rFonts w:ascii="Times New Roman" w:hAnsi="Times New Roman" w:cs="Times New Roman"/>
          <w:sz w:val="24"/>
          <w:szCs w:val="24"/>
          <w:lang w:val="bg-BG"/>
        </w:rPr>
        <w:t xml:space="preserve">състояния </w:t>
      </w:r>
      <w:r w:rsidR="00AD41A5">
        <w:rPr>
          <w:rFonts w:ascii="Times New Roman" w:hAnsi="Times New Roman" w:cs="Times New Roman"/>
          <w:sz w:val="24"/>
          <w:szCs w:val="24"/>
          <w:lang w:val="bg-BG"/>
        </w:rPr>
        <w:t>като</w:t>
      </w:r>
      <w:r w:rsidR="00581D6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>тревожност, враждебност и уязвимост</w:t>
      </w:r>
      <w:r w:rsidR="00AD41A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D41A5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евротичните </w:t>
      </w:r>
      <w:r w:rsidR="00581D61">
        <w:rPr>
          <w:rFonts w:ascii="Times New Roman" w:hAnsi="Times New Roman" w:cs="Times New Roman"/>
          <w:sz w:val="24"/>
          <w:szCs w:val="24"/>
          <w:lang w:val="bg-BG"/>
        </w:rPr>
        <w:t>личности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 са емоционално нестабилни и </w:t>
      </w:r>
      <w:r w:rsidR="00581D61">
        <w:rPr>
          <w:rFonts w:ascii="Times New Roman" w:hAnsi="Times New Roman" w:cs="Times New Roman"/>
          <w:sz w:val="24"/>
          <w:szCs w:val="24"/>
          <w:lang w:val="bg-BG"/>
        </w:rPr>
        <w:t>податливи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81D61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A4117D" w:rsidRPr="00A4117D">
        <w:rPr>
          <w:rFonts w:ascii="Times New Roman" w:hAnsi="Times New Roman" w:cs="Times New Roman"/>
          <w:sz w:val="24"/>
          <w:szCs w:val="24"/>
          <w:lang w:val="bg-BG"/>
        </w:rPr>
        <w:t xml:space="preserve"> психологически стрес.</w:t>
      </w:r>
      <w:r w:rsidR="00A92980" w:rsidRPr="007265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51B0">
        <w:rPr>
          <w:rFonts w:ascii="Times New Roman" w:hAnsi="Times New Roman" w:cs="Times New Roman"/>
          <w:sz w:val="24"/>
          <w:szCs w:val="24"/>
          <w:lang w:val="bg-BG"/>
        </w:rPr>
        <w:t>Тези допускания служат за формиране на хипотеза 1</w:t>
      </w:r>
      <w:r w:rsidR="000E4E1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E755AE7" w14:textId="2210A089" w:rsidR="00F1295E" w:rsidRPr="00726525" w:rsidRDefault="00E14526" w:rsidP="00C27A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От перспективата на работната удовлетвореност, </w:t>
      </w:r>
      <w:r w:rsidR="00C27AC8" w:rsidRPr="00C27AC8">
        <w:rPr>
          <w:rFonts w:ascii="Times New Roman" w:hAnsi="Times New Roman" w:cs="Times New Roman"/>
          <w:sz w:val="24"/>
          <w:szCs w:val="24"/>
          <w:lang w:val="bg-BG"/>
        </w:rPr>
        <w:t xml:space="preserve">Iverson 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>и сътрудници</w:t>
      </w:r>
      <w:r w:rsidR="00C27AC8" w:rsidRPr="00C27AC8">
        <w:rPr>
          <w:rFonts w:ascii="Times New Roman" w:hAnsi="Times New Roman" w:cs="Times New Roman"/>
          <w:sz w:val="24"/>
          <w:szCs w:val="24"/>
          <w:lang w:val="bg-BG"/>
        </w:rPr>
        <w:t xml:space="preserve"> (1998)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 xml:space="preserve"> разработват модел, 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 xml:space="preserve"> който изследват</w:t>
      </w:r>
      <w:r w:rsidR="00C27AC8" w:rsidRPr="00C27A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>връзката на бърнаут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с удовлетвореност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>труда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и отсъстви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от работа. 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>Авторите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установява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>т преки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връзки между удовлетвореност от 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>труда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, организационна ангажираност, 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 xml:space="preserve">текучество на </w:t>
      </w:r>
      <w:r w:rsidR="00450EB7">
        <w:rPr>
          <w:rFonts w:ascii="Times New Roman" w:hAnsi="Times New Roman" w:cs="Times New Roman"/>
          <w:sz w:val="24"/>
          <w:szCs w:val="24"/>
          <w:lang w:val="bg-BG"/>
        </w:rPr>
        <w:t>персонал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>бърнаут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 xml:space="preserve"> Наличието на бърнаут сред служителите, води до повишено о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>тсъствие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 xml:space="preserve"> от работа, което 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>оказва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 xml:space="preserve"> силн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 xml:space="preserve">влияние в работния процес и е 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>източник на смущения за организацията.</w:t>
      </w:r>
      <w:r w:rsidR="00C27AC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7E32">
        <w:rPr>
          <w:rFonts w:ascii="Times New Roman" w:hAnsi="Times New Roman" w:cs="Times New Roman"/>
          <w:sz w:val="24"/>
          <w:szCs w:val="24"/>
          <w:lang w:val="bg-BG"/>
        </w:rPr>
        <w:t>Допълнително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>, авторите твърдят, че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>бърнаут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 xml:space="preserve">е силен предиктор за 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 xml:space="preserve">отсъствие от работа и </w:t>
      </w:r>
      <w:r w:rsidR="00C707BB">
        <w:rPr>
          <w:rFonts w:ascii="Times New Roman" w:hAnsi="Times New Roman" w:cs="Times New Roman"/>
          <w:sz w:val="24"/>
          <w:szCs w:val="24"/>
          <w:lang w:val="bg-BG"/>
        </w:rPr>
        <w:t xml:space="preserve">източник на </w:t>
      </w:r>
      <w:r w:rsidR="004563C9" w:rsidRPr="004563C9">
        <w:rPr>
          <w:rFonts w:ascii="Times New Roman" w:hAnsi="Times New Roman" w:cs="Times New Roman"/>
          <w:sz w:val="24"/>
          <w:szCs w:val="24"/>
          <w:lang w:val="bg-BG"/>
        </w:rPr>
        <w:t>недоволство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77E19" w:rsidRPr="00477E19">
        <w:rPr>
          <w:rFonts w:ascii="Times New Roman" w:hAnsi="Times New Roman" w:cs="Times New Roman"/>
          <w:sz w:val="24"/>
          <w:szCs w:val="24"/>
          <w:lang w:val="bg-BG"/>
        </w:rPr>
        <w:t xml:space="preserve">Тези допускания служат за формиране на хипотеза </w:t>
      </w:r>
      <w:r w:rsidR="00477E19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477E19" w:rsidRPr="00477E1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C1C1DEE" w14:textId="54D972F4" w:rsidR="00AE557A" w:rsidRPr="00726525" w:rsidRDefault="00E14526" w:rsidP="00D409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Що се отнася до здравословните аспекти на хората изпитващи бърнаут, налице са 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>редица ф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>изически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 xml:space="preserve"> и психологически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 xml:space="preserve"> симптоми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>сти са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 xml:space="preserve"> оплакв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>анията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 xml:space="preserve"> от безсъние, 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 xml:space="preserve">мигрена, 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 xml:space="preserve">стомашни 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>проблеми и сърцебиене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122F7A">
        <w:rPr>
          <w:rFonts w:ascii="Times New Roman" w:hAnsi="Times New Roman" w:cs="Times New Roman"/>
          <w:sz w:val="24"/>
          <w:szCs w:val="24"/>
          <w:lang w:val="bg-BG"/>
        </w:rPr>
        <w:t>Съобщава се за п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>ридруж</w:t>
      </w:r>
      <w:r w:rsidR="007A5B00">
        <w:rPr>
          <w:rFonts w:ascii="Times New Roman" w:hAnsi="Times New Roman" w:cs="Times New Roman"/>
          <w:sz w:val="24"/>
          <w:szCs w:val="24"/>
          <w:lang w:val="bg-BG"/>
        </w:rPr>
        <w:t>аващи симптоми като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 xml:space="preserve"> загуба на тегло, депреси</w:t>
      </w:r>
      <w:r w:rsidR="00A96439">
        <w:rPr>
          <w:rFonts w:ascii="Times New Roman" w:hAnsi="Times New Roman" w:cs="Times New Roman"/>
          <w:sz w:val="24"/>
          <w:szCs w:val="24"/>
          <w:lang w:val="bg-BG"/>
        </w:rPr>
        <w:t>вни състояния</w:t>
      </w:r>
      <w:r w:rsidR="007A5B00" w:rsidRPr="007A5B00">
        <w:rPr>
          <w:rFonts w:ascii="Times New Roman" w:hAnsi="Times New Roman" w:cs="Times New Roman"/>
          <w:sz w:val="24"/>
          <w:szCs w:val="24"/>
          <w:lang w:val="bg-BG"/>
        </w:rPr>
        <w:t xml:space="preserve"> и задух</w:t>
      </w:r>
      <w:r w:rsidR="00122F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1295E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F1295E">
        <w:rPr>
          <w:rFonts w:ascii="Times New Roman" w:hAnsi="Times New Roman" w:cs="Times New Roman"/>
          <w:sz w:val="24"/>
          <w:szCs w:val="24"/>
        </w:rPr>
        <w:t>Maslach</w:t>
      </w:r>
      <w:r w:rsidR="00F1295E" w:rsidRPr="00726525">
        <w:rPr>
          <w:rFonts w:ascii="Times New Roman" w:hAnsi="Times New Roman" w:cs="Times New Roman"/>
          <w:sz w:val="24"/>
          <w:szCs w:val="24"/>
          <w:lang w:val="ru-RU"/>
        </w:rPr>
        <w:t>, 2001</w:t>
      </w:r>
      <w:r w:rsidR="00F1295E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1295E" w:rsidRPr="0072652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90CD5">
        <w:rPr>
          <w:rFonts w:ascii="Times New Roman" w:hAnsi="Times New Roman" w:cs="Times New Roman"/>
          <w:sz w:val="24"/>
          <w:szCs w:val="24"/>
          <w:lang w:val="bg-BG"/>
        </w:rPr>
        <w:t xml:space="preserve">В професионално направление, тези симптоми са източник </w:t>
      </w:r>
      <w:r w:rsidR="00990CD5" w:rsidRPr="00990CD5">
        <w:rPr>
          <w:rFonts w:ascii="Times New Roman" w:hAnsi="Times New Roman" w:cs="Times New Roman"/>
          <w:sz w:val="24"/>
          <w:szCs w:val="24"/>
          <w:lang w:val="bg-BG"/>
        </w:rPr>
        <w:t xml:space="preserve">на изтощение </w:t>
      </w:r>
      <w:r w:rsidR="00990CD5">
        <w:rPr>
          <w:rFonts w:ascii="Times New Roman" w:hAnsi="Times New Roman" w:cs="Times New Roman"/>
          <w:sz w:val="24"/>
          <w:szCs w:val="24"/>
          <w:lang w:val="bg-BG"/>
        </w:rPr>
        <w:t xml:space="preserve">и липса на </w:t>
      </w:r>
      <w:r w:rsidR="00990CD5" w:rsidRPr="00990CD5">
        <w:rPr>
          <w:rFonts w:ascii="Times New Roman" w:hAnsi="Times New Roman" w:cs="Times New Roman"/>
          <w:sz w:val="24"/>
          <w:szCs w:val="24"/>
          <w:lang w:val="bg-BG"/>
        </w:rPr>
        <w:t xml:space="preserve">енергия, трудности </w:t>
      </w:r>
      <w:r w:rsidR="00990CD5">
        <w:rPr>
          <w:rFonts w:ascii="Times New Roman" w:hAnsi="Times New Roman" w:cs="Times New Roman"/>
          <w:sz w:val="24"/>
          <w:szCs w:val="24"/>
          <w:lang w:val="bg-BG"/>
        </w:rPr>
        <w:t>при</w:t>
      </w:r>
      <w:r w:rsidR="00990CD5" w:rsidRPr="00990CD5">
        <w:rPr>
          <w:rFonts w:ascii="Times New Roman" w:hAnsi="Times New Roman" w:cs="Times New Roman"/>
          <w:sz w:val="24"/>
          <w:szCs w:val="24"/>
          <w:lang w:val="bg-BG"/>
        </w:rPr>
        <w:t xml:space="preserve"> концентрация, раздразнителност, емоционална нестабилност</w:t>
      </w:r>
      <w:r w:rsidR="00990CD5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990CD5" w:rsidRPr="00990CD5">
        <w:rPr>
          <w:rFonts w:ascii="Times New Roman" w:hAnsi="Times New Roman" w:cs="Times New Roman"/>
          <w:sz w:val="24"/>
          <w:szCs w:val="24"/>
          <w:lang w:val="bg-BG"/>
        </w:rPr>
        <w:t xml:space="preserve"> замаяност. </w:t>
      </w:r>
      <w:r w:rsidR="00990CD5">
        <w:rPr>
          <w:rFonts w:ascii="Times New Roman" w:hAnsi="Times New Roman" w:cs="Times New Roman"/>
          <w:sz w:val="24"/>
          <w:szCs w:val="24"/>
          <w:lang w:val="bg-BG"/>
        </w:rPr>
        <w:t xml:space="preserve">Наличието на тези смущения има </w:t>
      </w:r>
      <w:r w:rsidR="00CD0DBF">
        <w:rPr>
          <w:rFonts w:ascii="Times New Roman" w:hAnsi="Times New Roman" w:cs="Times New Roman"/>
          <w:sz w:val="24"/>
          <w:szCs w:val="24"/>
          <w:lang w:val="bg-BG"/>
        </w:rPr>
        <w:t xml:space="preserve">негативно </w:t>
      </w:r>
      <w:r w:rsidR="00990CD5">
        <w:rPr>
          <w:rFonts w:ascii="Times New Roman" w:hAnsi="Times New Roman" w:cs="Times New Roman"/>
          <w:sz w:val="24"/>
          <w:szCs w:val="24"/>
          <w:lang w:val="bg-BG"/>
        </w:rPr>
        <w:t xml:space="preserve">изражение в </w:t>
      </w:r>
      <w:r w:rsidR="00122F7A">
        <w:rPr>
          <w:rFonts w:ascii="Times New Roman" w:hAnsi="Times New Roman" w:cs="Times New Roman"/>
          <w:sz w:val="24"/>
          <w:szCs w:val="24"/>
          <w:lang w:val="bg-BG"/>
        </w:rPr>
        <w:t>продуктивността и</w:t>
      </w:r>
      <w:r w:rsidR="00CD0DBF">
        <w:rPr>
          <w:rFonts w:ascii="Times New Roman" w:hAnsi="Times New Roman" w:cs="Times New Roman"/>
          <w:sz w:val="24"/>
          <w:szCs w:val="24"/>
          <w:lang w:val="bg-BG"/>
        </w:rPr>
        <w:t xml:space="preserve"> качеството на</w:t>
      </w:r>
      <w:r w:rsidR="00122F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90CD5" w:rsidRPr="00990CD5">
        <w:rPr>
          <w:rFonts w:ascii="Times New Roman" w:hAnsi="Times New Roman" w:cs="Times New Roman"/>
          <w:sz w:val="24"/>
          <w:szCs w:val="24"/>
          <w:lang w:val="bg-BG"/>
        </w:rPr>
        <w:t>изпълн</w:t>
      </w:r>
      <w:r w:rsidR="00990CD5">
        <w:rPr>
          <w:rFonts w:ascii="Times New Roman" w:hAnsi="Times New Roman" w:cs="Times New Roman"/>
          <w:sz w:val="24"/>
          <w:szCs w:val="24"/>
          <w:lang w:val="bg-BG"/>
        </w:rPr>
        <w:t>ение на</w:t>
      </w:r>
      <w:r w:rsidR="00990CD5" w:rsidRPr="00990CD5">
        <w:rPr>
          <w:rFonts w:ascii="Times New Roman" w:hAnsi="Times New Roman" w:cs="Times New Roman"/>
          <w:sz w:val="24"/>
          <w:szCs w:val="24"/>
          <w:lang w:val="bg-BG"/>
        </w:rPr>
        <w:t xml:space="preserve"> работни</w:t>
      </w:r>
      <w:r w:rsidR="00990CD5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990CD5" w:rsidRPr="00990CD5">
        <w:rPr>
          <w:rFonts w:ascii="Times New Roman" w:hAnsi="Times New Roman" w:cs="Times New Roman"/>
          <w:sz w:val="24"/>
          <w:szCs w:val="24"/>
          <w:lang w:val="bg-BG"/>
        </w:rPr>
        <w:t xml:space="preserve"> задължения</w:t>
      </w:r>
      <w:r w:rsidR="00CD0D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784C" w:rsidRPr="0072652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7784C" w:rsidRPr="0037784C">
        <w:rPr>
          <w:rFonts w:ascii="Times New Roman" w:hAnsi="Times New Roman" w:cs="Times New Roman"/>
          <w:sz w:val="24"/>
          <w:szCs w:val="24"/>
        </w:rPr>
        <w:t>Maslach</w:t>
      </w:r>
      <w:r w:rsidR="0037784C" w:rsidRPr="00726525">
        <w:rPr>
          <w:rFonts w:ascii="Times New Roman" w:hAnsi="Times New Roman" w:cs="Times New Roman"/>
          <w:sz w:val="24"/>
          <w:szCs w:val="24"/>
          <w:lang w:val="ru-RU"/>
        </w:rPr>
        <w:t xml:space="preserve"> &amp; </w:t>
      </w:r>
      <w:r w:rsidR="0037784C" w:rsidRPr="0037784C">
        <w:rPr>
          <w:rFonts w:ascii="Times New Roman" w:hAnsi="Times New Roman" w:cs="Times New Roman"/>
          <w:sz w:val="24"/>
          <w:szCs w:val="24"/>
        </w:rPr>
        <w:t>Leiter</w:t>
      </w:r>
      <w:r w:rsidR="0037784C" w:rsidRPr="00726525">
        <w:rPr>
          <w:rFonts w:ascii="Times New Roman" w:hAnsi="Times New Roman" w:cs="Times New Roman"/>
          <w:sz w:val="24"/>
          <w:szCs w:val="24"/>
          <w:lang w:val="ru-RU"/>
        </w:rPr>
        <w:t>, 2016)</w:t>
      </w:r>
      <w:r w:rsidR="00AD41A5" w:rsidRPr="00A4117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12BA709" w14:textId="0475A1C8" w:rsidR="007B7D70" w:rsidRPr="00A1146C" w:rsidRDefault="00865FC4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литературата често се дискутира, че </w:t>
      </w:r>
      <w:r w:rsidR="007B7D7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предпоставка за появата на бърнаут имат и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демографските</w:t>
      </w:r>
      <w:r w:rsidR="007B7D70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фактори</w:t>
      </w:r>
      <w:r w:rsidR="00644694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. </w:t>
      </w:r>
      <w:r w:rsidR="0044313F" w:rsidRPr="00A1146C">
        <w:rPr>
          <w:rFonts w:ascii="Times New Roman" w:hAnsi="Times New Roman" w:cs="Times New Roman"/>
          <w:sz w:val="24"/>
          <w:szCs w:val="24"/>
          <w:lang w:val="bg-BG"/>
        </w:rPr>
        <w:t>Сред</w:t>
      </w:r>
      <w:r w:rsidR="0044313F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44313F" w:rsidRPr="00A1146C">
        <w:rPr>
          <w:rFonts w:ascii="Times New Roman" w:hAnsi="Times New Roman" w:cs="Times New Roman"/>
          <w:sz w:val="24"/>
          <w:szCs w:val="24"/>
          <w:lang w:val="bg-BG"/>
        </w:rPr>
        <w:t>млади</w:t>
      </w:r>
      <w:r w:rsidR="0044313F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44313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служители (под 30 години), нивото на бърнаут е по-високо, отколкото на техни колеги на възраст между 30 и 40 години. Тези данни пряко свидетелстват, че </w:t>
      </w:r>
      <w:r w:rsidR="0044313F" w:rsidRPr="00A1146C">
        <w:rPr>
          <w:rFonts w:ascii="Times New Roman" w:hAnsi="Times New Roman" w:cs="Times New Roman"/>
          <w:b/>
          <w:sz w:val="24"/>
          <w:szCs w:val="24"/>
          <w:lang w:val="bg-BG"/>
        </w:rPr>
        <w:t>в</w:t>
      </w:r>
      <w:r w:rsidR="00644694" w:rsidRPr="00A1146C">
        <w:rPr>
          <w:rFonts w:ascii="Times New Roman" w:hAnsi="Times New Roman" w:cs="Times New Roman"/>
          <w:b/>
          <w:sz w:val="24"/>
          <w:szCs w:val="24"/>
          <w:lang w:val="bg-BG"/>
        </w:rPr>
        <w:t>ъзрастта</w:t>
      </w:r>
      <w:r w:rsidR="00280E2E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корелира </w:t>
      </w:r>
      <w:r w:rsidR="00B16E9B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отрицателно</w:t>
      </w:r>
      <w:r w:rsidR="00280E2E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280E2E" w:rsidRPr="00A1146C">
        <w:rPr>
          <w:rFonts w:ascii="Times New Roman" w:hAnsi="Times New Roman" w:cs="Times New Roman"/>
          <w:sz w:val="24"/>
          <w:szCs w:val="24"/>
          <w:lang w:val="bg-BG"/>
        </w:rPr>
        <w:t>с бърнаут синдрома</w:t>
      </w:r>
      <w:r w:rsidR="0044313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(Maslach &amp; Schaufeli, 2001).</w:t>
      </w:r>
      <w:r w:rsidR="00280E2E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FF3AF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Няма преки данни, които сочат, че </w:t>
      </w:r>
      <w:r w:rsidR="00FF3AFA" w:rsidRPr="00A1146C">
        <w:rPr>
          <w:rFonts w:ascii="Times New Roman" w:hAnsi="Times New Roman" w:cs="Times New Roman"/>
          <w:b/>
          <w:sz w:val="24"/>
          <w:szCs w:val="24"/>
          <w:lang w:val="bg-BG"/>
        </w:rPr>
        <w:t>п</w:t>
      </w:r>
      <w:r w:rsidR="0044313F" w:rsidRPr="00A1146C">
        <w:rPr>
          <w:rFonts w:ascii="Times New Roman" w:hAnsi="Times New Roman" w:cs="Times New Roman"/>
          <w:b/>
          <w:sz w:val="24"/>
          <w:szCs w:val="24"/>
          <w:lang w:val="bg-BG"/>
        </w:rPr>
        <w:t>олови</w:t>
      </w:r>
      <w:r w:rsidR="00FF3AFA" w:rsidRPr="00A1146C">
        <w:rPr>
          <w:rFonts w:ascii="Times New Roman" w:hAnsi="Times New Roman" w:cs="Times New Roman"/>
          <w:b/>
          <w:sz w:val="24"/>
          <w:szCs w:val="24"/>
          <w:lang w:val="bg-BG"/>
        </w:rPr>
        <w:t>те</w:t>
      </w:r>
      <w:r w:rsidR="0044313F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различия </w:t>
      </w:r>
      <w:r w:rsidR="00FF3AFA" w:rsidRPr="00A1146C">
        <w:rPr>
          <w:rFonts w:ascii="Times New Roman" w:hAnsi="Times New Roman" w:cs="Times New Roman"/>
          <w:sz w:val="24"/>
          <w:szCs w:val="24"/>
          <w:lang w:val="bg-BG"/>
        </w:rPr>
        <w:t>могат да бъдат тълкувани като предсказващ фактор за появата на бърнаут.</w:t>
      </w:r>
      <w:r w:rsidR="0049734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23C6E" w:rsidRPr="00A1146C">
        <w:rPr>
          <w:rFonts w:ascii="Times New Roman" w:hAnsi="Times New Roman" w:cs="Times New Roman"/>
          <w:sz w:val="24"/>
          <w:szCs w:val="24"/>
          <w:lang w:val="bg-BG"/>
        </w:rPr>
        <w:t>Кон</w:t>
      </w:r>
      <w:r w:rsidR="00682E3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систентна разлика между </w:t>
      </w:r>
      <w:r w:rsidR="00F23C6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половите резултати се </w:t>
      </w:r>
      <w:r w:rsidR="0044313F" w:rsidRPr="00A1146C">
        <w:rPr>
          <w:rFonts w:ascii="Times New Roman" w:hAnsi="Times New Roman" w:cs="Times New Roman"/>
          <w:sz w:val="24"/>
          <w:szCs w:val="24"/>
          <w:lang w:val="bg-BG"/>
        </w:rPr>
        <w:t>характеризира с по-високо изтощение при жените и по-изразена дехуманизация при мъжете</w:t>
      </w:r>
      <w:r w:rsidR="00F23C6E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16FC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Т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>ези резултати е възможно да са</w:t>
      </w:r>
      <w:r w:rsidR="00016FC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следствие на стереотипи свързани с ролята на половите различия или преплитането на пол с професия (</w:t>
      </w:r>
      <w:r w:rsidR="00131078" w:rsidRPr="00A1146C">
        <w:rPr>
          <w:rFonts w:ascii="Times New Roman" w:hAnsi="Times New Roman" w:cs="Times New Roman"/>
          <w:sz w:val="24"/>
          <w:szCs w:val="24"/>
          <w:lang w:val="bg-BG"/>
        </w:rPr>
        <w:t>Ценова</w:t>
      </w:r>
      <w:r w:rsidR="00016FCB" w:rsidRPr="00A1146C">
        <w:rPr>
          <w:rFonts w:ascii="Times New Roman" w:hAnsi="Times New Roman" w:cs="Times New Roman"/>
          <w:sz w:val="24"/>
          <w:szCs w:val="24"/>
          <w:lang w:val="bg-BG"/>
        </w:rPr>
        <w:t>, 2001).</w:t>
      </w:r>
      <w:r w:rsidR="0004753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Някои изследвания показват, че</w:t>
      </w:r>
      <w:r w:rsidR="0044313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6017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служители с </w:t>
      </w:r>
      <w:r w:rsidR="0004753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високо </w:t>
      </w:r>
      <w:r w:rsidR="0004753D" w:rsidRPr="00A1146C">
        <w:rPr>
          <w:rFonts w:ascii="Times New Roman" w:hAnsi="Times New Roman" w:cs="Times New Roman"/>
          <w:b/>
          <w:sz w:val="24"/>
          <w:szCs w:val="24"/>
          <w:lang w:val="bg-BG"/>
        </w:rPr>
        <w:t>ниво</w:t>
      </w:r>
      <w:r w:rsidR="00016FCB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образование 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>демонстрират</w:t>
      </w:r>
      <w:r w:rsidR="0004753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по-високи резултати на бърнаут тестове, отко</w:t>
      </w:r>
      <w:r w:rsidR="00360177" w:rsidRPr="00A1146C">
        <w:rPr>
          <w:rFonts w:ascii="Times New Roman" w:hAnsi="Times New Roman" w:cs="Times New Roman"/>
          <w:sz w:val="24"/>
          <w:szCs w:val="24"/>
          <w:lang w:val="bg-BG"/>
        </w:rPr>
        <w:t>лкото по-ниско образовани хора</w:t>
      </w:r>
      <w:r w:rsidR="00F43D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(Maslach &amp; </w:t>
      </w:r>
      <w:r w:rsidR="00F43DCA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>Schaufeli, 2001).</w:t>
      </w:r>
      <w:r w:rsidR="002B666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Посредством регресионен анализ в глава 4 се разглежда до каква степен демографските фактори могат да бъдат предпоставка за 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>развитието</w:t>
      </w:r>
      <w:r w:rsidR="002B666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 бърнаут</w:t>
      </w:r>
      <w:r w:rsidR="00B922E4">
        <w:rPr>
          <w:rFonts w:ascii="Times New Roman" w:hAnsi="Times New Roman" w:cs="Times New Roman"/>
          <w:sz w:val="24"/>
          <w:szCs w:val="24"/>
          <w:lang w:val="bg-BG"/>
        </w:rPr>
        <w:t xml:space="preserve"> в извадката</w:t>
      </w:r>
      <w:r w:rsidR="002B6664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272494A" w14:textId="6CE641A4" w:rsidR="00AC36A1" w:rsidRPr="00A1146C" w:rsidRDefault="00521A69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Няколко л</w:t>
      </w:r>
      <w:r w:rsidR="00F43D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ичностни </w:t>
      </w:r>
      <w:r w:rsidR="00682E3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характеристики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са проучвани в оп</w:t>
      </w:r>
      <w:r w:rsidR="00F02A31" w:rsidRPr="00A1146C">
        <w:rPr>
          <w:rFonts w:ascii="Times New Roman" w:hAnsi="Times New Roman" w:cs="Times New Roman"/>
          <w:sz w:val="24"/>
          <w:szCs w:val="24"/>
          <w:lang w:val="bg-BG"/>
        </w:rPr>
        <w:t>ит да се установи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кои хора </w:t>
      </w:r>
      <w:r w:rsidR="0020365F" w:rsidRPr="00A1146C"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0365F" w:rsidRPr="00A1146C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по-голям риск от развит</w:t>
      </w:r>
      <w:r w:rsidR="00682E3E"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ето на</w:t>
      </w:r>
      <w:r w:rsidR="00682E3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бърнаут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0365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Изследвания показват, че индивиди с по-ниски равнища на „устойчивост“ (hardiness концепцията на S. Kobasa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C00C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31078" w:rsidRPr="00A1146C">
        <w:rPr>
          <w:rFonts w:ascii="Times New Roman" w:hAnsi="Times New Roman" w:cs="Times New Roman"/>
          <w:sz w:val="24"/>
          <w:szCs w:val="24"/>
          <w:lang w:val="bg-BG"/>
        </w:rPr>
        <w:t>Ценова</w:t>
      </w:r>
      <w:r w:rsidR="006C00C9" w:rsidRPr="00A1146C">
        <w:rPr>
          <w:rFonts w:ascii="Times New Roman" w:hAnsi="Times New Roman" w:cs="Times New Roman"/>
          <w:sz w:val="24"/>
          <w:szCs w:val="24"/>
          <w:lang w:val="bg-BG"/>
        </w:rPr>
        <w:t>, 2001</w:t>
      </w:r>
      <w:r w:rsidR="008C01A4" w:rsidRPr="00A1146C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20365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), са с по-високи </w:t>
      </w:r>
      <w:r w:rsidR="005B150A">
        <w:rPr>
          <w:rFonts w:ascii="Times New Roman" w:hAnsi="Times New Roman" w:cs="Times New Roman"/>
          <w:sz w:val="24"/>
          <w:szCs w:val="24"/>
          <w:lang w:val="bg-BG"/>
        </w:rPr>
        <w:t>нива</w:t>
      </w:r>
      <w:r w:rsidR="0020365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150A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20365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бърнаут</w:t>
      </w:r>
      <w:r w:rsidR="00043877" w:rsidRPr="00A1146C">
        <w:rPr>
          <w:rFonts w:ascii="Times New Roman" w:hAnsi="Times New Roman" w:cs="Times New Roman"/>
          <w:sz w:val="24"/>
          <w:szCs w:val="24"/>
          <w:lang w:val="bg-BG"/>
        </w:rPr>
        <w:t>. Бърнаут е по-висок при хора с по-силна външна локализация на контрола, приписващи причините за събития и постижения на външни фактори, отколкото при индивиди с вътрешна локализация, вярващи</w:t>
      </w:r>
      <w:r w:rsidR="00F02A31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04387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че причината са собствените им възможности и усилия. Допълнително, всичките три дименсии на бърнаут са свързани с ниска себеоценка </w:t>
      </w:r>
      <w:r w:rsidR="0020365F" w:rsidRPr="00A1146C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31078" w:rsidRPr="00A1146C">
        <w:rPr>
          <w:rFonts w:ascii="Times New Roman" w:hAnsi="Times New Roman" w:cs="Times New Roman"/>
          <w:sz w:val="24"/>
          <w:szCs w:val="24"/>
          <w:lang w:val="bg-BG"/>
        </w:rPr>
        <w:t>Ценова</w:t>
      </w:r>
      <w:r w:rsidR="00F02A31" w:rsidRPr="00A1146C">
        <w:rPr>
          <w:rFonts w:ascii="Times New Roman" w:hAnsi="Times New Roman" w:cs="Times New Roman"/>
          <w:sz w:val="24"/>
          <w:szCs w:val="24"/>
          <w:lang w:val="bg-BG"/>
        </w:rPr>
        <w:t>, 2001;</w:t>
      </w:r>
      <w:r w:rsidR="0020365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Maslach, 2001).</w:t>
      </w:r>
    </w:p>
    <w:p w14:paraId="5672E510" w14:textId="10FA0B29" w:rsidR="00CD1234" w:rsidRPr="00A1146C" w:rsidRDefault="008E302B" w:rsidP="00B150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От средата на 90те години на 20 век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значителен брой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проучвания показват възможността личността да играе важна роля в развитието на бърнаут. Schaufeli &amp; Enzmann (1998) изследват повече от 100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емпирични разработки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на тема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бърнаут, които включват един или два конструкта от дълъг списък от личностни променливи с по-ниско ниво. Примери за тези личностни променливи са издръжливост, локализация на контрола,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личност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54E29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>тип А</w:t>
      </w:r>
      <w:r w:rsidR="00254E29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самочувствие и мотивация. </w:t>
      </w:r>
      <w:r w:rsidR="00CB5AA4">
        <w:rPr>
          <w:rFonts w:ascii="Times New Roman" w:hAnsi="Times New Roman" w:cs="Times New Roman"/>
          <w:sz w:val="24"/>
          <w:szCs w:val="24"/>
          <w:lang w:val="bg-BG"/>
        </w:rPr>
        <w:t xml:space="preserve">Според </w:t>
      </w:r>
      <w:r w:rsidR="00CB5AA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Bakker </w:t>
      </w:r>
      <w:r w:rsidR="00CB5AA4">
        <w:rPr>
          <w:rFonts w:ascii="Times New Roman" w:hAnsi="Times New Roman" w:cs="Times New Roman"/>
          <w:sz w:val="24"/>
          <w:szCs w:val="24"/>
          <w:lang w:val="bg-BG"/>
        </w:rPr>
        <w:t>и сътрудници (2006), о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сновният проблем с тези по-ранни изследвания е, че личностни променливи в един изследователски проект изглежда по-често зависят от произволния избор на изследователя, отколкото от теорията за личността. </w:t>
      </w:r>
      <w:r w:rsidR="00CB5AA4">
        <w:rPr>
          <w:rFonts w:ascii="Times New Roman" w:hAnsi="Times New Roman" w:cs="Times New Roman"/>
          <w:sz w:val="24"/>
          <w:szCs w:val="24"/>
          <w:lang w:val="bg-BG"/>
        </w:rPr>
        <w:t>За авторите</w:t>
      </w:r>
      <w:r w:rsidR="00AC36A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изненадващо, че литературата все още не е успяла да осигури съгласувана картина на връзката между личност и бърнаут.</w:t>
      </w:r>
    </w:p>
    <w:p w14:paraId="3B5D24ED" w14:textId="172AC847" w:rsidR="00FF7924" w:rsidRPr="00B15082" w:rsidRDefault="00FF7924" w:rsidP="00B15082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B15082">
        <w:rPr>
          <w:rFonts w:ascii="Times New Roman" w:hAnsi="Times New Roman" w:cs="Times New Roman"/>
          <w:b/>
          <w:sz w:val="24"/>
          <w:szCs w:val="24"/>
          <w:lang w:val="bg-BG"/>
        </w:rPr>
        <w:t>Големите Пет</w:t>
      </w:r>
    </w:p>
    <w:p w14:paraId="359AC716" w14:textId="29DE2815" w:rsidR="00D04688" w:rsidRPr="00A1146C" w:rsidRDefault="008B75C6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Терминът „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л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ичност“</w:t>
      </w:r>
      <w:r w:rsidRPr="00A1146C"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</w:t>
      </w:r>
      <w:r w:rsidR="00254F55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има </w:t>
      </w:r>
      <w:r w:rsidR="00254F5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множество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определ</w:t>
      </w:r>
      <w:r w:rsidR="00254F55"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254F55" w:rsidRPr="00A1146C">
        <w:rPr>
          <w:rFonts w:ascii="Times New Roman" w:hAnsi="Times New Roman" w:cs="Times New Roman"/>
          <w:sz w:val="24"/>
          <w:szCs w:val="24"/>
          <w:lang w:val="bg-BG"/>
        </w:rPr>
        <w:t>ия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още от 1930-те години насам, когато систематичното изучаване на личността </w:t>
      </w:r>
      <w:r w:rsidR="001A5867" w:rsidRPr="00A1146C">
        <w:rPr>
          <w:rFonts w:ascii="Times New Roman" w:hAnsi="Times New Roman" w:cs="Times New Roman"/>
          <w:sz w:val="24"/>
          <w:szCs w:val="24"/>
          <w:lang w:val="bg-BG"/>
        </w:rPr>
        <w:t>се дефинира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като отделна дисциплина. Обикновено се определя като интеграция на физиологични, интелектуални и умствени характеристики, които правят индивида различен от другите индивиди</w:t>
      </w:r>
      <w:r w:rsidR="008D427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(Eysenck &amp; Wilson, 1976)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. С други думи, "л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ичност" се определя като комбинация и взаимодействие на различни черти, които са уникални за всеки индивид.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042A6" w:rsidRPr="00A1146C">
        <w:rPr>
          <w:rFonts w:ascii="Times New Roman" w:hAnsi="Times New Roman" w:cs="Times New Roman"/>
          <w:sz w:val="24"/>
          <w:szCs w:val="24"/>
          <w:lang w:val="bg-BG"/>
        </w:rPr>
        <w:t>Пет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>факторната теория</w:t>
      </w:r>
      <w:r w:rsidR="000A08AD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или т.нар. Големите пет</w:t>
      </w:r>
      <w:r w:rsidR="000A08AD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>е една от най-широко използваните теории за измерване на личностни черти между различни групи лица и професионалисти (Swider &amp; Zimmerman 2010).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Теорията е разработена от 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>Уарън Норман през 1963 година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>. Работ</w:t>
      </w:r>
      <w:r w:rsidR="00417D95" w:rsidRPr="00A1146C">
        <w:rPr>
          <w:rFonts w:ascii="Times New Roman" w:hAnsi="Times New Roman" w:cs="Times New Roman"/>
          <w:sz w:val="24"/>
          <w:szCs w:val="24"/>
          <w:lang w:val="bg-BG"/>
        </w:rPr>
        <w:t>ейк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 върху 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>актор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>ната теория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 Олбърт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Одбърт (1936), Норман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>заявява</w:t>
      </w:r>
      <w:r w:rsidR="00417D95" w:rsidRPr="00A1146C">
        <w:rPr>
          <w:rFonts w:ascii="Times New Roman" w:hAnsi="Times New Roman" w:cs="Times New Roman"/>
          <w:sz w:val="24"/>
          <w:szCs w:val="24"/>
          <w:lang w:val="bg-BG"/>
        </w:rPr>
        <w:t>, че пет основни фактора/дименсии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са достатъчни </w:t>
      </w:r>
      <w:r w:rsidR="00417D95" w:rsidRPr="00A1146C">
        <w:rPr>
          <w:rFonts w:ascii="Times New Roman" w:hAnsi="Times New Roman" w:cs="Times New Roman"/>
          <w:sz w:val="24"/>
          <w:szCs w:val="24"/>
          <w:lang w:val="bg-BG"/>
        </w:rPr>
        <w:t>да отче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>тат голям набор от данни</w:t>
      </w:r>
      <w:r w:rsidR="00785B7A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>свързани с</w:t>
      </w:r>
      <w:r w:rsidR="004639C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личността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(Celik &amp; Oral</w:t>
      </w:r>
      <w:r w:rsidR="00785B7A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D1320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2013).</w:t>
      </w:r>
      <w:r w:rsidR="00D0468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Големите пет личностни черти са най-основните измерения в структурата на човешката личност, която определя особеностите на човешкото мислене, чувство и поведение. Този модел на личността предполага, че всички хора, независимо от пол, възраст или култура, споделят едни и същи основни черти, но същевременно се различават по степен на </w:t>
      </w:r>
      <w:r w:rsidR="00785B7A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тяхното </w:t>
      </w:r>
      <w:r w:rsidR="00D04688" w:rsidRPr="00A1146C">
        <w:rPr>
          <w:rFonts w:ascii="Times New Roman" w:hAnsi="Times New Roman" w:cs="Times New Roman"/>
          <w:sz w:val="24"/>
          <w:szCs w:val="24"/>
          <w:lang w:val="bg-BG"/>
        </w:rPr>
        <w:t>проявление.</w:t>
      </w:r>
    </w:p>
    <w:p w14:paraId="62EFD3CB" w14:textId="15E0138E" w:rsidR="00DD46BE" w:rsidRPr="00A1146C" w:rsidRDefault="00DD46BE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Големите пет фактора и техните съставни черти са 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отвореност към опит (O), </w:t>
      </w:r>
      <w:r w:rsidR="006C1ADB" w:rsidRPr="00A1146C">
        <w:rPr>
          <w:rFonts w:ascii="Times New Roman" w:hAnsi="Times New Roman" w:cs="Times New Roman"/>
          <w:b/>
          <w:sz w:val="24"/>
          <w:szCs w:val="24"/>
          <w:lang w:val="bg-BG"/>
        </w:rPr>
        <w:t>добросъвестност</w:t>
      </w:r>
      <w:r w:rsidR="00517300" w:rsidRPr="00A1146C">
        <w:rPr>
          <w:rFonts w:ascii="Times New Roman" w:hAnsi="Times New Roman" w:cs="Times New Roman"/>
          <w:b/>
          <w:sz w:val="24"/>
          <w:szCs w:val="24"/>
          <w:lang w:val="bg-BG"/>
        </w:rPr>
        <w:t>/съвестност/съзнателност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(C), екстраверсия (E), </w:t>
      </w:r>
      <w:r w:rsidR="00517300" w:rsidRPr="00A1146C">
        <w:rPr>
          <w:rFonts w:ascii="Times New Roman" w:hAnsi="Times New Roman" w:cs="Times New Roman"/>
          <w:b/>
          <w:sz w:val="24"/>
          <w:szCs w:val="24"/>
          <w:lang w:val="bg-BG"/>
        </w:rPr>
        <w:t>доброжелателност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(A) и </w:t>
      </w:r>
      <w:r w:rsidR="006C1ADB" w:rsidRPr="00A1146C">
        <w:rPr>
          <w:rFonts w:ascii="Times New Roman" w:hAnsi="Times New Roman" w:cs="Times New Roman"/>
          <w:b/>
          <w:sz w:val="24"/>
          <w:szCs w:val="24"/>
          <w:lang w:val="bg-BG"/>
        </w:rPr>
        <w:t>н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евротизъм (N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); общи съкращения за Големия Пет са 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OCEAN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NEOAC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CANOE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 Вс</w:t>
      </w:r>
      <w:r w:rsidR="00094F94" w:rsidRPr="00A1146C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94F94" w:rsidRPr="00A1146C">
        <w:rPr>
          <w:rFonts w:ascii="Times New Roman" w:hAnsi="Times New Roman" w:cs="Times New Roman"/>
          <w:sz w:val="24"/>
          <w:szCs w:val="24"/>
          <w:lang w:val="bg-BG"/>
        </w:rPr>
        <w:t>а дименсия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B464C7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олемите пет е комбинация </w:t>
      </w:r>
      <w:r w:rsidR="00094F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няколко различни, но тясно свързани черти, които описват континуум между дв</w:t>
      </w:r>
      <w:r w:rsidR="00F33BC2" w:rsidRPr="00A1146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крайни полюс</w:t>
      </w:r>
      <w:r w:rsidR="00F33BC2" w:rsidRPr="00A1146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04F00CF" w14:textId="61B08FCB" w:rsidR="008B75C6" w:rsidRPr="00A1146C" w:rsidRDefault="00B636D3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B15082">
        <w:rPr>
          <w:rFonts w:ascii="Times New Roman" w:hAnsi="Times New Roman" w:cs="Times New Roman"/>
          <w:b/>
          <w:sz w:val="24"/>
          <w:szCs w:val="24"/>
          <w:lang w:val="bg-BG"/>
        </w:rPr>
        <w:t>.2</w:t>
      </w:r>
      <w:r w:rsidR="00081D59" w:rsidRPr="00A1146C">
        <w:rPr>
          <w:rFonts w:ascii="Times New Roman" w:hAnsi="Times New Roman" w:cs="Times New Roman"/>
          <w:b/>
          <w:sz w:val="24"/>
          <w:szCs w:val="24"/>
          <w:lang w:val="bg-BG"/>
        </w:rPr>
        <w:t>.1</w:t>
      </w:r>
      <w:r w:rsidR="00081D5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D46B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Хора, които имат висок резултат на </w:t>
      </w:r>
      <w:r w:rsidR="00DD46BE" w:rsidRPr="00A1146C">
        <w:rPr>
          <w:rFonts w:ascii="Times New Roman" w:hAnsi="Times New Roman" w:cs="Times New Roman"/>
          <w:b/>
          <w:sz w:val="24"/>
          <w:szCs w:val="24"/>
          <w:lang w:val="bg-BG"/>
        </w:rPr>
        <w:t>Отвореност към Опит</w:t>
      </w:r>
      <w:r w:rsidR="006C1ADB" w:rsidRPr="00A1146C">
        <w:rPr>
          <w:rFonts w:ascii="Times New Roman" w:hAnsi="Times New Roman" w:cs="Times New Roman"/>
          <w:b/>
          <w:sz w:val="24"/>
          <w:szCs w:val="24"/>
          <w:lang w:val="bg-BG"/>
        </w:rPr>
        <w:t>а</w:t>
      </w:r>
      <w:r w:rsidR="00DD46B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(наричан още Откритост, Култура, или Интелект)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DD46B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обикновено са артистични, любопитни, с голямо въображение и оригинални. Счита се, че имат широки интереси, чувствителност към есте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тически преживявания и фантазии</w:t>
      </w:r>
      <w:r w:rsidR="00DD46B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богат емоционален живот. Хората с ниски нива на </w:t>
      </w:r>
      <w:r w:rsidR="00785B7A" w:rsidRPr="00A1146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 xml:space="preserve">отвореност към опита </w:t>
      </w:r>
      <w:r w:rsidR="00DD46BE"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(О)</w:t>
      </w:r>
      <w:r w:rsidR="00DD46B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имат по-тесен набор от интереси и са по-конвенционални в своите перспективи и поведение; те са затворени за нови идеи и преживяват емоциите си по-малко интензивно</w:t>
      </w:r>
      <w:r w:rsidR="006C1A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(Novikova, 2013)</w:t>
      </w:r>
      <w:r w:rsidR="00DD46BE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3C010B3" w14:textId="27016500" w:rsidR="00081D59" w:rsidRPr="00A1146C" w:rsidRDefault="00B636D3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081D59" w:rsidRPr="00A1146C">
        <w:rPr>
          <w:rFonts w:ascii="Times New Roman" w:hAnsi="Times New Roman" w:cs="Times New Roman"/>
          <w:b/>
          <w:sz w:val="24"/>
          <w:szCs w:val="24"/>
          <w:lang w:val="bg-BG"/>
        </w:rPr>
        <w:t>.2.2</w:t>
      </w:r>
      <w:r w:rsidR="00081D5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C1A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Лица с високи резултати по </w:t>
      </w:r>
      <w:r w:rsidR="00F4246F" w:rsidRPr="00A1146C">
        <w:rPr>
          <w:rFonts w:ascii="Times New Roman" w:hAnsi="Times New Roman" w:cs="Times New Roman"/>
          <w:b/>
          <w:sz w:val="24"/>
          <w:szCs w:val="24"/>
          <w:lang w:val="bg-BG"/>
        </w:rPr>
        <w:t>съзнателност</w:t>
      </w:r>
      <w:r w:rsidR="00F8135E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(C)</w:t>
      </w:r>
      <w:r w:rsidR="006C1A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bookmarkStart w:id="0" w:name="_Hlk25397959"/>
      <w:r w:rsidR="006C1ADB" w:rsidRPr="00A1146C">
        <w:rPr>
          <w:rFonts w:ascii="Times New Roman" w:hAnsi="Times New Roman" w:cs="Times New Roman"/>
          <w:sz w:val="24"/>
          <w:szCs w:val="24"/>
          <w:lang w:val="bg-BG"/>
        </w:rPr>
        <w:t>се стремят да постигнат висок стандарт и са силно самодисциплинирани, подредени и отговорни.</w:t>
      </w:r>
      <w:bookmarkEnd w:id="0"/>
      <w:r w:rsidR="006C1A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Лицата с ниски нива на </w:t>
      </w:r>
      <w:r w:rsidR="00DC084A" w:rsidRPr="00A1146C">
        <w:rPr>
          <w:rFonts w:ascii="Times New Roman" w:hAnsi="Times New Roman" w:cs="Times New Roman"/>
          <w:sz w:val="24"/>
          <w:szCs w:val="24"/>
          <w:lang w:val="bg-BG"/>
        </w:rPr>
        <w:t>съзнателност</w:t>
      </w:r>
      <w:r w:rsidR="006C1AD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рядко планират предварително, те могат да бъдат небрежни и дезорганизирани в личен план и често не успяват да установят ясно определени цели в</w:t>
      </w:r>
      <w:r w:rsidR="00F8135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живота (Novikova, 2013).</w:t>
      </w:r>
    </w:p>
    <w:p w14:paraId="382AAD22" w14:textId="548A0765" w:rsidR="00081D59" w:rsidRPr="00A1146C" w:rsidRDefault="00B636D3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1</w:t>
      </w:r>
      <w:r w:rsidR="00081D59" w:rsidRPr="00A1146C">
        <w:rPr>
          <w:rFonts w:ascii="Times New Roman" w:hAnsi="Times New Roman" w:cs="Times New Roman"/>
          <w:b/>
          <w:sz w:val="24"/>
          <w:szCs w:val="24"/>
          <w:lang w:val="bg-BG"/>
        </w:rPr>
        <w:t>.2.3</w:t>
      </w:r>
      <w:r w:rsidR="00081D5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F0E0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Силно </w:t>
      </w:r>
      <w:r w:rsidR="008F0E04" w:rsidRPr="00A1146C">
        <w:rPr>
          <w:rFonts w:ascii="Times New Roman" w:hAnsi="Times New Roman" w:cs="Times New Roman"/>
          <w:b/>
          <w:sz w:val="24"/>
          <w:szCs w:val="24"/>
          <w:lang w:val="bg-BG"/>
        </w:rPr>
        <w:t>екстравертните</w:t>
      </w:r>
      <w:r w:rsidR="00F8135E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(E)</w:t>
      </w:r>
      <w:r w:rsidR="008F0E0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хора се определят като топли, приказливи, самоуверени, активни и енергични, весели</w:t>
      </w:r>
      <w:r w:rsidR="00785B7A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F0E0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 висок положителен тонус. Те обикновено обичат да бъдат обградени с други хора и предпочитат стимулир</w:t>
      </w:r>
      <w:r w:rsidR="001A5867" w:rsidRPr="00A1146C">
        <w:rPr>
          <w:rFonts w:ascii="Times New Roman" w:hAnsi="Times New Roman" w:cs="Times New Roman"/>
          <w:sz w:val="24"/>
          <w:szCs w:val="24"/>
          <w:lang w:val="bg-BG"/>
        </w:rPr>
        <w:t>аща среда. Интроверт</w:t>
      </w:r>
      <w:r w:rsidR="008F0E04" w:rsidRPr="00A1146C">
        <w:rPr>
          <w:rFonts w:ascii="Times New Roman" w:hAnsi="Times New Roman" w:cs="Times New Roman"/>
          <w:sz w:val="24"/>
          <w:szCs w:val="24"/>
          <w:lang w:val="bg-BG"/>
        </w:rPr>
        <w:t>ни</w:t>
      </w:r>
      <w:r w:rsidR="001A5867" w:rsidRPr="00A1146C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8F0E0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хора</w:t>
      </w:r>
      <w:r w:rsidR="00D6184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1A586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тези с </w:t>
      </w:r>
      <w:r w:rsidR="00D61845" w:rsidRPr="00A1146C">
        <w:rPr>
          <w:rFonts w:ascii="Times New Roman" w:hAnsi="Times New Roman" w:cs="Times New Roman"/>
          <w:sz w:val="24"/>
          <w:szCs w:val="24"/>
          <w:lang w:val="bg-BG"/>
        </w:rPr>
        <w:t>ниски нива на екстраверсия)</w:t>
      </w:r>
      <w:r w:rsidR="008F0E04" w:rsidRPr="00A1146C">
        <w:rPr>
          <w:rFonts w:ascii="Times New Roman" w:hAnsi="Times New Roman" w:cs="Times New Roman"/>
          <w:sz w:val="24"/>
          <w:szCs w:val="24"/>
          <w:lang w:val="bg-BG"/>
        </w:rPr>
        <w:t>, за разлика от това, обичат да бъдат сами или с няколко близки прият</w:t>
      </w:r>
      <w:r w:rsidR="00D61845" w:rsidRPr="00A1146C">
        <w:rPr>
          <w:rFonts w:ascii="Times New Roman" w:hAnsi="Times New Roman" w:cs="Times New Roman"/>
          <w:sz w:val="24"/>
          <w:szCs w:val="24"/>
          <w:lang w:val="bg-BG"/>
        </w:rPr>
        <w:t>ели. Т</w:t>
      </w:r>
      <w:r w:rsidR="008F0E0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е са </w:t>
      </w:r>
      <w:r w:rsidR="00D61845" w:rsidRPr="00A1146C">
        <w:rPr>
          <w:rFonts w:ascii="Times New Roman" w:hAnsi="Times New Roman" w:cs="Times New Roman"/>
          <w:sz w:val="24"/>
          <w:szCs w:val="24"/>
          <w:lang w:val="bg-BG"/>
        </w:rPr>
        <w:t>затворени</w:t>
      </w:r>
      <w:r w:rsidR="008F0E0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сериозни, оценяват тяхната независимост и предпочитат спокойствие</w:t>
      </w:r>
      <w:r w:rsidR="00F8135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тиха заобикаляща среда (Novikova, 2013).</w:t>
      </w:r>
    </w:p>
    <w:p w14:paraId="7185C826" w14:textId="1F2F5C32" w:rsidR="00351FFE" w:rsidRPr="00A1146C" w:rsidRDefault="00B636D3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081D59" w:rsidRPr="00A1146C">
        <w:rPr>
          <w:rFonts w:ascii="Times New Roman" w:hAnsi="Times New Roman" w:cs="Times New Roman"/>
          <w:b/>
          <w:sz w:val="24"/>
          <w:szCs w:val="24"/>
          <w:lang w:val="bg-BG"/>
        </w:rPr>
        <w:t>.2.4</w:t>
      </w:r>
      <w:r w:rsidR="00081D5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8135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Хората </w:t>
      </w:r>
      <w:bookmarkStart w:id="1" w:name="_Hlk25397506"/>
      <w:r w:rsidR="00F8135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 високи нива по </w:t>
      </w:r>
      <w:r w:rsidR="007C3574" w:rsidRPr="00A1146C">
        <w:rPr>
          <w:rFonts w:ascii="Times New Roman" w:hAnsi="Times New Roman" w:cs="Times New Roman"/>
          <w:b/>
          <w:sz w:val="24"/>
          <w:szCs w:val="24"/>
          <w:lang w:val="bg-BG"/>
        </w:rPr>
        <w:t>доброжелателност</w:t>
      </w:r>
      <w:r w:rsidR="00F8135E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(A)</w:t>
      </w:r>
      <w:r w:rsidR="00F8135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са алтруистични, кооперативни, състрадателни, благодарни, прощаващи, щедри, любезни, симпатични и доверчиви към добрите намерения на другите.</w:t>
      </w:r>
      <w:bookmarkEnd w:id="1"/>
      <w:r w:rsidR="00F8135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Лицата с ниски нива по </w:t>
      </w:r>
      <w:r w:rsidR="007C3574" w:rsidRPr="00A1146C">
        <w:rPr>
          <w:rFonts w:ascii="Times New Roman" w:hAnsi="Times New Roman" w:cs="Times New Roman"/>
          <w:sz w:val="24"/>
          <w:szCs w:val="24"/>
          <w:lang w:val="bg-BG"/>
        </w:rPr>
        <w:t>доброжелателност</w:t>
      </w:r>
      <w:r w:rsidR="00F8135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са склонни да се характеризират с антагонизъм, скептицизъм и по-скоро</w:t>
      </w:r>
      <w:r w:rsidR="005E474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компетативен</w:t>
      </w:r>
      <w:r w:rsidR="00F8135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="00B556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кооперативен подход към живота (Novikova, 2013).</w:t>
      </w:r>
    </w:p>
    <w:p w14:paraId="6DB31E61" w14:textId="0CB63662" w:rsidR="000876A5" w:rsidRPr="00A1146C" w:rsidRDefault="00B636D3" w:rsidP="002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351FFE" w:rsidRPr="00A1146C">
        <w:rPr>
          <w:rFonts w:ascii="Times New Roman" w:hAnsi="Times New Roman" w:cs="Times New Roman"/>
          <w:b/>
          <w:sz w:val="24"/>
          <w:szCs w:val="24"/>
          <w:lang w:val="bg-BG"/>
        </w:rPr>
        <w:t>.2.5</w:t>
      </w:r>
      <w:r w:rsidR="00351FF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56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Хората, които имат висока оценка по отношение на </w:t>
      </w:r>
      <w:r w:rsidR="00B556F1" w:rsidRPr="00A1146C">
        <w:rPr>
          <w:rFonts w:ascii="Times New Roman" w:hAnsi="Times New Roman" w:cs="Times New Roman"/>
          <w:b/>
          <w:sz w:val="24"/>
          <w:szCs w:val="24"/>
          <w:lang w:val="bg-BG"/>
        </w:rPr>
        <w:t>невротизма (N)</w:t>
      </w:r>
      <w:r w:rsidR="00B556F1" w:rsidRPr="00A1146C">
        <w:rPr>
          <w:rFonts w:ascii="Times New Roman" w:hAnsi="Times New Roman" w:cs="Times New Roman"/>
          <w:sz w:val="24"/>
          <w:szCs w:val="24"/>
          <w:lang w:val="bg-BG"/>
        </w:rPr>
        <w:t>, са емоционално чувствителни. Те лесно се разстройват и често изпитват негативни емоции. Този полюс на невротизма също включва тъга, гняв, безпокойство, самосъзнание, уязвимост към стрес и тенденция да се действа импулсивно. Хората, които имат ниск</w:t>
      </w:r>
      <w:r w:rsidR="00E012A6"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B556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нива на невротизъм са спокойни и емоционално стабилни (факторът N поня</w:t>
      </w:r>
      <w:r w:rsidR="00B1005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кога е </w:t>
      </w:r>
      <w:r w:rsidR="00B556F1" w:rsidRPr="00A1146C">
        <w:rPr>
          <w:rFonts w:ascii="Times New Roman" w:hAnsi="Times New Roman" w:cs="Times New Roman"/>
          <w:sz w:val="24"/>
          <w:szCs w:val="24"/>
          <w:lang w:val="bg-BG"/>
        </w:rPr>
        <w:t>сочен от неговия нисък полюс - “Емоционална стабилност”). Дори и под влиянието на стрес, хората с ниски нива на невротизъм остават уверени и изпитват малко отрицателни емоции</w:t>
      </w:r>
      <w:r w:rsidR="00342E7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(Novikova, 2013).</w:t>
      </w:r>
      <w:r w:rsidR="002236B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22228" w:rsidRPr="00A1146C">
        <w:rPr>
          <w:rFonts w:ascii="Times New Roman" w:hAnsi="Times New Roman" w:cs="Times New Roman"/>
          <w:sz w:val="24"/>
          <w:szCs w:val="24"/>
          <w:lang w:val="bg-BG"/>
        </w:rPr>
        <w:t>При изследване на модела на „голямата петорка“ (Big Five) е установена връзка на бърнаут с „невротизъм“, включващо тревожност, враждебност, депресия и уязвимост</w:t>
      </w:r>
      <w:r w:rsidR="002236B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22228" w:rsidRPr="00A1146C">
        <w:rPr>
          <w:rFonts w:ascii="Times New Roman" w:hAnsi="Times New Roman" w:cs="Times New Roman"/>
          <w:sz w:val="24"/>
          <w:szCs w:val="24"/>
          <w:lang w:val="bg-BG"/>
        </w:rPr>
        <w:t>(Ценова, 2001, Maslach, 2001).</w:t>
      </w:r>
    </w:p>
    <w:p w14:paraId="094112DE" w14:textId="53018724" w:rsidR="00693B6D" w:rsidRPr="00A1146C" w:rsidRDefault="00B636D3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693B6D" w:rsidRPr="00A1146C">
        <w:rPr>
          <w:rFonts w:ascii="Times New Roman" w:hAnsi="Times New Roman" w:cs="Times New Roman"/>
          <w:b/>
          <w:sz w:val="24"/>
          <w:szCs w:val="24"/>
          <w:lang w:val="bg-BG"/>
        </w:rPr>
        <w:t>.2.</w:t>
      </w:r>
      <w:r w:rsidR="00351FFE" w:rsidRPr="00A1146C">
        <w:rPr>
          <w:rFonts w:ascii="Times New Roman" w:hAnsi="Times New Roman" w:cs="Times New Roman"/>
          <w:b/>
          <w:sz w:val="24"/>
          <w:szCs w:val="24"/>
          <w:lang w:val="bg-BG"/>
        </w:rPr>
        <w:t>6</w:t>
      </w:r>
      <w:r w:rsidR="00693B6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11913" w:rsidRPr="00A1146C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  <w:r w:rsidR="00CC72EF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Пет Факторния Модел</w:t>
      </w:r>
    </w:p>
    <w:p w14:paraId="0D4C2557" w14:textId="54CEDD0E" w:rsidR="000C72A1" w:rsidRPr="00A1146C" w:rsidRDefault="00081D59" w:rsidP="009B1B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Докато моделът е използван за определяне на личностните черти на различните групи от различни изследователи </w:t>
      </w:r>
      <w:r w:rsidR="00CC72E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през последните десетилетия (Celik &amp; Oral, 2013),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той също е критикуван от някои изследователи</w:t>
      </w:r>
      <w:r w:rsidR="00CC72E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C72EF" w:rsidRPr="00A1146C">
        <w:rPr>
          <w:rFonts w:ascii="Times New Roman" w:hAnsi="Times New Roman" w:cs="Times New Roman"/>
          <w:sz w:val="24"/>
          <w:szCs w:val="24"/>
          <w:lang w:val="bg-BG"/>
        </w:rPr>
        <w:t>неговите ограничения да отразява различията, причинени от фактори като пол и култура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C72EF" w:rsidRPr="00A1146C">
        <w:rPr>
          <w:rFonts w:ascii="Times New Roman" w:hAnsi="Times New Roman" w:cs="Times New Roman"/>
          <w:sz w:val="24"/>
          <w:szCs w:val="24"/>
          <w:lang w:val="bg-BG"/>
        </w:rPr>
        <w:t>(Costa et al. 2001, McRae et al. 2005, Schmitt et al. 2008)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3629F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6FC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Schmitt 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>и сътр</w:t>
      </w:r>
      <w:r w:rsidR="009F6FC2">
        <w:rPr>
          <w:rFonts w:ascii="Times New Roman" w:hAnsi="Times New Roman" w:cs="Times New Roman"/>
          <w:sz w:val="24"/>
          <w:szCs w:val="24"/>
          <w:lang w:val="bg-BG"/>
        </w:rPr>
        <w:t>удници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6FC2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13583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2008) установяват, че хора от районите на Южна Америка и </w:t>
      </w:r>
      <w:r w:rsidR="0013583A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Източна Азия, показват различни резултати по дименсията „отвореност към опита“ от тези, обитаващи други райони в света (Рашева, 2015). Изглежда 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универсалната структура на петфакторния модел на личността се ограничава предимно до извадки от градско и образовано население (Рашева, 2015). </w:t>
      </w:r>
      <w:r w:rsidR="00F5750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Gurven 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>и сътр</w:t>
      </w:r>
      <w:r w:rsidR="009F6FC2">
        <w:rPr>
          <w:rFonts w:ascii="Times New Roman" w:hAnsi="Times New Roman" w:cs="Times New Roman"/>
          <w:sz w:val="24"/>
          <w:szCs w:val="24"/>
          <w:lang w:val="bg-BG"/>
        </w:rPr>
        <w:t>удници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(2013) прилагат петфакторния модел над общности в Боливия с нисък социален статус. Извадката им е насочена към ниско образовани социални групи, чиято основна дейност и препитание 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свързани със 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>земеделие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(Рашева, 2015).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Резултатите от направеното проучване показват слабо потвърждение на метода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(Рашева, 2015).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 всичко личи, че вътрешната надеждност на петфакторния модел е по-ниска от тази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измерена сред населението на по-развитите страни (Рашева, 2015).</w:t>
      </w:r>
      <w:r w:rsidR="009647B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>Според авторите</w:t>
      </w:r>
      <w:r w:rsidR="00DC0512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тези резултати се свързват с начина </w:t>
      </w:r>
      <w:r w:rsidR="00DC0512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</w:t>
      </w:r>
      <w:r w:rsidR="00DC051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живот, който е ограничен до традиционния селски бит и култура. В тази Боливийска общност, дори младите и образовани граждани битуват в тясна и затворена социоикономическа среда, където ежедневието на общността се върти около производството на хранителни продукти </w:t>
      </w:r>
      <w:r w:rsidR="00DC0512" w:rsidRPr="00A1146C">
        <w:rPr>
          <w:rFonts w:ascii="Times New Roman" w:hAnsi="Times New Roman" w:cs="Times New Roman"/>
          <w:sz w:val="24"/>
          <w:szCs w:val="24"/>
          <w:lang w:val="bg-BG"/>
        </w:rPr>
        <w:t>(Gurven et al., 2013</w:t>
      </w:r>
      <w:r w:rsidR="0054080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DC0512" w:rsidRPr="00A1146C">
        <w:rPr>
          <w:rFonts w:ascii="Times New Roman" w:hAnsi="Times New Roman" w:cs="Times New Roman"/>
          <w:sz w:val="24"/>
          <w:szCs w:val="24"/>
          <w:lang w:val="bg-BG"/>
        </w:rPr>
        <w:t>цит</w:t>
      </w:r>
      <w:r w:rsidR="00C14A6C">
        <w:rPr>
          <w:rFonts w:ascii="Times New Roman" w:hAnsi="Times New Roman" w:cs="Times New Roman"/>
          <w:sz w:val="24"/>
          <w:szCs w:val="24"/>
          <w:lang w:val="bg-BG"/>
        </w:rPr>
        <w:t xml:space="preserve">ат </w:t>
      </w:r>
      <w:r w:rsidR="00DC051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по Рашева, </w:t>
      </w:r>
      <w:r w:rsidR="00BF5128" w:rsidRPr="00A1146C">
        <w:rPr>
          <w:rFonts w:ascii="Times New Roman" w:hAnsi="Times New Roman" w:cs="Times New Roman"/>
          <w:sz w:val="24"/>
          <w:szCs w:val="24"/>
          <w:lang w:val="bg-BG"/>
        </w:rPr>
        <w:t>2015).</w:t>
      </w:r>
    </w:p>
    <w:p w14:paraId="52E1EB5D" w14:textId="2A83DDD3" w:rsidR="00254F55" w:rsidRPr="00A1146C" w:rsidRDefault="00B636D3" w:rsidP="00254F5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254F55" w:rsidRPr="00A1146C">
        <w:rPr>
          <w:rFonts w:ascii="Times New Roman" w:hAnsi="Times New Roman" w:cs="Times New Roman"/>
          <w:b/>
          <w:sz w:val="24"/>
          <w:szCs w:val="24"/>
          <w:lang w:val="bg-BG"/>
        </w:rPr>
        <w:t>.3</w:t>
      </w:r>
      <w:r w:rsidR="00254F55" w:rsidRPr="00A1146C">
        <w:rPr>
          <w:rFonts w:ascii="Times New Roman" w:hAnsi="Times New Roman" w:cs="Times New Roman"/>
          <w:b/>
          <w:sz w:val="24"/>
          <w:szCs w:val="24"/>
          <w:lang w:val="bg-BG"/>
        </w:rPr>
        <w:tab/>
        <w:t>Удовлетвореност от труда</w:t>
      </w:r>
    </w:p>
    <w:p w14:paraId="34BF69C3" w14:textId="2915B62A" w:rsidR="00CF53CD" w:rsidRPr="00A1146C" w:rsidRDefault="00254F55" w:rsidP="00CF53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В теоретичен план</w:t>
      </w:r>
      <w:r w:rsidR="00A131C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удовлетвореността от труд</w:t>
      </w:r>
      <w:r w:rsidR="0078443D" w:rsidRPr="00A1146C">
        <w:rPr>
          <w:rFonts w:ascii="Times New Roman" w:hAnsi="Times New Roman" w:cs="Times New Roman"/>
          <w:sz w:val="24"/>
          <w:szCs w:val="24"/>
          <w:lang w:val="bg-BG"/>
        </w:rPr>
        <w:t>а се разглежда като положителни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емоционални реакции и нагласи на индивида към своята работа (Oshagbemi, 1999). Множество автори разглеждат удовлетвореността от труда като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двумерен конструкт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състоящ се от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вътрешно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външно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измерение на удовлетворението, или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удовлетворение/липса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 удовлетворение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неудовлетвореност/липса на неудовлетвореност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(Winefeld, et al., 1979). В последно време възниква дебат за това</w:t>
      </w:r>
      <w:r w:rsidR="00A131C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дали удовлетвореността от труда е глобална концепция или се състои от различни компоненти на удовлетвореност в работата (Faragher, et al., 2013).</w:t>
      </w:r>
    </w:p>
    <w:p w14:paraId="0359B5A9" w14:textId="4B0FB22A" w:rsidR="00F3229E" w:rsidRPr="00A1146C" w:rsidRDefault="00CF53CD" w:rsidP="00CF53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3229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Според двуфакторната теория на Хърцбърг, удовлетвореността от труда се дължи на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мотивационни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хигиенни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фактори (Herzberg, et al., 1959). Според автора, мотивационните фактори са източник на удовлетвореност, докато хигиенните водят до намаляване на неудовлетвореността, без да повишават удовлетвореността от труда.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>Например</w:t>
      </w:r>
      <w:r w:rsidR="00A131CD" w:rsidRPr="00A1146C">
        <w:rPr>
          <w:rFonts w:ascii="Times New Roman" w:hAnsi="Times New Roman" w:cs="Times New Roman"/>
          <w:sz w:val="24"/>
          <w:szCs w:val="24"/>
          <w:lang w:val="bg-BG"/>
        </w:rPr>
        <w:t>: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когато заплащането е ниско, това предизвиква по-висока неудовлетвореност, но когато то е високо, не оказва голямо влияние върху удовлетвореността. Според автора, това е така</w:t>
      </w:r>
      <w:r w:rsidR="00A131C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защото хората могат да се адаптират към благоприятните хигиенни фактори, но когато те са лоши, това оказва силно влияние върху удовлетвореността</w:t>
      </w:r>
      <w:r w:rsidR="00B70941" w:rsidRPr="00A1146C">
        <w:rPr>
          <w:rFonts w:ascii="Times New Roman" w:hAnsi="Times New Roman" w:cs="Times New Roman"/>
          <w:sz w:val="24"/>
          <w:szCs w:val="24"/>
          <w:lang w:val="bg-BG"/>
        </w:rPr>
        <w:t>. Примери за мотивационни фактори включват: успех, признание, съдържание на работата, поемане на отговорност, възможност за израстване и усъвършенстване. Хигиенните фактори включват: контрол, заплащане, условия на работа, стил на ръководство, отношения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7094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14:paraId="210C2E7F" w14:textId="71551616" w:rsidR="00254F55" w:rsidRPr="00A1146C" w:rsidRDefault="00254F55" w:rsidP="00F322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В България удовлетвореността от труда се изследва от редица автори като М. Радославова, А. Величков С. Янакиева, Д. Господинов и други. Според Янакиева (2001)</w:t>
      </w:r>
      <w:r w:rsidR="0078443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проблемът с удовлетвореността от труда представлява интерес поради наличието на пряка зависимост между – от едната страна - удовлетвореността на служителите, и – от друга - нивата на качествено изпълнение на преките трудови задължения и личностна емоционална зрялост. </w:t>
      </w:r>
    </w:p>
    <w:p w14:paraId="6B608804" w14:textId="77777777" w:rsidR="00254F55" w:rsidRPr="00A1146C" w:rsidRDefault="00254F55" w:rsidP="002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От друга страна, Радославова (2001) посочва следните свойства на удовлетвореността от труда: лични потребности, ценности и идеали за труда, които формират дълготрайни стремежи и дадени предпочитания, интензивност, стабилност на когнитивно-афективния комплекс (устойчива емоционална реакция) при различни стимули, инертност по отношение на обективните промени в организацията и други. Радославова (2001) определя удовлетвореността от труда като нехомогенна структура от преобладаващи позитивни и индивидуални преживявания. Според нея, удовлетвореността е важен емоционален фактор, който отразява отношението на индивида към обективните изисквания при реализацията на личните цели, въздействайки върху планирането и активността в работния процес. Радославова (2001) подчертава в допълнение, че удовлетвореността от труда има пряко отношение за изграждането на удовлетвореност от живота.</w:t>
      </w:r>
    </w:p>
    <w:p w14:paraId="714EDF09" w14:textId="77777777" w:rsidR="00254F55" w:rsidRPr="00A1146C" w:rsidRDefault="00254F55" w:rsidP="002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Според други автори (Sousa-Poza, 2000), най-важните фактори, определящи удовлетворението от труда, са дали служителят намира работата си за интересна, дали има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>добри отношения с мениджърите и колегите си, разполага ли с високи доходи, има ли право да работи самостоятелно и има ли ясно дефинирани възможности за кариерно развитие.</w:t>
      </w:r>
    </w:p>
    <w:p w14:paraId="79CF5786" w14:textId="6FBC9A6E" w:rsidR="00254F55" w:rsidRPr="00A1146C" w:rsidRDefault="00254F55" w:rsidP="002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Значителен брой изследвания разглеждат взаимодействието между удовлетвореността от труда и бърнаут (Rosales, et al., 2013). Проучвания показват, че доволните работници са по-продуктивни, креативни, ангажирани и в крайна сметка допринасят за по-високо качество на извършваната дейност (Rosales, et al., 2013). Наличието на бърнаут симптоматика, в комбинация с ниско удовлетворение от труда, допринася за неефективност и пряко засяга качеството на извършваната дейност (Rosales, et al., 2013). </w:t>
      </w:r>
      <w:r w:rsidR="0054736B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>Проучването</w:t>
      </w:r>
      <w:r w:rsidR="00A131C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проведено от </w:t>
      </w:r>
      <w:r w:rsidR="00B076CA" w:rsidRPr="00A1146C">
        <w:rPr>
          <w:rFonts w:ascii="Times New Roman" w:hAnsi="Times New Roman" w:cs="Times New Roman"/>
          <w:sz w:val="24"/>
          <w:szCs w:val="24"/>
        </w:rPr>
        <w:t>Rosales</w:t>
      </w:r>
      <w:r w:rsidR="00B076CA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>и съ</w:t>
      </w:r>
      <w:r w:rsidR="003A14A7" w:rsidRPr="00A1146C">
        <w:rPr>
          <w:rFonts w:ascii="Times New Roman" w:hAnsi="Times New Roman" w:cs="Times New Roman"/>
          <w:sz w:val="24"/>
          <w:szCs w:val="24"/>
          <w:lang w:val="bg-BG"/>
        </w:rPr>
        <w:t>труд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>ници (2013), открива значими взаимовръзки между</w:t>
      </w:r>
      <w:r w:rsidR="004D60AF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60A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измеренията на бърнаут и удовлетвореност от труда – 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емоционално изтощение </w:t>
      </w:r>
      <w:r w:rsidR="00B076CA" w:rsidRPr="00A1146C">
        <w:rPr>
          <w:rFonts w:ascii="Times New Roman" w:hAnsi="Times New Roman" w:cs="Times New Roman"/>
          <w:sz w:val="24"/>
          <w:szCs w:val="24"/>
        </w:rPr>
        <w:t>r</w:t>
      </w:r>
      <w:r w:rsidR="00A02F5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=</w:t>
      </w:r>
      <w:r w:rsidR="00B076CA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-,63; 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дехуманизация </w:t>
      </w:r>
      <w:r w:rsidR="00B076CA" w:rsidRPr="00A1146C">
        <w:rPr>
          <w:rFonts w:ascii="Times New Roman" w:hAnsi="Times New Roman" w:cs="Times New Roman"/>
          <w:sz w:val="24"/>
          <w:szCs w:val="24"/>
        </w:rPr>
        <w:t>r</w:t>
      </w:r>
      <w:r w:rsidR="00B076CA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= -,59; 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работоспособност </w:t>
      </w:r>
      <w:r w:rsidR="00B076CA" w:rsidRPr="00A1146C">
        <w:rPr>
          <w:rFonts w:ascii="Times New Roman" w:hAnsi="Times New Roman" w:cs="Times New Roman"/>
          <w:sz w:val="24"/>
          <w:szCs w:val="24"/>
        </w:rPr>
        <w:t>r</w:t>
      </w:r>
      <w:r w:rsidR="00B076CA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= ,30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>. В друго и</w:t>
      </w:r>
      <w:r w:rsidR="0054736B" w:rsidRPr="00A1146C">
        <w:rPr>
          <w:rFonts w:ascii="Times New Roman" w:hAnsi="Times New Roman" w:cs="Times New Roman"/>
          <w:sz w:val="24"/>
          <w:szCs w:val="24"/>
          <w:lang w:val="bg-BG"/>
        </w:rPr>
        <w:t>зследване</w:t>
      </w:r>
      <w:r w:rsidR="00A131C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4736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проведено от </w:t>
      </w:r>
      <w:proofErr w:type="spellStart"/>
      <w:r w:rsidR="0054736B" w:rsidRPr="00A1146C">
        <w:rPr>
          <w:rFonts w:ascii="Times New Roman" w:hAnsi="Times New Roman" w:cs="Times New Roman"/>
          <w:sz w:val="24"/>
          <w:szCs w:val="24"/>
        </w:rPr>
        <w:t>Skaalvik</w:t>
      </w:r>
      <w:proofErr w:type="spellEnd"/>
      <w:r w:rsidR="0054736B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(2009)</w:t>
      </w:r>
      <w:r w:rsidR="00B076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54736B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736B" w:rsidRPr="00A1146C">
        <w:rPr>
          <w:rFonts w:ascii="Times New Roman" w:hAnsi="Times New Roman" w:cs="Times New Roman"/>
          <w:sz w:val="24"/>
          <w:szCs w:val="24"/>
          <w:lang w:val="bg-BG"/>
        </w:rPr>
        <w:t>открива</w:t>
      </w:r>
      <w:r w:rsidR="00A131CD" w:rsidRPr="00A1146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54736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значими негативни връзки между удовлетвореността от труда и трите измерения на бърнаут, между </w:t>
      </w:r>
      <w:r w:rsidR="00A02F5B" w:rsidRPr="00A1146C">
        <w:rPr>
          <w:rFonts w:ascii="Times New Roman" w:hAnsi="Times New Roman" w:cs="Times New Roman"/>
          <w:sz w:val="24"/>
          <w:szCs w:val="24"/>
        </w:rPr>
        <w:t>r</w:t>
      </w:r>
      <w:r w:rsidR="00A02F5B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54736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-,28 и </w:t>
      </w:r>
      <w:r w:rsidR="00A02F5B" w:rsidRPr="00A1146C">
        <w:rPr>
          <w:rFonts w:ascii="Times New Roman" w:hAnsi="Times New Roman" w:cs="Times New Roman"/>
          <w:sz w:val="24"/>
          <w:szCs w:val="24"/>
        </w:rPr>
        <w:t>r</w:t>
      </w:r>
      <w:r w:rsidR="00A02F5B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54736B" w:rsidRPr="00A1146C">
        <w:rPr>
          <w:rFonts w:ascii="Times New Roman" w:hAnsi="Times New Roman" w:cs="Times New Roman"/>
          <w:sz w:val="24"/>
          <w:szCs w:val="24"/>
          <w:lang w:val="bg-BG"/>
        </w:rPr>
        <w:t>-,52, най-силно с емоционално изтощение.</w:t>
      </w:r>
    </w:p>
    <w:p w14:paraId="225DA83E" w14:textId="49B65073" w:rsidR="00254F55" w:rsidRPr="00A1146C" w:rsidRDefault="00254F55" w:rsidP="002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Налични са и </w:t>
      </w:r>
      <w:bookmarkStart w:id="2" w:name="_Hlk65226982"/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данни за връзката между </w:t>
      </w:r>
      <w:r w:rsidR="00B464C7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олемите пет и удовлетвореността от труда. Редица проучвания показват, че между 9% и 15% от вариацията в </w:t>
      </w:r>
      <w:r w:rsidR="00D378B5" w:rsidRPr="00D378B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удовлетвореността</w:t>
      </w:r>
      <w:r w:rsidRPr="00D378B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на работното място се дължи на личностните черти от Голямата петорка (Furnham, et al., 2009). В съответствие с предишни констатации (Judge, et al., 2002), </w:t>
      </w:r>
      <w:r w:rsidR="00B113B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доброжелателността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е съществен предиктор за удовлетвореност от труда, като според Furnham (2009), тя обяснява между 11% и 13% от вариацията, отчитайки личностови променливи.</w:t>
      </w:r>
      <w:bookmarkEnd w:id="2"/>
    </w:p>
    <w:p w14:paraId="63192669" w14:textId="4F406F23" w:rsidR="000876A5" w:rsidRPr="00A1146C" w:rsidRDefault="00254F55" w:rsidP="002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Инструментите за измерване на удовлетвореност от труда обикновено се разделят на два общи вида: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с единични, глобални айтеми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A1146C">
        <w:rPr>
          <w:rFonts w:ascii="Times New Roman" w:hAnsi="Times New Roman" w:cs="Times New Roman"/>
          <w:b/>
          <w:bCs/>
          <w:sz w:val="24"/>
          <w:szCs w:val="24"/>
          <w:lang w:val="bg-BG"/>
        </w:rPr>
        <w:t>с айтеми за удовлетвореност, съставни от различни работни компоненти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(Faragher, et al., 2013). За нуждите на текущата работа е използван въпросник за диагностика на удовлетвореността от труда, разработен от М. Радославова и А. Величков. Въпросникът измерва удовлетвореността от труда посредством пет скали за диагностика на оценките на удовлетвореност: от характера на извършваната дейност, от прекия ръководител, от колегите, от резултатите и заплащането и от скала за оценка на удовлетвореността от работата като цяло (глобална удовлетвореност). За нуждите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на настоящото изследване, въпросникът включва единствено скалата </w:t>
      </w:r>
      <w:r w:rsidR="004735E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за обща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удовлетвореност от работата.</w:t>
      </w:r>
    </w:p>
    <w:p w14:paraId="402D06B1" w14:textId="2D930C74" w:rsidR="00E139BD" w:rsidRPr="00B15082" w:rsidRDefault="00B636D3" w:rsidP="00B1508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r w:rsidR="00B15082">
        <w:rPr>
          <w:rFonts w:ascii="Times New Roman" w:hAnsi="Times New Roman" w:cs="Times New Roman"/>
          <w:b/>
          <w:sz w:val="24"/>
          <w:szCs w:val="24"/>
          <w:lang w:val="bg-BG"/>
        </w:rPr>
        <w:t xml:space="preserve">.4 </w:t>
      </w:r>
      <w:r w:rsidR="00E139BD" w:rsidRPr="00B15082">
        <w:rPr>
          <w:rFonts w:ascii="Times New Roman" w:hAnsi="Times New Roman" w:cs="Times New Roman"/>
          <w:b/>
          <w:sz w:val="24"/>
          <w:szCs w:val="24"/>
          <w:lang w:val="bg-BG"/>
        </w:rPr>
        <w:t>Предходни изследвания</w:t>
      </w:r>
    </w:p>
    <w:p w14:paraId="341A91B4" w14:textId="59E02BCB" w:rsidR="00E139BD" w:rsidRPr="00A1146C" w:rsidRDefault="0010424A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Таблица 1</w:t>
      </w:r>
      <w:r w:rsidR="00B015D0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015D0" w:rsidRPr="00A1146C">
        <w:rPr>
          <w:rFonts w:ascii="Times New Roman" w:hAnsi="Times New Roman" w:cs="Times New Roman"/>
          <w:sz w:val="24"/>
          <w:szCs w:val="24"/>
          <w:lang w:val="bg-BG"/>
        </w:rPr>
        <w:t>(Celik &amp; Oral</w:t>
      </w:r>
      <w:r w:rsidR="0078443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B015D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2013)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показва резултати от</w:t>
      </w:r>
      <w:r w:rsidR="005752F0">
        <w:rPr>
          <w:rFonts w:ascii="Times New Roman" w:hAnsi="Times New Roman" w:cs="Times New Roman"/>
          <w:sz w:val="24"/>
          <w:szCs w:val="24"/>
          <w:lang w:val="bg-BG"/>
        </w:rPr>
        <w:t xml:space="preserve"> предходни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изследвания за връзката между личностните черти и нивата на бърнаут</w:t>
      </w:r>
      <w:r w:rsidR="00E856F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856FE">
        <w:rPr>
          <w:rFonts w:ascii="Times New Roman" w:hAnsi="Times New Roman" w:cs="Times New Roman"/>
          <w:sz w:val="24"/>
          <w:szCs w:val="24"/>
          <w:lang w:val="bg-BG"/>
        </w:rPr>
        <w:t xml:space="preserve">Според </w:t>
      </w:r>
      <w:r w:rsidR="00E856FE" w:rsidRPr="00A1146C">
        <w:rPr>
          <w:rFonts w:ascii="Times New Roman" w:hAnsi="Times New Roman" w:cs="Times New Roman"/>
          <w:sz w:val="24"/>
          <w:szCs w:val="24"/>
          <w:lang w:val="bg-BG"/>
        </w:rPr>
        <w:t>класификацията на Cohen</w:t>
      </w:r>
      <w:r w:rsidR="00E856FE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E856FE" w:rsidRPr="009A567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856FE" w:rsidRPr="00A1146C">
        <w:rPr>
          <w:rFonts w:ascii="Times New Roman" w:hAnsi="Times New Roman" w:cs="Times New Roman"/>
          <w:sz w:val="24"/>
          <w:szCs w:val="24"/>
          <w:lang w:val="bg-BG"/>
        </w:rPr>
        <w:t>et al. (2002)</w:t>
      </w:r>
      <w:r w:rsidR="00E856F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C953F8" w:rsidRPr="00A1146C">
        <w:rPr>
          <w:rFonts w:ascii="Times New Roman" w:hAnsi="Times New Roman" w:cs="Times New Roman"/>
          <w:sz w:val="24"/>
          <w:szCs w:val="24"/>
          <w:lang w:val="bg-BG"/>
        </w:rPr>
        <w:t>корелацията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между променливите е слаба за</w:t>
      </w:r>
      <w:r w:rsidR="00C953F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КК</w:t>
      </w:r>
      <w:r w:rsidR="00B1005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4670B">
        <w:rPr>
          <w:rFonts w:ascii="Times New Roman" w:hAnsi="Times New Roman" w:cs="Times New Roman"/>
          <w:sz w:val="24"/>
          <w:szCs w:val="24"/>
        </w:rPr>
        <w:t>+-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>0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4670B">
        <w:rPr>
          <w:rFonts w:ascii="Times New Roman" w:hAnsi="Times New Roman" w:cs="Times New Roman"/>
          <w:sz w:val="24"/>
          <w:szCs w:val="24"/>
          <w:lang w:val="bg-BG"/>
        </w:rPr>
        <w:t>до +-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23, средна </w:t>
      </w:r>
      <w:r w:rsidR="00E4670B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4670B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24 </w:t>
      </w:r>
      <w:r w:rsidR="00E4670B"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4670B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36 и </w:t>
      </w:r>
      <w:r w:rsidRPr="002D42B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силна </w:t>
      </w:r>
      <w:r w:rsidR="00E4670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от</w:t>
      </w:r>
      <w:r w:rsidRPr="002D42B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E4670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+-</w:t>
      </w:r>
      <w:r w:rsidR="00B52D5D" w:rsidRPr="002D42B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37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4670B">
        <w:rPr>
          <w:rFonts w:ascii="Times New Roman" w:hAnsi="Times New Roman" w:cs="Times New Roman"/>
          <w:sz w:val="24"/>
          <w:szCs w:val="24"/>
          <w:lang w:val="bg-BG"/>
        </w:rPr>
        <w:t>до +-</w:t>
      </w:r>
      <w:r w:rsidR="00B52D5D" w:rsidRPr="00A1146C">
        <w:rPr>
          <w:rFonts w:ascii="Times New Roman" w:hAnsi="Times New Roman" w:cs="Times New Roman"/>
          <w:sz w:val="24"/>
          <w:szCs w:val="24"/>
          <w:lang w:val="bg-BG"/>
        </w:rPr>
        <w:t>1,0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D42B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32718">
        <w:rPr>
          <w:rFonts w:ascii="Times New Roman" w:hAnsi="Times New Roman" w:cs="Times New Roman"/>
          <w:sz w:val="24"/>
          <w:szCs w:val="24"/>
          <w:lang w:val="bg-BG"/>
        </w:rPr>
        <w:t>За целите на текущата работа, емпиричните правила за интерпретация на корелационния коефициент се базират на класификацията описана от К. Калинов</w:t>
      </w:r>
      <w:r w:rsidR="00873F20">
        <w:rPr>
          <w:rFonts w:ascii="Times New Roman" w:hAnsi="Times New Roman" w:cs="Times New Roman"/>
          <w:sz w:val="24"/>
          <w:szCs w:val="24"/>
          <w:lang w:val="bg-BG"/>
        </w:rPr>
        <w:t xml:space="preserve"> (Калинов, 2010)</w:t>
      </w:r>
      <w:r w:rsidR="001F5ABB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F5ABB">
        <w:rPr>
          <w:rFonts w:ascii="Times New Roman" w:hAnsi="Times New Roman" w:cs="Times New Roman"/>
          <w:sz w:val="24"/>
          <w:szCs w:val="24"/>
          <w:lang w:val="bg-BG"/>
        </w:rPr>
        <w:t>а именно: д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о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F52A90" w:rsidRPr="0072652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30 – много ниска;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,31 до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,50 – ниска;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,51 до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,70 – умерена;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,71 до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+-,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90 висока и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 xml:space="preserve">,91 до </w:t>
      </w:r>
      <w:r w:rsidR="007F2328">
        <w:rPr>
          <w:rFonts w:ascii="Times New Roman" w:hAnsi="Times New Roman" w:cs="Times New Roman"/>
          <w:sz w:val="24"/>
          <w:szCs w:val="24"/>
          <w:lang w:val="bg-BG"/>
        </w:rPr>
        <w:t>+-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>1,0 много висока.</w:t>
      </w:r>
      <w:r w:rsidR="0033271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0634ADF" w14:textId="7F1D4F38" w:rsidR="005B2226" w:rsidRPr="00A1146C" w:rsidRDefault="00CA7003" w:rsidP="00CA7003">
      <w:pPr>
        <w:spacing w:line="360" w:lineRule="auto"/>
        <w:ind w:left="-624" w:firstLine="7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noProof/>
        </w:rPr>
        <w:drawing>
          <wp:inline distT="0" distB="0" distL="0" distR="0" wp14:anchorId="08C5ED57" wp14:editId="0CE04CC7">
            <wp:extent cx="597154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DABC" w14:textId="75EC9E73" w:rsidR="00782F48" w:rsidRPr="00A1146C" w:rsidRDefault="004D6F45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В Табл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ица 1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резултатите показват, че въпреки че някои 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променливи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са слабо корелирани, обикновено има отрицателна 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корелация между екстраверсия, емоционално изтощение, </w:t>
      </w:r>
      <w:r w:rsidR="00AA2C92" w:rsidRPr="00A1146C">
        <w:rPr>
          <w:rFonts w:ascii="Times New Roman" w:hAnsi="Times New Roman" w:cs="Times New Roman"/>
          <w:sz w:val="24"/>
          <w:szCs w:val="24"/>
          <w:lang w:val="bg-BG"/>
        </w:rPr>
        <w:t>дехуманизация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и има положителна връзка ме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>жду екстраверсия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AA2C92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>работоспособност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 Тези резултати се съгласуват с положителните корелац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ионни стойности между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невроти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зъм и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емоционално 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изтощение и </w:t>
      </w:r>
      <w:r w:rsidR="00AA2C92" w:rsidRPr="00A1146C">
        <w:rPr>
          <w:rFonts w:ascii="Times New Roman" w:hAnsi="Times New Roman" w:cs="Times New Roman"/>
          <w:sz w:val="24"/>
          <w:szCs w:val="24"/>
          <w:lang w:val="bg-BG"/>
        </w:rPr>
        <w:t>дехуманизация</w:t>
      </w:r>
      <w:r w:rsidR="007336F6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отрицателн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 корелационни стойности между невротизъм и </w:t>
      </w:r>
      <w:r w:rsidR="00AA2C92" w:rsidRPr="00A1146C">
        <w:rPr>
          <w:rFonts w:ascii="Times New Roman" w:hAnsi="Times New Roman" w:cs="Times New Roman"/>
          <w:sz w:val="24"/>
          <w:szCs w:val="24"/>
          <w:lang w:val="bg-BG"/>
        </w:rPr>
        <w:t>работоспособност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8E397C">
        <w:rPr>
          <w:rFonts w:ascii="Times New Roman" w:hAnsi="Times New Roman" w:cs="Times New Roman"/>
          <w:sz w:val="24"/>
          <w:szCs w:val="24"/>
          <w:lang w:val="bg-BG"/>
        </w:rPr>
        <w:t>Според тези данни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може да се </w:t>
      </w:r>
      <w:r w:rsidR="008E397C">
        <w:rPr>
          <w:rFonts w:ascii="Times New Roman" w:hAnsi="Times New Roman" w:cs="Times New Roman"/>
          <w:sz w:val="24"/>
          <w:szCs w:val="24"/>
          <w:lang w:val="bg-BG"/>
        </w:rPr>
        <w:t>каже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че емоционално изтощение и </w:t>
      </w:r>
      <w:r w:rsidR="00AA2C92" w:rsidRPr="00A1146C">
        <w:rPr>
          <w:rFonts w:ascii="Times New Roman" w:hAnsi="Times New Roman" w:cs="Times New Roman"/>
          <w:sz w:val="24"/>
          <w:szCs w:val="24"/>
          <w:lang w:val="bg-BG"/>
        </w:rPr>
        <w:t>дехуманизация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E397C">
        <w:rPr>
          <w:rFonts w:ascii="Times New Roman" w:hAnsi="Times New Roman" w:cs="Times New Roman"/>
          <w:sz w:val="24"/>
          <w:szCs w:val="24"/>
          <w:lang w:val="bg-BG"/>
        </w:rPr>
        <w:t>са положително свързани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 невротизъм</w:t>
      </w:r>
      <w:r w:rsidR="008E397C">
        <w:rPr>
          <w:rFonts w:ascii="Times New Roman" w:hAnsi="Times New Roman" w:cs="Times New Roman"/>
          <w:sz w:val="24"/>
          <w:szCs w:val="24"/>
          <w:lang w:val="bg-BG"/>
        </w:rPr>
        <w:t xml:space="preserve"> и отрицателно свързани 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>с екстраверсия</w:t>
      </w:r>
      <w:r w:rsidR="008E397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личното п</w:t>
      </w:r>
      <w:r w:rsidR="000A33F1" w:rsidRPr="00A1146C">
        <w:rPr>
          <w:rFonts w:ascii="Times New Roman" w:hAnsi="Times New Roman" w:cs="Times New Roman"/>
          <w:sz w:val="24"/>
          <w:szCs w:val="24"/>
          <w:lang w:val="bg-BG"/>
        </w:rPr>
        <w:t>остижение</w:t>
      </w:r>
      <w:r w:rsidR="00B015D0" w:rsidRPr="00A1146C">
        <w:rPr>
          <w:rFonts w:ascii="Times New Roman" w:hAnsi="Times New Roman" w:cs="Times New Roman"/>
          <w:sz w:val="24"/>
          <w:szCs w:val="24"/>
          <w:lang w:val="bg-BG"/>
        </w:rPr>
        <w:t>. Положителна</w:t>
      </w:r>
      <w:r w:rsidR="00C953F8" w:rsidRPr="00A1146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B015D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корелация между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личностно постижение </w:t>
      </w:r>
      <w:r w:rsidR="00CA08DF" w:rsidRPr="0026062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</w:t>
      </w:r>
      <w:r w:rsidR="00B015D0" w:rsidRPr="0026062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922F46" w:rsidRPr="00A1146C">
        <w:rPr>
          <w:rFonts w:ascii="Times New Roman" w:hAnsi="Times New Roman" w:cs="Times New Roman"/>
          <w:sz w:val="24"/>
          <w:szCs w:val="24"/>
          <w:lang w:val="bg-BG"/>
        </w:rPr>
        <w:t>съзнателност</w:t>
      </w:r>
      <w:r w:rsidR="008C0826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до</w:t>
      </w:r>
      <w:r w:rsidR="00B015D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пълнително показва, че не само екстраверсия, но и </w:t>
      </w:r>
      <w:r w:rsidR="00922F46" w:rsidRPr="00A1146C">
        <w:rPr>
          <w:rFonts w:ascii="Times New Roman" w:hAnsi="Times New Roman" w:cs="Times New Roman"/>
          <w:sz w:val="24"/>
          <w:szCs w:val="24"/>
          <w:lang w:val="bg-BG"/>
        </w:rPr>
        <w:t>съзнателността</w:t>
      </w:r>
      <w:r w:rsidR="00B015D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7C3574" w:rsidRPr="00A1146C">
        <w:rPr>
          <w:rFonts w:ascii="Times New Roman" w:hAnsi="Times New Roman" w:cs="Times New Roman"/>
          <w:sz w:val="24"/>
          <w:szCs w:val="24"/>
          <w:lang w:val="bg-BG"/>
        </w:rPr>
        <w:t>доброжелателност</w:t>
      </w:r>
      <w:r w:rsidR="00922F46" w:rsidRPr="00A1146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B1005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е движат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парале</w:t>
      </w:r>
      <w:r w:rsidR="00B10054" w:rsidRPr="00A1146C">
        <w:rPr>
          <w:rFonts w:ascii="Times New Roman" w:hAnsi="Times New Roman" w:cs="Times New Roman"/>
          <w:sz w:val="24"/>
          <w:szCs w:val="24"/>
          <w:lang w:val="bg-BG"/>
        </w:rPr>
        <w:t>лно</w:t>
      </w:r>
      <w:r w:rsidR="00B015D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 </w:t>
      </w:r>
      <w:r w:rsidR="00922F46" w:rsidRPr="00A1146C">
        <w:rPr>
          <w:rFonts w:ascii="Times New Roman" w:hAnsi="Times New Roman" w:cs="Times New Roman"/>
          <w:sz w:val="24"/>
          <w:szCs w:val="24"/>
          <w:lang w:val="bg-BG"/>
        </w:rPr>
        <w:t>работоспособност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D285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41C93" w:rsidRPr="00A1146C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D076D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риложените данни </w:t>
      </w:r>
      <w:r w:rsidR="00441C9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показват </w:t>
      </w:r>
      <w:r w:rsidR="00FD2851" w:rsidRPr="00A1146C">
        <w:rPr>
          <w:rFonts w:ascii="Times New Roman" w:hAnsi="Times New Roman" w:cs="Times New Roman"/>
          <w:sz w:val="24"/>
          <w:szCs w:val="24"/>
          <w:lang w:val="bg-BG"/>
        </w:rPr>
        <w:t>ниски</w:t>
      </w:r>
      <w:r w:rsidR="00E423BF">
        <w:rPr>
          <w:rFonts w:ascii="Times New Roman" w:hAnsi="Times New Roman" w:cs="Times New Roman"/>
          <w:sz w:val="24"/>
          <w:szCs w:val="24"/>
          <w:lang w:val="bg-BG"/>
        </w:rPr>
        <w:t xml:space="preserve"> и умерени</w:t>
      </w:r>
      <w:r w:rsidR="00441C9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корелативни коефициенти между различните дименсии на бърнаут и </w:t>
      </w:r>
      <w:r w:rsidR="00B464C7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441C93" w:rsidRPr="00A1146C">
        <w:rPr>
          <w:rFonts w:ascii="Times New Roman" w:hAnsi="Times New Roman" w:cs="Times New Roman"/>
          <w:sz w:val="24"/>
          <w:szCs w:val="24"/>
          <w:lang w:val="bg-BG"/>
        </w:rPr>
        <w:t>олемите пет. Прави впечатление, че преобладаващите стойно</w:t>
      </w:r>
      <w:r w:rsidR="006A707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сти варират в диапазона </w:t>
      </w:r>
      <w:r w:rsidR="004D728E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E423B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A7079" w:rsidRPr="006454A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</w:t>
      </w:r>
      <w:r w:rsidR="009E16AD" w:rsidRPr="006454A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0</w:t>
      </w:r>
      <w:r w:rsidR="004D728E">
        <w:rPr>
          <w:rFonts w:ascii="Times New Roman" w:hAnsi="Times New Roman" w:cs="Times New Roman"/>
          <w:sz w:val="24"/>
          <w:szCs w:val="24"/>
          <w:lang w:val="bg-BG"/>
        </w:rPr>
        <w:t xml:space="preserve"> до </w:t>
      </w:r>
      <w:r w:rsidR="00E423B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A7079" w:rsidRPr="006454A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</w:t>
      </w:r>
      <w:r w:rsidR="009E16AD" w:rsidRPr="006454A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0</w:t>
      </w:r>
      <w:r w:rsidR="006A7079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41C9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което </w:t>
      </w:r>
      <w:r w:rsidR="00B64D1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според класификацията на 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>Калинов (2010)</w:t>
      </w:r>
      <w:r w:rsidR="00B64D1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в контекста на корелационния анализ </w:t>
      </w:r>
      <w:r w:rsidR="006A7079" w:rsidRPr="00A1146C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B64D1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поведенчески</w:t>
      </w:r>
      <w:r w:rsidR="006A7079" w:rsidRPr="00A1146C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B64D1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нау</w:t>
      </w:r>
      <w:r w:rsidR="006E04AE" w:rsidRPr="00A1146C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B64D1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и, следва да се счита за </w:t>
      </w:r>
      <w:r w:rsidR="00E75840" w:rsidRPr="002051B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много ниска</w:t>
      </w:r>
      <w:r w:rsidR="00B64D10" w:rsidRPr="002051B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B64D1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връзка. За жалост в две от цитираните изследвания липсват пълни данни от дименсиите на </w:t>
      </w:r>
      <w:r w:rsidR="00B464C7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CA08D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олемите пет (Tomic, 2004; Kokkinos, </w:t>
      </w:r>
      <w:r w:rsidR="00B64D1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2007). </w:t>
      </w:r>
      <w:r w:rsidR="006A7079" w:rsidRPr="00FC773D">
        <w:rPr>
          <w:rFonts w:ascii="Times New Roman" w:hAnsi="Times New Roman" w:cs="Times New Roman"/>
          <w:sz w:val="24"/>
          <w:szCs w:val="24"/>
          <w:lang w:val="bg-BG"/>
        </w:rPr>
        <w:t xml:space="preserve">Също така, </w:t>
      </w:r>
      <w:r w:rsidR="00477803" w:rsidRPr="00FC773D">
        <w:rPr>
          <w:rFonts w:ascii="Times New Roman" w:hAnsi="Times New Roman" w:cs="Times New Roman"/>
          <w:sz w:val="24"/>
          <w:szCs w:val="24"/>
          <w:lang w:val="bg-BG"/>
        </w:rPr>
        <w:t xml:space="preserve">важно е да се отбележи, че </w:t>
      </w:r>
      <w:r w:rsidR="003D4BFF" w:rsidRPr="00FC773D">
        <w:rPr>
          <w:rFonts w:ascii="Times New Roman" w:hAnsi="Times New Roman" w:cs="Times New Roman"/>
          <w:sz w:val="24"/>
          <w:szCs w:val="24"/>
          <w:lang w:val="bg-BG"/>
        </w:rPr>
        <w:t>приложени</w:t>
      </w:r>
      <w:r w:rsidR="006A7079" w:rsidRPr="00FC773D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3D4BFF" w:rsidRPr="00FC773D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477803" w:rsidRPr="00FC773D">
        <w:rPr>
          <w:rFonts w:ascii="Times New Roman" w:hAnsi="Times New Roman" w:cs="Times New Roman"/>
          <w:sz w:val="24"/>
          <w:szCs w:val="24"/>
          <w:lang w:val="bg-BG"/>
        </w:rPr>
        <w:t xml:space="preserve"> данни предлагат ограничено наблюдение, тъй като изследват </w:t>
      </w:r>
      <w:r w:rsidR="006E04AE" w:rsidRPr="00FC773D">
        <w:rPr>
          <w:rFonts w:ascii="Times New Roman" w:hAnsi="Times New Roman" w:cs="Times New Roman"/>
          <w:sz w:val="24"/>
          <w:szCs w:val="24"/>
          <w:lang w:val="bg-BG"/>
        </w:rPr>
        <w:t xml:space="preserve">резултати </w:t>
      </w:r>
      <w:r w:rsidR="00EA6532" w:rsidRPr="00FC773D">
        <w:rPr>
          <w:rFonts w:ascii="Times New Roman" w:hAnsi="Times New Roman" w:cs="Times New Roman"/>
          <w:sz w:val="24"/>
          <w:szCs w:val="24"/>
          <w:lang w:val="bg-BG"/>
        </w:rPr>
        <w:t>получени от</w:t>
      </w:r>
      <w:r w:rsidR="003D4BFF" w:rsidRPr="00FC773D">
        <w:rPr>
          <w:rFonts w:ascii="Times New Roman" w:hAnsi="Times New Roman" w:cs="Times New Roman"/>
          <w:sz w:val="24"/>
          <w:szCs w:val="24"/>
          <w:lang w:val="bg-BG"/>
        </w:rPr>
        <w:t xml:space="preserve"> професи</w:t>
      </w:r>
      <w:r w:rsidR="00EA6532" w:rsidRPr="00FC773D">
        <w:rPr>
          <w:rFonts w:ascii="Times New Roman" w:hAnsi="Times New Roman" w:cs="Times New Roman"/>
          <w:sz w:val="24"/>
          <w:szCs w:val="24"/>
          <w:lang w:val="bg-BG"/>
        </w:rPr>
        <w:t>оналн</w:t>
      </w:r>
      <w:r w:rsidR="003D4BFF" w:rsidRPr="00FC773D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EA6532" w:rsidRPr="00FC773D">
        <w:rPr>
          <w:rFonts w:ascii="Times New Roman" w:hAnsi="Times New Roman" w:cs="Times New Roman"/>
          <w:sz w:val="24"/>
          <w:szCs w:val="24"/>
          <w:lang w:val="bg-BG"/>
        </w:rPr>
        <w:t xml:space="preserve"> области</w:t>
      </w:r>
      <w:r w:rsidR="00EE24B2" w:rsidRPr="00FC773D">
        <w:rPr>
          <w:rFonts w:ascii="Times New Roman" w:hAnsi="Times New Roman" w:cs="Times New Roman"/>
          <w:sz w:val="24"/>
          <w:szCs w:val="24"/>
          <w:lang w:val="bg-BG"/>
        </w:rPr>
        <w:t xml:space="preserve"> единствено</w:t>
      </w:r>
      <w:r w:rsidR="003D4BFF" w:rsidRPr="00FC773D">
        <w:rPr>
          <w:rFonts w:ascii="Times New Roman" w:hAnsi="Times New Roman" w:cs="Times New Roman"/>
          <w:sz w:val="24"/>
          <w:szCs w:val="24"/>
          <w:lang w:val="bg-BG"/>
        </w:rPr>
        <w:t xml:space="preserve"> в обслужващи и подпомагащи социални сфери. Например - църковни служители, преподаватели и друг вид обучаващ персонал, професионални и доброволни съветници, служители в рест</w:t>
      </w:r>
      <w:r w:rsidR="006E04AE" w:rsidRPr="00FC773D">
        <w:rPr>
          <w:rFonts w:ascii="Times New Roman" w:hAnsi="Times New Roman" w:cs="Times New Roman"/>
          <w:sz w:val="24"/>
          <w:szCs w:val="24"/>
          <w:lang w:val="bg-BG"/>
        </w:rPr>
        <w:t>оранти за бързо хранене и други</w:t>
      </w:r>
      <w:r w:rsidR="00EE24B2" w:rsidRPr="00FC773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E24B2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14:paraId="0AF56DF1" w14:textId="6DA5102D" w:rsidR="00453B4F" w:rsidRPr="00A1146C" w:rsidRDefault="003C7730" w:rsidP="005B22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От изследователска перспектива, приложените резултати са в синхрон с теоретичните рамки на бърнаут и </w:t>
      </w:r>
      <w:r w:rsidR="00B464C7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олемите пет. Ситуационните и индивидуални фактори на базата на модела „работа-личност“ ясно </w:t>
      </w:r>
      <w:r w:rsidR="00AC0A0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се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интегрират помежду си</w:t>
      </w:r>
      <w:r w:rsidR="00AC0A0E" w:rsidRPr="00A1146C">
        <w:rPr>
          <w:rFonts w:ascii="Times New Roman" w:hAnsi="Times New Roman" w:cs="Times New Roman"/>
          <w:sz w:val="24"/>
          <w:szCs w:val="24"/>
          <w:lang w:val="bg-BG"/>
        </w:rPr>
        <w:t>. Например</w:t>
      </w:r>
      <w:r w:rsidR="00CA08DF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C0A0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екстравертните личности, които по дефиниция се определят като енергични и с висок положителен тонус, не биха били рискови от появата на бърнаут по дименсиите дехума</w:t>
      </w:r>
      <w:r w:rsidR="00AB5962" w:rsidRPr="00A1146C">
        <w:rPr>
          <w:rFonts w:ascii="Times New Roman" w:hAnsi="Times New Roman" w:cs="Times New Roman"/>
          <w:sz w:val="24"/>
          <w:szCs w:val="24"/>
          <w:lang w:val="bg-BG"/>
        </w:rPr>
        <w:t>низация и емоционално изтощение, които се характеризират с дистанцираност, негативизъм и изчерпани емоционални ресурси – конструкти в напълно диаметрално направление.</w:t>
      </w:r>
      <w:r w:rsidR="00AC0A0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B5962" w:rsidRPr="00A1146C">
        <w:rPr>
          <w:rFonts w:ascii="Times New Roman" w:hAnsi="Times New Roman" w:cs="Times New Roman"/>
          <w:sz w:val="24"/>
          <w:szCs w:val="24"/>
          <w:lang w:val="bg-BG"/>
        </w:rPr>
        <w:t>От казаното дотук, би следвал</w:t>
      </w:r>
      <w:r w:rsidR="008C0826" w:rsidRPr="00A1146C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AC0A0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 ниво популация</w:t>
      </w:r>
      <w:r w:rsidR="00AB5962" w:rsidRPr="00A1146C">
        <w:rPr>
          <w:rFonts w:ascii="Times New Roman" w:hAnsi="Times New Roman" w:cs="Times New Roman"/>
          <w:sz w:val="24"/>
          <w:szCs w:val="24"/>
          <w:lang w:val="bg-BG"/>
        </w:rPr>
        <w:t>, при личности с високи стойности на (Е) да се наблюдава</w:t>
      </w:r>
      <w:r w:rsidR="00AC0A0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отрицателна </w:t>
      </w:r>
      <w:r w:rsidR="00AB5962" w:rsidRPr="00A1146C">
        <w:rPr>
          <w:rFonts w:ascii="Times New Roman" w:hAnsi="Times New Roman" w:cs="Times New Roman"/>
          <w:sz w:val="24"/>
          <w:szCs w:val="24"/>
          <w:lang w:val="bg-BG"/>
        </w:rPr>
        <w:t>корелационна взаимовръзка с (ЕИ) и (ДЕ).</w:t>
      </w:r>
    </w:p>
    <w:p w14:paraId="2A7ECC30" w14:textId="0BA27D22" w:rsidR="00453B4F" w:rsidRPr="00A1146C" w:rsidRDefault="0097595F" w:rsidP="00FE06F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Алтруизмът, възпитанието и грижата за другите характеризират доброжелателността. Резултатите от няколкото цитирани изследвания, които </w:t>
      </w:r>
      <w:r w:rsidR="007064DF" w:rsidRPr="00A1146C">
        <w:rPr>
          <w:rFonts w:ascii="Times New Roman" w:hAnsi="Times New Roman" w:cs="Times New Roman"/>
          <w:sz w:val="24"/>
          <w:szCs w:val="24"/>
          <w:lang w:val="bg-BG"/>
        </w:rPr>
        <w:t>разглеждат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връзката между доброжелателност и бърнаут са в съответствие с тази гледна точка. Налице са предимно негативни взаимовръзки. </w:t>
      </w:r>
      <w:r w:rsidR="007064DF" w:rsidRPr="00A1146C">
        <w:rPr>
          <w:rFonts w:ascii="Times New Roman" w:hAnsi="Times New Roman" w:cs="Times New Roman"/>
          <w:sz w:val="24"/>
          <w:szCs w:val="24"/>
          <w:lang w:val="bg-BG"/>
        </w:rPr>
        <w:t>Базирайки се на</w:t>
      </w:r>
      <w:r w:rsidR="00FE06F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0047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данните, може да се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хипотезира</w:t>
      </w:r>
      <w:r w:rsidR="0040047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че 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поради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A7003" w:rsidRPr="00A1146C">
        <w:rPr>
          <w:rFonts w:ascii="Times New Roman" w:hAnsi="Times New Roman" w:cs="Times New Roman"/>
          <w:sz w:val="24"/>
          <w:szCs w:val="24"/>
          <w:lang w:val="bg-BG"/>
        </w:rPr>
        <w:t>личностовите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си качества, лицата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с високи нива на доброжелателност, навярно са способни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да поддържат добр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и и пълноценни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взаимоотношения с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околните. Това би могло да ги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прави по-предпочитани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събеседници и сътрудници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което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потенциално да ги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пред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пази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>разви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тието на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негативни нагласи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състояния като (ЕИ) и (ДЕ).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От друга страна,</w:t>
      </w:r>
      <w:r w:rsidR="007064D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 контекста на голяма международна ИТ </w:t>
      </w:r>
      <w:r w:rsidR="00147CB3" w:rsidRPr="00A1146C">
        <w:rPr>
          <w:rFonts w:ascii="Times New Roman" w:hAnsi="Times New Roman" w:cs="Times New Roman"/>
          <w:sz w:val="24"/>
          <w:szCs w:val="24"/>
          <w:lang w:val="bg-BG"/>
        </w:rPr>
        <w:t>организация</w:t>
      </w:r>
      <w:r w:rsidR="007064DF" w:rsidRPr="00A1146C">
        <w:rPr>
          <w:rFonts w:ascii="Times New Roman" w:hAnsi="Times New Roman" w:cs="Times New Roman"/>
          <w:sz w:val="24"/>
          <w:szCs w:val="24"/>
          <w:lang w:val="bg-BG"/>
        </w:rPr>
        <w:t>, където общуването се извършва основно виртуално,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прекалено кооперативните и добронамерен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хора биха </w:t>
      </w:r>
      <w:r w:rsidR="008E397C">
        <w:rPr>
          <w:rFonts w:ascii="Times New Roman" w:hAnsi="Times New Roman" w:cs="Times New Roman"/>
          <w:sz w:val="24"/>
          <w:szCs w:val="24"/>
          <w:lang w:val="bg-BG"/>
        </w:rPr>
        <w:t>били подложени на голям стрес</w:t>
      </w:r>
      <w:r w:rsidR="00147CB3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064D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A2386" w:rsidRPr="00A1146C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064DF" w:rsidRPr="00A1146C">
        <w:rPr>
          <w:rFonts w:ascii="Times New Roman" w:hAnsi="Times New Roman" w:cs="Times New Roman"/>
          <w:sz w:val="24"/>
          <w:szCs w:val="24"/>
          <w:lang w:val="bg-BG"/>
        </w:rPr>
        <w:t>епрестанн</w:t>
      </w:r>
      <w:r w:rsidR="00147CB3" w:rsidRPr="00A1146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7064D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помощ и подкрепа на колеги</w:t>
      </w:r>
      <w:r w:rsidR="005E147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7DC" w:rsidRPr="00A1146C">
        <w:rPr>
          <w:rFonts w:ascii="Times New Roman" w:hAnsi="Times New Roman" w:cs="Times New Roman"/>
          <w:sz w:val="24"/>
          <w:szCs w:val="24"/>
          <w:lang w:val="bg-BG"/>
        </w:rPr>
        <w:t>биха довели</w:t>
      </w:r>
      <w:r w:rsidR="005E147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до </w:t>
      </w:r>
      <w:r w:rsidR="00FA2386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претоварване, което от своя страна до </w:t>
      </w:r>
      <w:r w:rsidR="005E147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изоставане </w:t>
      </w:r>
      <w:r w:rsidR="00FA2386" w:rsidRPr="00A1146C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5E147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задължения и отговорности</w:t>
      </w:r>
      <w:r w:rsidR="00147CB3" w:rsidRPr="00A1146C">
        <w:rPr>
          <w:rFonts w:ascii="Times New Roman" w:hAnsi="Times New Roman" w:cs="Times New Roman"/>
          <w:sz w:val="24"/>
          <w:szCs w:val="24"/>
          <w:lang w:val="bg-BG"/>
        </w:rPr>
        <w:t>, трупане на задачи и намалена обща продуктивност</w:t>
      </w:r>
      <w:r w:rsidR="00844094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FC3A4C4" w14:textId="46E1CACA" w:rsidR="000876A5" w:rsidRPr="00A1146C" w:rsidRDefault="00D75DF3" w:rsidP="003224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В изследване</w:t>
      </w:r>
      <w:r w:rsidR="00A54E1B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9E16AD">
        <w:rPr>
          <w:rFonts w:ascii="Times New Roman" w:hAnsi="Times New Roman" w:cs="Times New Roman"/>
          <w:sz w:val="24"/>
          <w:szCs w:val="24"/>
          <w:lang w:val="bg-BG"/>
        </w:rPr>
        <w:t xml:space="preserve"> проведено от Furnham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0D49" w:rsidRPr="00A1146C">
        <w:rPr>
          <w:rFonts w:ascii="Times New Roman" w:hAnsi="Times New Roman" w:cs="Times New Roman"/>
          <w:sz w:val="24"/>
          <w:szCs w:val="24"/>
          <w:lang w:val="bg-BG"/>
        </w:rPr>
        <w:t>и сътрудници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6070F" w:rsidRPr="00A1146C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2009),</w:t>
      </w:r>
      <w:r w:rsidRPr="00A1146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ru-RU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л</w:t>
      </w:r>
      <w:r w:rsidR="006561E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ичностните черти на </w:t>
      </w:r>
      <w:r w:rsidR="00B464C7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6561EF" w:rsidRPr="00A1146C">
        <w:rPr>
          <w:rFonts w:ascii="Times New Roman" w:hAnsi="Times New Roman" w:cs="Times New Roman"/>
          <w:sz w:val="24"/>
          <w:szCs w:val="24"/>
          <w:lang w:val="bg-BG"/>
        </w:rPr>
        <w:t>ол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6561EF" w:rsidRPr="00A1146C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6561EF" w:rsidRPr="00A1146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6561E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пет показват </w:t>
      </w:r>
      <w:r w:rsidR="00E75840" w:rsidRPr="002051B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ниска</w:t>
      </w:r>
      <w:r w:rsidR="00AF174B" w:rsidRPr="002051B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AF174B" w:rsidRPr="00A1146C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532ECA">
        <w:rPr>
          <w:rFonts w:ascii="Times New Roman" w:hAnsi="Times New Roman" w:cs="Times New Roman"/>
          <w:sz w:val="24"/>
          <w:szCs w:val="24"/>
          <w:lang w:val="bg-BG"/>
        </w:rPr>
        <w:t xml:space="preserve">по класификацията на </w:t>
      </w:r>
      <w:r w:rsidR="00E75840">
        <w:rPr>
          <w:rFonts w:ascii="Times New Roman" w:hAnsi="Times New Roman" w:cs="Times New Roman"/>
          <w:sz w:val="24"/>
          <w:szCs w:val="24"/>
          <w:lang w:val="bg-BG"/>
        </w:rPr>
        <w:t>Калинов, 2010</w:t>
      </w:r>
      <w:r w:rsidR="00AF174B" w:rsidRPr="00A1146C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16AD">
        <w:rPr>
          <w:rFonts w:ascii="Times New Roman" w:hAnsi="Times New Roman" w:cs="Times New Roman"/>
          <w:sz w:val="24"/>
          <w:szCs w:val="24"/>
          <w:lang w:val="bg-BG"/>
        </w:rPr>
        <w:t xml:space="preserve">корелация </w:t>
      </w:r>
      <w:r w:rsidR="0039742F" w:rsidRPr="00A1146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9742F" w:rsidRPr="00A1146C">
        <w:rPr>
          <w:rFonts w:ascii="Times New Roman" w:hAnsi="Times New Roman" w:cs="Times New Roman"/>
          <w:sz w:val="24"/>
          <w:szCs w:val="24"/>
        </w:rPr>
        <w:t>r</w:t>
      </w:r>
      <w:r w:rsidR="0039742F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6561E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,41</w:t>
      </w:r>
      <w:r w:rsidR="0039742F" w:rsidRPr="00A114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561E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 удовлетвореността от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труда</w:t>
      </w:r>
      <w:r w:rsidR="006561E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6561EF" w:rsidRPr="00991980">
        <w:rPr>
          <w:rFonts w:ascii="Times New Roman" w:hAnsi="Times New Roman" w:cs="Times New Roman"/>
          <w:sz w:val="24"/>
          <w:szCs w:val="24"/>
          <w:lang w:val="bg-BG"/>
        </w:rPr>
        <w:t xml:space="preserve">Открити са </w:t>
      </w:r>
      <w:r w:rsidR="00E75840" w:rsidRPr="00991980">
        <w:rPr>
          <w:rFonts w:ascii="Times New Roman" w:hAnsi="Times New Roman" w:cs="Times New Roman"/>
          <w:sz w:val="24"/>
          <w:szCs w:val="24"/>
          <w:lang w:val="bg-BG"/>
        </w:rPr>
        <w:t>много ниски</w:t>
      </w:r>
      <w:r w:rsidR="006561EF" w:rsidRPr="009919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A5CA2" w:rsidRPr="00991980">
        <w:rPr>
          <w:rFonts w:ascii="Times New Roman" w:hAnsi="Times New Roman" w:cs="Times New Roman"/>
          <w:sz w:val="24"/>
          <w:szCs w:val="24"/>
          <w:lang w:val="bg-BG"/>
        </w:rPr>
        <w:t>връзки</w:t>
      </w:r>
      <w:r w:rsidR="006561EF" w:rsidRPr="00991980">
        <w:rPr>
          <w:rFonts w:ascii="Times New Roman" w:hAnsi="Times New Roman" w:cs="Times New Roman"/>
          <w:sz w:val="24"/>
          <w:szCs w:val="24"/>
          <w:lang w:val="bg-BG"/>
        </w:rPr>
        <w:t xml:space="preserve"> между удовлетвореността от </w:t>
      </w:r>
      <w:r w:rsidRPr="00991980">
        <w:rPr>
          <w:rFonts w:ascii="Times New Roman" w:hAnsi="Times New Roman" w:cs="Times New Roman"/>
          <w:sz w:val="24"/>
          <w:szCs w:val="24"/>
          <w:lang w:val="bg-BG"/>
        </w:rPr>
        <w:t>труда</w:t>
      </w:r>
      <w:r w:rsidR="006561EF" w:rsidRPr="00991980">
        <w:rPr>
          <w:rFonts w:ascii="Times New Roman" w:hAnsi="Times New Roman" w:cs="Times New Roman"/>
          <w:sz w:val="24"/>
          <w:szCs w:val="24"/>
          <w:lang w:val="bg-BG"/>
        </w:rPr>
        <w:t xml:space="preserve"> и невротизма (</w:t>
      </w:r>
      <w:r w:rsidR="0039742F" w:rsidRPr="00991980">
        <w:rPr>
          <w:rFonts w:ascii="Times New Roman" w:hAnsi="Times New Roman" w:cs="Times New Roman"/>
          <w:sz w:val="24"/>
          <w:szCs w:val="24"/>
        </w:rPr>
        <w:t>r</w:t>
      </w:r>
      <w:r w:rsidR="0039742F" w:rsidRPr="0099198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6561EF" w:rsidRPr="00991980">
        <w:rPr>
          <w:rFonts w:ascii="Times New Roman" w:hAnsi="Times New Roman" w:cs="Times New Roman"/>
          <w:sz w:val="24"/>
          <w:szCs w:val="24"/>
          <w:lang w:val="bg-BG"/>
        </w:rPr>
        <w:t>-,29), екстраверсията (</w:t>
      </w:r>
      <w:r w:rsidR="0039742F" w:rsidRPr="00991980">
        <w:rPr>
          <w:rFonts w:ascii="Times New Roman" w:hAnsi="Times New Roman" w:cs="Times New Roman"/>
          <w:sz w:val="24"/>
          <w:szCs w:val="24"/>
        </w:rPr>
        <w:t>r</w:t>
      </w:r>
      <w:r w:rsidR="0039742F" w:rsidRPr="0099198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6561EF" w:rsidRPr="00991980">
        <w:rPr>
          <w:rFonts w:ascii="Times New Roman" w:hAnsi="Times New Roman" w:cs="Times New Roman"/>
          <w:sz w:val="24"/>
          <w:szCs w:val="24"/>
          <w:lang w:val="bg-BG"/>
        </w:rPr>
        <w:t xml:space="preserve">,25) и </w:t>
      </w:r>
      <w:r w:rsidR="00B113B1" w:rsidRPr="00991980">
        <w:rPr>
          <w:rFonts w:ascii="Times New Roman" w:hAnsi="Times New Roman" w:cs="Times New Roman"/>
          <w:sz w:val="24"/>
          <w:szCs w:val="24"/>
          <w:lang w:val="bg-BG"/>
        </w:rPr>
        <w:t xml:space="preserve">доброжелателност </w:t>
      </w:r>
      <w:r w:rsidR="006561EF" w:rsidRPr="00991980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39742F" w:rsidRPr="00991980">
        <w:rPr>
          <w:rFonts w:ascii="Times New Roman" w:hAnsi="Times New Roman" w:cs="Times New Roman"/>
          <w:sz w:val="24"/>
          <w:szCs w:val="24"/>
        </w:rPr>
        <w:t>r</w:t>
      </w:r>
      <w:r w:rsidR="0039742F" w:rsidRPr="0099198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6561EF" w:rsidRPr="00991980">
        <w:rPr>
          <w:rFonts w:ascii="Times New Roman" w:hAnsi="Times New Roman" w:cs="Times New Roman"/>
          <w:sz w:val="24"/>
          <w:szCs w:val="24"/>
          <w:lang w:val="bg-BG"/>
        </w:rPr>
        <w:t>,26).</w:t>
      </w:r>
      <w:r w:rsidRPr="009919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Въз основа на </w:t>
      </w:r>
      <w:r w:rsidR="00D02E4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тези данни авторите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заключ</w:t>
      </w:r>
      <w:r w:rsidR="00D02E4C" w:rsidRPr="00A1146C">
        <w:rPr>
          <w:rFonts w:ascii="Times New Roman" w:hAnsi="Times New Roman" w:cs="Times New Roman"/>
          <w:sz w:val="24"/>
          <w:szCs w:val="24"/>
          <w:lang w:val="bg-BG"/>
        </w:rPr>
        <w:t>ават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че </w:t>
      </w:r>
      <w:r w:rsidR="00B464C7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D02E4C" w:rsidRPr="00A1146C">
        <w:rPr>
          <w:rFonts w:ascii="Times New Roman" w:hAnsi="Times New Roman" w:cs="Times New Roman"/>
          <w:sz w:val="24"/>
          <w:szCs w:val="24"/>
          <w:lang w:val="bg-BG"/>
        </w:rPr>
        <w:t>олемите пет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2E4C" w:rsidRPr="00A1146C"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важен </w:t>
      </w:r>
      <w:r w:rsidR="0039742F" w:rsidRPr="00A1146C">
        <w:rPr>
          <w:rFonts w:ascii="Times New Roman" w:hAnsi="Times New Roman" w:cs="Times New Roman"/>
          <w:sz w:val="24"/>
          <w:szCs w:val="24"/>
          <w:lang w:val="bg-BG"/>
        </w:rPr>
        <w:t>компонент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13619" w:rsidRPr="00A1146C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мотивация</w:t>
      </w:r>
      <w:r w:rsidR="0039742F" w:rsidRPr="00A1146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12848">
        <w:rPr>
          <w:rFonts w:ascii="Times New Roman" w:hAnsi="Times New Roman" w:cs="Times New Roman"/>
          <w:sz w:val="24"/>
          <w:szCs w:val="24"/>
          <w:lang w:val="bg-BG"/>
        </w:rPr>
        <w:t xml:space="preserve">и удовлетвореността </w:t>
      </w:r>
      <w:r w:rsidR="0039742F" w:rsidRPr="00A1146C">
        <w:rPr>
          <w:rFonts w:ascii="Times New Roman" w:hAnsi="Times New Roman" w:cs="Times New Roman"/>
          <w:sz w:val="24"/>
          <w:szCs w:val="24"/>
          <w:lang w:val="bg-BG"/>
        </w:rPr>
        <w:t>при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изпълнение</w:t>
      </w:r>
      <w:r w:rsidR="00D02E4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 трудовите задължения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C70D4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Авторите допълват, че личностовите диспозиции могат да имат </w:t>
      </w:r>
      <w:r w:rsidR="009B1BFB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въздействие</w:t>
      </w:r>
      <w:r w:rsidR="00C70D49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C70D4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върху начина, по който се възприема работната среда (т.е. това, което е важно за индивида в контекста на работата), и това вероятно повлиява на търсенето на работно място. Данни от тяхното проучване показват, че екстравертите могат да бъдат силно мотивирани от </w:t>
      </w:r>
      <w:r w:rsidR="003224D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наличието на </w:t>
      </w:r>
      <w:r w:rsidR="00C70D4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фактори като </w:t>
      </w:r>
      <w:r w:rsidR="003224DD" w:rsidRPr="00A1146C">
        <w:rPr>
          <w:rFonts w:ascii="Times New Roman" w:hAnsi="Times New Roman" w:cs="Times New Roman"/>
          <w:sz w:val="24"/>
          <w:szCs w:val="24"/>
          <w:lang w:val="bg-BG"/>
        </w:rPr>
        <w:t>признание за положени усилия</w:t>
      </w:r>
      <w:r w:rsidR="00C70D4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3224D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0D49" w:rsidRPr="00A1146C">
        <w:rPr>
          <w:rFonts w:ascii="Times New Roman" w:hAnsi="Times New Roman" w:cs="Times New Roman"/>
          <w:sz w:val="24"/>
          <w:szCs w:val="24"/>
          <w:lang w:val="bg-BG"/>
        </w:rPr>
        <w:t>положителна обратна връзка, тъй като такива награди съответстват на техния общителен</w:t>
      </w:r>
      <w:r w:rsidR="003224D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социално обвързан</w:t>
      </w:r>
      <w:r w:rsidR="00C70D4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характер.</w:t>
      </w:r>
      <w:r w:rsidR="003224D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Теоретична подкрепа за гореспоменатите предположения се предоставя от теорията на </w:t>
      </w:r>
      <w:r w:rsidR="00723A2E">
        <w:rPr>
          <w:rFonts w:ascii="Times New Roman" w:hAnsi="Times New Roman" w:cs="Times New Roman"/>
          <w:sz w:val="24"/>
          <w:szCs w:val="24"/>
        </w:rPr>
        <w:t>Gray</w:t>
      </w:r>
      <w:r w:rsidR="003224D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(1975), по Furnham, и сътрудници (2009), според която екстравертите реагират по-лесно на мотивационни фактори като награда, отколкото интровертите, които според него са мотивирани от това да </w:t>
      </w:r>
      <w:r w:rsidR="003224DD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>избегнат наказанието. Допълнителни примери за това как личността може да повлияе на нагласите в работата, включват хората с висока отвореност към опита, които са по-доволни от работа, която им позволява да усвоят нови умения и да бъдат иновативни (</w:t>
      </w:r>
      <w:r w:rsidR="00B72687" w:rsidRPr="00A1146C">
        <w:rPr>
          <w:rFonts w:ascii="Times New Roman" w:hAnsi="Times New Roman" w:cs="Times New Roman"/>
          <w:sz w:val="24"/>
          <w:szCs w:val="24"/>
          <w:lang w:val="bg-BG"/>
        </w:rPr>
        <w:t>Furnham</w:t>
      </w:r>
      <w:r w:rsidR="00B72687">
        <w:rPr>
          <w:rFonts w:ascii="Times New Roman" w:hAnsi="Times New Roman" w:cs="Times New Roman"/>
          <w:sz w:val="24"/>
          <w:szCs w:val="24"/>
        </w:rPr>
        <w:t>, 2009</w:t>
      </w:r>
      <w:r w:rsidR="003224DD" w:rsidRPr="00A1146C">
        <w:rPr>
          <w:rFonts w:ascii="Times New Roman" w:hAnsi="Times New Roman" w:cs="Times New Roman"/>
          <w:sz w:val="24"/>
          <w:szCs w:val="24"/>
          <w:lang w:val="bg-BG"/>
        </w:rPr>
        <w:t>).</w:t>
      </w:r>
      <w:r w:rsidR="00864E6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Въз основа на тези допускания </w:t>
      </w:r>
      <w:r w:rsidR="00A65907" w:rsidRPr="00A1146C"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864E6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формулиран</w:t>
      </w:r>
      <w:r w:rsidR="00A65907"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864E6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64E68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хипотез</w:t>
      </w:r>
      <w:r w:rsidR="00A65907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</w:t>
      </w:r>
      <w:r w:rsidR="004D14FE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те на настоящото изследване</w:t>
      </w:r>
      <w:r w:rsidR="00864E68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14:paraId="56FE2521" w14:textId="38B77FF6" w:rsidR="00836CFA" w:rsidRPr="00B15082" w:rsidRDefault="00836CFA" w:rsidP="00B1508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B15082">
        <w:rPr>
          <w:rFonts w:ascii="Times New Roman" w:hAnsi="Times New Roman" w:cs="Times New Roman"/>
          <w:b/>
          <w:sz w:val="24"/>
          <w:szCs w:val="24"/>
          <w:lang w:val="bg-BG"/>
        </w:rPr>
        <w:t xml:space="preserve">Цел </w:t>
      </w:r>
      <w:r w:rsidR="003D5BCA" w:rsidRPr="00B15082">
        <w:rPr>
          <w:rFonts w:ascii="Times New Roman" w:hAnsi="Times New Roman" w:cs="Times New Roman"/>
          <w:b/>
          <w:sz w:val="24"/>
          <w:szCs w:val="24"/>
          <w:lang w:val="bg-BG"/>
        </w:rPr>
        <w:t xml:space="preserve">и хипотези </w:t>
      </w:r>
      <w:r w:rsidRPr="00B15082">
        <w:rPr>
          <w:rFonts w:ascii="Times New Roman" w:hAnsi="Times New Roman" w:cs="Times New Roman"/>
          <w:b/>
          <w:sz w:val="24"/>
          <w:szCs w:val="24"/>
          <w:lang w:val="bg-BG"/>
        </w:rPr>
        <w:t>на изследването</w:t>
      </w:r>
    </w:p>
    <w:p w14:paraId="6EE355ED" w14:textId="7878CAC5" w:rsidR="00F23FF4" w:rsidRPr="00A1146C" w:rsidRDefault="00F23FF4" w:rsidP="00ED07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Настоящ</w:t>
      </w:r>
      <w:r w:rsidR="004B50B2" w:rsidRPr="00A1146C">
        <w:rPr>
          <w:rFonts w:ascii="Times New Roman" w:hAnsi="Times New Roman" w:cs="Times New Roman"/>
          <w:sz w:val="24"/>
          <w:szCs w:val="24"/>
          <w:lang w:val="bg-BG"/>
        </w:rPr>
        <w:t>ата дипломна работа</w:t>
      </w:r>
      <w:r w:rsidR="00ED07D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B50B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има за цел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="005E31CE" w:rsidRPr="00A1146C">
        <w:rPr>
          <w:rFonts w:ascii="Times New Roman" w:hAnsi="Times New Roman" w:cs="Times New Roman"/>
          <w:sz w:val="24"/>
          <w:szCs w:val="24"/>
          <w:lang w:val="bg-BG"/>
        </w:rPr>
        <w:t>провери до каква степен</w:t>
      </w:r>
      <w:r w:rsidR="00F2343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655FF" w:rsidRPr="00A1146C">
        <w:rPr>
          <w:rFonts w:ascii="Times New Roman" w:hAnsi="Times New Roman" w:cs="Times New Roman"/>
          <w:sz w:val="24"/>
          <w:szCs w:val="24"/>
          <w:lang w:val="bg-BG"/>
        </w:rPr>
        <w:t>личност</w:t>
      </w:r>
      <w:r w:rsidR="005E31CE" w:rsidRPr="00A1146C">
        <w:rPr>
          <w:rFonts w:ascii="Times New Roman" w:hAnsi="Times New Roman" w:cs="Times New Roman"/>
          <w:sz w:val="24"/>
          <w:szCs w:val="24"/>
          <w:lang w:val="bg-BG"/>
        </w:rPr>
        <w:t>овите</w:t>
      </w:r>
      <w:r w:rsidR="00D655F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79A8" w:rsidRPr="00A1146C">
        <w:rPr>
          <w:rFonts w:ascii="Times New Roman" w:hAnsi="Times New Roman" w:cs="Times New Roman"/>
          <w:sz w:val="24"/>
          <w:szCs w:val="24"/>
          <w:lang w:val="bg-BG"/>
        </w:rPr>
        <w:t>черти</w:t>
      </w:r>
      <w:r w:rsidR="00864E6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79A8" w:rsidRPr="00A1146C">
        <w:rPr>
          <w:rFonts w:ascii="Times New Roman" w:hAnsi="Times New Roman" w:cs="Times New Roman"/>
          <w:sz w:val="24"/>
          <w:szCs w:val="24"/>
          <w:lang w:val="bg-BG"/>
        </w:rPr>
        <w:t>и удовлетвореността от труда</w:t>
      </w:r>
      <w:r w:rsidR="00ED07D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сред извадка от служители в голяма организация </w:t>
      </w:r>
      <w:r w:rsidR="00864E6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са предпоставка </w:t>
      </w:r>
      <w:r w:rsidR="00B113B1" w:rsidRPr="00A1146C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864E6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появата на бърнаут и доколко</w:t>
      </w:r>
      <w:r w:rsidR="00ED07D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те</w:t>
      </w:r>
      <w:r w:rsidR="00864E6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могат да бъдат счетени като </w:t>
      </w:r>
      <w:r w:rsidR="00B113B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негови </w:t>
      </w:r>
      <w:r w:rsidR="00864E68" w:rsidRPr="00A1146C">
        <w:rPr>
          <w:rFonts w:ascii="Times New Roman" w:hAnsi="Times New Roman" w:cs="Times New Roman"/>
          <w:sz w:val="24"/>
          <w:szCs w:val="24"/>
          <w:lang w:val="bg-BG"/>
        </w:rPr>
        <w:t>предиктори</w:t>
      </w:r>
      <w:r w:rsidR="00ED07D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2264575E" w14:textId="2A373FB4" w:rsidR="0096545C" w:rsidRPr="00A1146C" w:rsidRDefault="0096545C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Хипотезите </w:t>
      </w:r>
      <w:r w:rsidR="009E0D59" w:rsidRPr="00A1146C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настоящ</w:t>
      </w:r>
      <w:r w:rsidR="0052493B"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то изследване са следните:</w:t>
      </w:r>
    </w:p>
    <w:p w14:paraId="5B8144B5" w14:textId="1915A22C" w:rsidR="00896BB8" w:rsidRPr="00A1146C" w:rsidRDefault="00896BB8" w:rsidP="00896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B4A59">
        <w:rPr>
          <w:rFonts w:ascii="Times New Roman" w:hAnsi="Times New Roman" w:cs="Times New Roman"/>
          <w:b/>
          <w:bCs/>
          <w:sz w:val="24"/>
          <w:szCs w:val="24"/>
          <w:lang w:val="bg-BG"/>
        </w:rPr>
        <w:t>Хипотеза 1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Невротизмът е </w:t>
      </w:r>
      <w:r w:rsidR="009E0D5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силен </w:t>
      </w:r>
      <w:r w:rsidR="00F624D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 значим </w:t>
      </w:r>
      <w:r w:rsidR="009E0D59" w:rsidRPr="00A1146C">
        <w:rPr>
          <w:rFonts w:ascii="Times New Roman" w:hAnsi="Times New Roman" w:cs="Times New Roman"/>
          <w:sz w:val="24"/>
          <w:szCs w:val="24"/>
          <w:lang w:val="bg-BG"/>
        </w:rPr>
        <w:t>предиктор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E0D59" w:rsidRPr="00A1146C">
        <w:rPr>
          <w:rFonts w:ascii="Times New Roman" w:hAnsi="Times New Roman" w:cs="Times New Roman"/>
          <w:sz w:val="24"/>
          <w:szCs w:val="24"/>
          <w:lang w:val="bg-BG"/>
        </w:rPr>
        <w:t>за появата на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бърнаут.</w:t>
      </w:r>
    </w:p>
    <w:p w14:paraId="07739236" w14:textId="368F1806" w:rsidR="00326087" w:rsidRPr="007D1808" w:rsidRDefault="00896BB8" w:rsidP="00896B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B4A5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Хипотеза </w:t>
      </w:r>
      <w:r w:rsidR="009E0D59" w:rsidRPr="00FB4A59">
        <w:rPr>
          <w:rFonts w:ascii="Times New Roman" w:hAnsi="Times New Roman" w:cs="Times New Roman"/>
          <w:b/>
          <w:bCs/>
          <w:sz w:val="24"/>
          <w:szCs w:val="24"/>
          <w:lang w:val="bg-BG"/>
        </w:rPr>
        <w:t>2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9E0D59" w:rsidRPr="00A1146C">
        <w:rPr>
          <w:rFonts w:ascii="Times New Roman" w:hAnsi="Times New Roman" w:cs="Times New Roman"/>
          <w:sz w:val="24"/>
          <w:szCs w:val="24"/>
          <w:lang w:val="bg-BG"/>
        </w:rPr>
        <w:t>Високата у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довлетвореност от труда </w:t>
      </w:r>
      <w:r w:rsidR="009E0D59" w:rsidRPr="00A1146C">
        <w:rPr>
          <w:rFonts w:ascii="Times New Roman" w:hAnsi="Times New Roman" w:cs="Times New Roman"/>
          <w:sz w:val="24"/>
          <w:szCs w:val="24"/>
          <w:lang w:val="bg-BG"/>
        </w:rPr>
        <w:t>предполага ниски нива на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E5413" w:rsidRPr="00A1146C">
        <w:rPr>
          <w:rFonts w:ascii="Times New Roman" w:hAnsi="Times New Roman" w:cs="Times New Roman"/>
          <w:sz w:val="24"/>
          <w:szCs w:val="24"/>
          <w:lang w:val="bg-BG"/>
        </w:rPr>
        <w:t>бърнаут</w:t>
      </w:r>
      <w:r w:rsidR="0096545C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0898CD5" w14:textId="2696E27D" w:rsidR="00860321" w:rsidRPr="00A1146C" w:rsidRDefault="00606995" w:rsidP="00B1508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Методология</w:t>
      </w:r>
      <w:r w:rsidR="000337DA" w:rsidRPr="00A1146C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 xml:space="preserve"> </w:t>
      </w:r>
      <w:r w:rsidR="000337DA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на </w:t>
      </w:r>
      <w:r w:rsidR="00311913" w:rsidRPr="00A1146C">
        <w:rPr>
          <w:rFonts w:ascii="Times New Roman" w:hAnsi="Times New Roman" w:cs="Times New Roman"/>
          <w:b/>
          <w:sz w:val="24"/>
          <w:szCs w:val="24"/>
          <w:lang w:val="bg-BG"/>
        </w:rPr>
        <w:t>изследването</w:t>
      </w:r>
    </w:p>
    <w:p w14:paraId="17ECAC63" w14:textId="057BA105" w:rsidR="00F05257" w:rsidRPr="00A1146C" w:rsidRDefault="00F05257" w:rsidP="00B15082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Участници</w:t>
      </w:r>
    </w:p>
    <w:p w14:paraId="6D9DFFBE" w14:textId="55F9F98D" w:rsidR="00F05257" w:rsidRPr="00A1146C" w:rsidRDefault="00986853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Обект на проучването са работещи в сферата на </w:t>
      </w:r>
      <w:r w:rsidR="00A224E7" w:rsidRPr="00A1146C">
        <w:rPr>
          <w:rFonts w:ascii="Times New Roman" w:hAnsi="Times New Roman" w:cs="Times New Roman"/>
          <w:sz w:val="24"/>
          <w:szCs w:val="24"/>
          <w:lang w:val="bg-BG"/>
        </w:rPr>
        <w:t>информационните технологии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заемащи длъжности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в следните професионални области: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продажби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техническо консултиране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>дизайн и архитектура на IT услуги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E302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предоставяне на IT услуги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>Изследваните лица са</w:t>
      </w:r>
      <w:r w:rsidR="00EB375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служители в</w:t>
      </w:r>
      <w:r w:rsidR="009E588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една</w:t>
      </w:r>
      <w:r w:rsidR="00EB375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IT организация,</w:t>
      </w:r>
      <w:r w:rsidR="00F05257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равномерно </w:t>
      </w:r>
      <w:r w:rsidR="00D473E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селектирани </w:t>
      </w:r>
      <w:r w:rsidR="00F05257" w:rsidRPr="00A1146C">
        <w:rPr>
          <w:rFonts w:ascii="Times New Roman" w:hAnsi="Times New Roman" w:cs="Times New Roman"/>
          <w:sz w:val="24"/>
          <w:szCs w:val="24"/>
          <w:lang w:val="bg-BG"/>
        </w:rPr>
        <w:t>от няколко различни екипа, изпълняващи сходни роли с подобна отговорност.</w:t>
      </w:r>
      <w:r w:rsidR="00EB375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44D7D" w:rsidRPr="00A1146C">
        <w:rPr>
          <w:rFonts w:ascii="Times New Roman" w:hAnsi="Times New Roman" w:cs="Times New Roman"/>
          <w:sz w:val="24"/>
          <w:szCs w:val="24"/>
          <w:lang w:val="bg-BG"/>
        </w:rPr>
        <w:t>Ц</w:t>
      </w:r>
      <w:r w:rsidR="00D022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елевата извадка е от </w:t>
      </w:r>
      <w:r w:rsidR="006C2046" w:rsidRPr="00A1146C">
        <w:rPr>
          <w:rFonts w:ascii="Times New Roman" w:hAnsi="Times New Roman" w:cs="Times New Roman"/>
          <w:sz w:val="24"/>
          <w:szCs w:val="24"/>
          <w:lang w:val="bg-BG"/>
        </w:rPr>
        <w:t>7</w:t>
      </w:r>
      <w:r w:rsidR="00244D7D" w:rsidRPr="00A1146C">
        <w:rPr>
          <w:rFonts w:ascii="Times New Roman" w:hAnsi="Times New Roman" w:cs="Times New Roman"/>
          <w:sz w:val="24"/>
          <w:szCs w:val="24"/>
          <w:lang w:val="bg-BG"/>
        </w:rPr>
        <w:t>3</w:t>
      </w:r>
      <w:r w:rsidR="00D022C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души</w:t>
      </w:r>
      <w:r w:rsidR="00244D7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, разпределението по пол е 51 мъже и 22 жени </w:t>
      </w:r>
      <w:r w:rsidR="00D473E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Възрастта на участниците 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83519A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 диапазон</w:t>
      </w:r>
      <w:r w:rsidR="00D473E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между </w:t>
      </w:r>
      <w:r w:rsidR="009E5880" w:rsidRPr="00A1146C">
        <w:rPr>
          <w:rFonts w:ascii="Times New Roman" w:hAnsi="Times New Roman" w:cs="Times New Roman"/>
          <w:sz w:val="24"/>
          <w:szCs w:val="24"/>
          <w:lang w:val="bg-BG"/>
        </w:rPr>
        <w:t>2</w:t>
      </w:r>
      <w:r w:rsidR="00244D7D" w:rsidRPr="00A1146C">
        <w:rPr>
          <w:rFonts w:ascii="Times New Roman" w:hAnsi="Times New Roman" w:cs="Times New Roman"/>
          <w:sz w:val="24"/>
          <w:szCs w:val="24"/>
          <w:lang w:val="bg-BG"/>
        </w:rPr>
        <w:t>1</w:t>
      </w:r>
      <w:r w:rsidR="009E5880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244D7D" w:rsidRPr="00A1146C">
        <w:rPr>
          <w:rFonts w:ascii="Times New Roman" w:hAnsi="Times New Roman" w:cs="Times New Roman"/>
          <w:sz w:val="24"/>
          <w:szCs w:val="24"/>
          <w:lang w:val="bg-BG"/>
        </w:rPr>
        <w:t>45</w:t>
      </w:r>
      <w:r w:rsidR="00D473EC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години.</w:t>
      </w:r>
      <w:r w:rsidR="00C21B6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87A1C">
        <w:rPr>
          <w:rFonts w:ascii="Times New Roman" w:hAnsi="Times New Roman" w:cs="Times New Roman"/>
          <w:sz w:val="24"/>
          <w:szCs w:val="24"/>
          <w:lang w:val="bg-BG"/>
        </w:rPr>
        <w:t>Данните са събрани през 2018 година.</w:t>
      </w:r>
    </w:p>
    <w:p w14:paraId="2F61DD7F" w14:textId="201C6EE4" w:rsidR="00324960" w:rsidRDefault="00C603D6" w:rsidP="00873F20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14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C339FA" wp14:editId="063F01D8">
            <wp:extent cx="2800350" cy="16287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266BED-C659-468D-AF29-1EBA4E5F53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A1146C">
        <w:rPr>
          <w:rFonts w:ascii="Times New Roman" w:hAnsi="Times New Roman" w:cs="Times New Roman"/>
          <w:noProof/>
        </w:rPr>
        <w:drawing>
          <wp:inline distT="0" distB="0" distL="0" distR="0" wp14:anchorId="302E5BA1" wp14:editId="233C2252">
            <wp:extent cx="2647950" cy="162877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6A87216-D162-400C-AE49-73D133E83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D6D7E6" w14:textId="08E6B4FD" w:rsidR="004309AB" w:rsidRPr="004309AB" w:rsidRDefault="004309AB" w:rsidP="00873F20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4309AB">
        <w:rPr>
          <w:rFonts w:ascii="Times New Roman" w:hAnsi="Times New Roman" w:cs="Times New Roman"/>
          <w:color w:val="000000" w:themeColor="text1"/>
          <w:sz w:val="18"/>
          <w:szCs w:val="18"/>
        </w:rPr>
        <w:t>Графика 1 – Процентно разпределение по възраст             Графика 2 – Процентно разпределение по пол</w:t>
      </w:r>
    </w:p>
    <w:p w14:paraId="61691B8D" w14:textId="72DCE2E1" w:rsidR="00860321" w:rsidRPr="00A1146C" w:rsidRDefault="00860321" w:rsidP="00B15082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Дизайн</w:t>
      </w:r>
    </w:p>
    <w:p w14:paraId="1EE62F5D" w14:textId="64F87CCE" w:rsidR="0050458B" w:rsidRPr="0050458B" w:rsidRDefault="00CE212A" w:rsidP="0018183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тази разработка се използва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м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ножествената регресия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DF626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чрез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която се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цели да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предскаже стойността на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бърнаут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въз основа на стойността на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няколко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други променливи. 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Зависимата 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(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критерийна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)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роменлива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E859F4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или 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тази, 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която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прогнозира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е общото ниво на бърнаут и неговите три компонента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- </w:t>
      </w:r>
      <w:r w:rsidR="007646F9" w:rsidRP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ЕИ (</w:t>
      </w:r>
      <w:r w:rsidR="008B699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</w:t>
      </w:r>
      <w:r w:rsidR="007646F9" w:rsidRP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моционално изтощение), ДЕ (</w:t>
      </w:r>
      <w:r w:rsidR="008B699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</w:t>
      </w:r>
      <w:r w:rsidR="007646F9" w:rsidRP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ехуманизация), РА (</w:t>
      </w:r>
      <w:r w:rsidR="008B699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р</w:t>
      </w:r>
      <w:r w:rsidR="007646F9" w:rsidRP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аботоспособност)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Независимите п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роменливите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са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тези,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които предска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зва</w:t>
      </w:r>
      <w:r w:rsidR="002A385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стойността на зависимата променлива (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така наречените 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предиктор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</w:t>
      </w:r>
      <w:r w:rsidR="0050458B" w:rsidRP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)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 Това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са демографските фактори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(пол, възраст, образование и трудов стаж)</w:t>
      </w:r>
      <w:r w:rsidR="0050458B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B464C7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Г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олемите </w:t>
      </w:r>
      <w:r w:rsidR="00EA50F6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ет личностови черти (</w:t>
      </w:r>
      <w:r w:rsidR="007646F9" w:rsidRP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измерени по петте дименсии: O (отвореност към опита), C (съзнателност), E (екстраверсия), A (доброжелателност), N (невротизъм</w:t>
      </w:r>
      <w:r w:rsidR="007646F9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) и общата удовлетвореност от труда.</w:t>
      </w:r>
    </w:p>
    <w:p w14:paraId="50B0BE22" w14:textId="42CCAF98" w:rsidR="004D49D3" w:rsidRPr="00A1146C" w:rsidRDefault="00051A0C" w:rsidP="00B15082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color w:val="000000" w:themeColor="text1"/>
          <w:sz w:val="24"/>
          <w:szCs w:val="24"/>
          <w:lang w:val="bg-BG"/>
        </w:rPr>
        <w:t>Инструментариум</w:t>
      </w:r>
    </w:p>
    <w:p w14:paraId="472D9716" w14:textId="2A9D08E2" w:rsidR="00393222" w:rsidRPr="00A1146C" w:rsidRDefault="00860321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4D49D3" w:rsidRPr="00A1146C">
        <w:rPr>
          <w:rFonts w:ascii="Times New Roman" w:hAnsi="Times New Roman" w:cs="Times New Roman"/>
          <w:sz w:val="24"/>
          <w:szCs w:val="24"/>
          <w:lang w:val="bg-BG"/>
        </w:rPr>
        <w:t>да</w:t>
      </w:r>
      <w:r w:rsidR="006130E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се измери</w:t>
      </w:r>
      <w:r w:rsidR="004D49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степента на бърнаут в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текущото </w:t>
      </w:r>
      <w:r w:rsidR="006130E2" w:rsidRPr="00A1146C">
        <w:rPr>
          <w:rFonts w:ascii="Times New Roman" w:hAnsi="Times New Roman" w:cs="Times New Roman"/>
          <w:sz w:val="24"/>
          <w:szCs w:val="24"/>
          <w:lang w:val="bg-BG"/>
        </w:rPr>
        <w:t>проучване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130E2"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пригоден утвърденият стандарт</w:t>
      </w:r>
      <w:r w:rsidR="004D49D3" w:rsidRPr="00A1146C">
        <w:rPr>
          <w:rFonts w:ascii="Times New Roman" w:hAnsi="Times New Roman" w:cs="Times New Roman"/>
          <w:sz w:val="24"/>
          <w:szCs w:val="24"/>
          <w:lang w:val="bg-BG"/>
        </w:rPr>
        <w:t>ен въпросник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на Maslach: MBI-GS (Maslach Burnout Inventory-General Survey, Schaufeli, Leiter, Maslach, &amp; Jackson, 1996). </w:t>
      </w:r>
      <w:r w:rsidR="00033B55" w:rsidRPr="00A1146C">
        <w:rPr>
          <w:rFonts w:ascii="Times New Roman" w:hAnsi="Times New Roman" w:cs="Times New Roman"/>
          <w:sz w:val="24"/>
          <w:szCs w:val="24"/>
          <w:lang w:val="bg-BG"/>
        </w:rPr>
        <w:t>За български условия въпросникът е адаптиран от Георги Карастоянов</w:t>
      </w:r>
      <w:r w:rsidR="003A0322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77B0348" w14:textId="1739C487" w:rsidR="00860321" w:rsidRPr="00A1146C" w:rsidRDefault="00860321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При този въпросник трите компонента на конструкта </w:t>
      </w:r>
      <w:r w:rsidRPr="00055871">
        <w:rPr>
          <w:rFonts w:ascii="Times New Roman" w:hAnsi="Times New Roman" w:cs="Times New Roman"/>
          <w:iCs/>
          <w:sz w:val="24"/>
          <w:szCs w:val="24"/>
          <w:lang w:val="bg-BG"/>
        </w:rPr>
        <w:t>бърнаут</w:t>
      </w:r>
      <w:r w:rsidR="00E0665C" w:rsidRPr="00A1146C">
        <w:rPr>
          <w:rFonts w:ascii="Times New Roman" w:hAnsi="Times New Roman" w:cs="Times New Roman"/>
          <w:i/>
          <w:sz w:val="24"/>
          <w:szCs w:val="24"/>
          <w:lang w:val="bg-BG"/>
        </w:rPr>
        <w:t xml:space="preserve"> (ЕИ, ДЕ, РА)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акцентират предимно над самата работа, а не просто над личните взаимоотношения, които може да са част от същата тази работа (за сравнение </w:t>
      </w:r>
      <w:r w:rsidR="003F45EE" w:rsidRPr="00A1146C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MBI-</w:t>
      </w:r>
      <w:r w:rsidR="003F45E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Human Services Survey“ </w:t>
      </w:r>
      <w:r w:rsidR="006130E2" w:rsidRPr="00A1146C">
        <w:rPr>
          <w:rFonts w:ascii="Times New Roman" w:hAnsi="Times New Roman" w:cs="Times New Roman"/>
          <w:sz w:val="24"/>
          <w:szCs w:val="24"/>
          <w:lang w:val="bg-BG"/>
        </w:rPr>
        <w:t>&amp;</w:t>
      </w:r>
      <w:r w:rsidR="003F45E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„Educators Survey“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). </w:t>
      </w:r>
      <w:r w:rsidR="00055871">
        <w:rPr>
          <w:rFonts w:ascii="Times New Roman" w:hAnsi="Times New Roman" w:cs="Times New Roman"/>
          <w:sz w:val="24"/>
          <w:szCs w:val="24"/>
          <w:lang w:val="bg-BG"/>
        </w:rPr>
        <w:t>Резултати от изследвания н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а бърнаут,</w:t>
      </w:r>
      <w:r w:rsidR="00055871">
        <w:rPr>
          <w:rFonts w:ascii="Times New Roman" w:hAnsi="Times New Roman" w:cs="Times New Roman"/>
          <w:sz w:val="24"/>
          <w:szCs w:val="24"/>
          <w:lang w:val="bg-BG"/>
        </w:rPr>
        <w:t xml:space="preserve"> които използват трите скалите на </w:t>
      </w:r>
      <w:r w:rsidR="00055871">
        <w:rPr>
          <w:rFonts w:ascii="Times New Roman" w:hAnsi="Times New Roman" w:cs="Times New Roman"/>
          <w:sz w:val="24"/>
          <w:szCs w:val="24"/>
        </w:rPr>
        <w:lastRenderedPageBreak/>
        <w:t>MBI-GS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показват умерена корелация при хора извършващи разнообразни </w:t>
      </w:r>
      <w:r w:rsidR="00782F48" w:rsidRPr="00A1146C">
        <w:rPr>
          <w:rFonts w:ascii="Times New Roman" w:hAnsi="Times New Roman" w:cs="Times New Roman"/>
          <w:sz w:val="24"/>
          <w:szCs w:val="24"/>
          <w:lang w:val="bg-BG"/>
        </w:rPr>
        <w:t>професионални роли 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D4EB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при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служители с психологически здравословни проблеми свързани с работата (Bria, Spânu, Băban, &amp; Dumitraşcu, 2014).</w:t>
      </w:r>
    </w:p>
    <w:p w14:paraId="3539AE55" w14:textId="41811C31" w:rsidR="00860321" w:rsidRPr="00A1146C" w:rsidRDefault="004D49D3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Участниците отговарят на 22 </w:t>
      </w:r>
      <w:r w:rsidR="00A927DC" w:rsidRPr="00A1146C">
        <w:rPr>
          <w:rFonts w:ascii="Times New Roman" w:hAnsi="Times New Roman" w:cs="Times New Roman"/>
          <w:sz w:val="24"/>
          <w:szCs w:val="24"/>
          <w:lang w:val="bg-BG"/>
        </w:rPr>
        <w:t>въпроса, с 3 подскали: „Емоционално изтощение“ (ЕИ); „Дехуманизация“ (Д</w:t>
      </w:r>
      <w:r w:rsidR="00772A78"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A927DC" w:rsidRPr="00A1146C">
        <w:rPr>
          <w:rFonts w:ascii="Times New Roman" w:hAnsi="Times New Roman" w:cs="Times New Roman"/>
          <w:sz w:val="24"/>
          <w:szCs w:val="24"/>
          <w:lang w:val="bg-BG"/>
        </w:rPr>
        <w:t>) – безразличие и цинизъм по отношение на зависимите от професионалиста хора; „Работоспособност“ (Р</w:t>
      </w:r>
      <w:r w:rsidR="00772A78" w:rsidRPr="00A1146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A927DC" w:rsidRPr="00A1146C">
        <w:rPr>
          <w:rFonts w:ascii="Times New Roman" w:hAnsi="Times New Roman" w:cs="Times New Roman"/>
          <w:sz w:val="24"/>
          <w:szCs w:val="24"/>
          <w:lang w:val="bg-BG"/>
        </w:rPr>
        <w:t>) – чувство на субективна компетентност и ефективност.</w:t>
      </w:r>
      <w:r w:rsidR="00E5244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Изследваните лица трябва да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определят доколко често </w:t>
      </w:r>
      <w:r w:rsidR="00E5244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твърденията в теста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са верни за тях по 7-бална скала („</w:t>
      </w:r>
      <w:r w:rsidR="006941C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0 -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Никога“, „</w:t>
      </w:r>
      <w:r w:rsidR="006941C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1 -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Няколко пъти в годината или по малко“, „</w:t>
      </w:r>
      <w:r w:rsidR="006941C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2 -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Веднъж в месеца“, „</w:t>
      </w:r>
      <w:r w:rsidR="006941CB" w:rsidRPr="00A1146C">
        <w:rPr>
          <w:rFonts w:ascii="Times New Roman" w:hAnsi="Times New Roman" w:cs="Times New Roman"/>
          <w:sz w:val="24"/>
          <w:szCs w:val="24"/>
          <w:lang w:val="bg-BG"/>
        </w:rPr>
        <w:t>3 -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Няколко пъти в месеца“, „</w:t>
      </w:r>
      <w:r w:rsidR="006941C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4 -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Веднъж в седмицата“, „</w:t>
      </w:r>
      <w:r w:rsidR="006941CB" w:rsidRPr="00A1146C">
        <w:rPr>
          <w:rFonts w:ascii="Times New Roman" w:hAnsi="Times New Roman" w:cs="Times New Roman"/>
          <w:sz w:val="24"/>
          <w:szCs w:val="24"/>
          <w:lang w:val="bg-BG"/>
        </w:rPr>
        <w:t>5 -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Няколко пъти в седмицата“ и „</w:t>
      </w:r>
      <w:r w:rsidR="006941CB" w:rsidRPr="00A1146C">
        <w:rPr>
          <w:rFonts w:ascii="Times New Roman" w:hAnsi="Times New Roman" w:cs="Times New Roman"/>
          <w:sz w:val="24"/>
          <w:szCs w:val="24"/>
          <w:lang w:val="bg-BG"/>
        </w:rPr>
        <w:t>6 -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Всеки ден“), като по-високият бал</w:t>
      </w:r>
      <w:r w:rsidR="00A000B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при ЕИ и ДЕ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означава по-екстремални отговори (т.е. наличие на симптоми на бърнаут)</w:t>
      </w:r>
      <w:r w:rsidR="00A000BB" w:rsidRPr="00A1146C">
        <w:rPr>
          <w:rFonts w:ascii="Times New Roman" w:hAnsi="Times New Roman" w:cs="Times New Roman"/>
          <w:sz w:val="24"/>
          <w:szCs w:val="24"/>
          <w:lang w:val="bg-BG"/>
        </w:rPr>
        <w:t>, а високи стойности на РА отговарят на ниски референти за бърнаут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Примерни твърдения от теста </w:t>
      </w:r>
      <w:r w:rsidR="00C953F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за бърнаут 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>са: „Всекидневната работа с хора е голямо напрежение за мен.“; „Притеснява ме, че с</w:t>
      </w:r>
      <w:r w:rsidR="00051A0C" w:rsidRPr="00A1146C">
        <w:rPr>
          <w:rFonts w:ascii="Times New Roman" w:hAnsi="Times New Roman" w:cs="Times New Roman"/>
          <w:sz w:val="24"/>
          <w:szCs w:val="24"/>
          <w:lang w:val="bg-BG"/>
        </w:rPr>
        <w:t>егашната ми работа ме прави по-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>нечувствителен/а.“; „Влагам твърде много усилия в работата си.</w:t>
      </w:r>
      <w:r w:rsidR="003576E8" w:rsidRPr="00A1146C">
        <w:rPr>
          <w:rFonts w:ascii="Times New Roman" w:hAnsi="Times New Roman" w:cs="Times New Roman"/>
          <w:sz w:val="24"/>
          <w:szCs w:val="24"/>
          <w:lang w:val="bg-BG"/>
        </w:rPr>
        <w:t>“,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„Чувствам се пълен/а с енергия.“ (обратен айтем).</w:t>
      </w:r>
    </w:p>
    <w:p w14:paraId="764F6B2D" w14:textId="413EBE82" w:rsidR="000236CB" w:rsidRPr="00A1146C" w:rsidRDefault="00C8130C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Измерването на </w:t>
      </w:r>
      <w:r w:rsidR="00B464C7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олемите пет става посредством </w:t>
      </w:r>
      <w:r w:rsidR="006E04AE" w:rsidRPr="00A1146C">
        <w:rPr>
          <w:rFonts w:ascii="Times New Roman" w:hAnsi="Times New Roman" w:cs="Times New Roman"/>
          <w:sz w:val="24"/>
          <w:szCs w:val="24"/>
          <w:lang w:val="bg-BG"/>
        </w:rPr>
        <w:t>въпросник</w:t>
      </w:r>
      <w:r w:rsidR="00051A0C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E04A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 от </w:t>
      </w:r>
      <w:r w:rsidR="009734B1">
        <w:rPr>
          <w:rFonts w:ascii="Times New Roman" w:hAnsi="Times New Roman" w:cs="Times New Roman"/>
          <w:sz w:val="24"/>
          <w:szCs w:val="24"/>
        </w:rPr>
        <w:t>John</w:t>
      </w:r>
      <w:r w:rsidR="006E04A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сътрудници (Big Five Inventory – BFI; John et al., 1991). За български условия въпросникът е адаптиран от Максимка Рашева (Рашева, 2015). </w:t>
      </w:r>
      <w:r w:rsidR="0085536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За оценка на петте личностни фактора се използват кратки фрази, основани на прилагателни, описващи черти. Въпросникът е съставен от 40 айтема и има пет субскали: екстраверсия  с примерен айтем: ,,Виждам  себе си като човек, който е приказлив.“; доброжелателност  с примерен айтем: ,,Виждам себе си като човек, който е внимателен и любезен почти с всеки.“; </w:t>
      </w:r>
      <w:r w:rsidR="0017399C" w:rsidRPr="00A1146C">
        <w:rPr>
          <w:rFonts w:ascii="Times New Roman" w:hAnsi="Times New Roman" w:cs="Times New Roman"/>
          <w:sz w:val="24"/>
          <w:szCs w:val="24"/>
          <w:lang w:val="bg-BG"/>
        </w:rPr>
        <w:t>съзнателност</w:t>
      </w:r>
      <w:r w:rsidR="0085536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 примерен айтем: ,,Виждам  себе си като човек, който постоянства, докато не приключи задачата.“; невротизъм с примерен айтем: ,,Виждам  себе си като човек, който лесно се нервира.“; отвореност към опита с примерен айтем: ,,Виждам  себе си като човек, който е оригинален, догонващ нови идеи.“. </w:t>
      </w:r>
      <w:r w:rsidR="0039478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85536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субскалите</w:t>
      </w:r>
      <w:r w:rsidR="00D46717">
        <w:rPr>
          <w:rFonts w:ascii="Times New Roman" w:hAnsi="Times New Roman" w:cs="Times New Roman"/>
          <w:sz w:val="24"/>
          <w:szCs w:val="24"/>
        </w:rPr>
        <w:t>,</w:t>
      </w:r>
      <w:r w:rsidR="0085536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алфа на Кронбах варира между </w:t>
      </w:r>
      <w:r w:rsidR="0077300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5536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71 и </w:t>
      </w:r>
      <w:r w:rsidR="0077300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85536F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81. Въпросникът използва </w:t>
      </w:r>
      <w:r w:rsidR="00070707" w:rsidRPr="00A1146C">
        <w:rPr>
          <w:rFonts w:ascii="Times New Roman" w:hAnsi="Times New Roman" w:cs="Times New Roman"/>
          <w:sz w:val="24"/>
          <w:szCs w:val="24"/>
          <w:lang w:val="bg-BG"/>
        </w:rPr>
        <w:t>л</w:t>
      </w:r>
      <w:r w:rsidR="0085536F" w:rsidRPr="00A1146C">
        <w:rPr>
          <w:rFonts w:ascii="Times New Roman" w:hAnsi="Times New Roman" w:cs="Times New Roman"/>
          <w:sz w:val="24"/>
          <w:szCs w:val="24"/>
          <w:lang w:val="bg-BG"/>
        </w:rPr>
        <w:t>икертова скала (1 – силно съгласен; 5- силно несъгласен).</w:t>
      </w:r>
      <w:r w:rsidR="000236C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03EA8257" w14:textId="3785F2BC" w:rsidR="00CB5B74" w:rsidRPr="00A1146C" w:rsidRDefault="000D02E1" w:rsidP="00FA5C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Измерването на общата удовлетвореност от труда става посредством въпросник разработен от Мария Радославова и Ангел Величков </w:t>
      </w:r>
      <w:r w:rsidR="00A64FA9" w:rsidRPr="00A1146C">
        <w:rPr>
          <w:rFonts w:ascii="Times New Roman" w:hAnsi="Times New Roman" w:cs="Times New Roman"/>
          <w:sz w:val="24"/>
          <w:szCs w:val="24"/>
          <w:lang w:val="bg-BG"/>
        </w:rPr>
        <w:t>(2005). Скалата за оценка на глобалната удовлетвореност от труда съдържа осем твърдения относно дейността</w:t>
      </w:r>
      <w:r w:rsidR="00051A0C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A64FA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извършвана на работното място. Изследваните лица избират степен на съгласие, като оценяването става посредством 5- степенна ликертова скала (1 – много несъгласен; 5 – напълно съгласен). Примерн</w:t>
      </w:r>
      <w:r w:rsidR="00824A49"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64FA9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айтем</w:t>
      </w:r>
      <w:r w:rsidR="00824A49" w:rsidRPr="00A1146C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64FA9" w:rsidRPr="00A1146C">
        <w:rPr>
          <w:rFonts w:ascii="Times New Roman" w:hAnsi="Times New Roman" w:cs="Times New Roman"/>
          <w:sz w:val="24"/>
          <w:szCs w:val="24"/>
          <w:lang w:val="bg-BG"/>
        </w:rPr>
        <w:t>: „Работата ми харесва“, „Бих я препоръчал(а) и на други хора“, „Имам желания да я сменя“. От осемте твърдения две налагат обръщане (1 = 5, 2 = 4, 3 = 3, 4 = 2 и 5 = 1).</w:t>
      </w:r>
      <w:r w:rsidR="005B238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Авторите отбелязват, че се наблюдава позитивна връзка със скалата</w:t>
      </w:r>
      <w:r w:rsidR="005B2382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238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за обща удовлетвореност на </w:t>
      </w:r>
      <w:r w:rsidR="005B2382" w:rsidRPr="00A1146C">
        <w:rPr>
          <w:rFonts w:ascii="Times New Roman" w:hAnsi="Times New Roman" w:cs="Times New Roman"/>
          <w:sz w:val="24"/>
          <w:szCs w:val="24"/>
        </w:rPr>
        <w:t>Spector</w:t>
      </w:r>
      <w:r w:rsidR="005B2382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2382" w:rsidRPr="00A1146C">
        <w:rPr>
          <w:rFonts w:ascii="Times New Roman" w:hAnsi="Times New Roman" w:cs="Times New Roman"/>
          <w:sz w:val="24"/>
          <w:szCs w:val="24"/>
        </w:rPr>
        <w:t>r</w:t>
      </w:r>
      <w:r w:rsidR="005B2382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= ,49, </w:t>
      </w:r>
      <w:r w:rsidR="005B2382" w:rsidRPr="00A1146C">
        <w:rPr>
          <w:rFonts w:ascii="Times New Roman" w:hAnsi="Times New Roman" w:cs="Times New Roman"/>
          <w:sz w:val="24"/>
          <w:szCs w:val="24"/>
        </w:rPr>
        <w:t>p</w:t>
      </w:r>
      <w:r w:rsidR="005B2382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&lt; ,01</w:t>
      </w:r>
      <w:r w:rsidR="005B238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и скалата на Янакиев </w:t>
      </w:r>
      <w:r w:rsidR="005B2382" w:rsidRPr="00A1146C">
        <w:rPr>
          <w:rFonts w:ascii="Times New Roman" w:hAnsi="Times New Roman" w:cs="Times New Roman"/>
          <w:sz w:val="24"/>
          <w:szCs w:val="24"/>
        </w:rPr>
        <w:t>r</w:t>
      </w:r>
      <w:r w:rsidR="005B2382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= ,58, </w:t>
      </w:r>
      <w:r w:rsidR="005B2382" w:rsidRPr="00A1146C">
        <w:rPr>
          <w:rFonts w:ascii="Times New Roman" w:hAnsi="Times New Roman" w:cs="Times New Roman"/>
          <w:sz w:val="24"/>
          <w:szCs w:val="24"/>
        </w:rPr>
        <w:t>p</w:t>
      </w:r>
      <w:r w:rsidR="005B2382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&lt; ,01. </w:t>
      </w:r>
      <w:r w:rsidR="005B238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Според тях, тези данни </w:t>
      </w:r>
      <w:r w:rsidR="00EB0E28" w:rsidRPr="00A1146C">
        <w:rPr>
          <w:rFonts w:ascii="Times New Roman" w:hAnsi="Times New Roman" w:cs="Times New Roman"/>
          <w:sz w:val="24"/>
          <w:szCs w:val="24"/>
          <w:lang w:val="bg-BG"/>
        </w:rPr>
        <w:t>доказват</w:t>
      </w:r>
      <w:r w:rsidR="005B2382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0E28" w:rsidRPr="00A1146C">
        <w:rPr>
          <w:rFonts w:ascii="Times New Roman" w:hAnsi="Times New Roman" w:cs="Times New Roman"/>
          <w:sz w:val="24"/>
          <w:szCs w:val="24"/>
          <w:lang w:val="bg-BG"/>
        </w:rPr>
        <w:t>наличие на конвергентна валидност в настоящата скала за обща удовлетвореност от труда.</w:t>
      </w:r>
    </w:p>
    <w:p w14:paraId="00E1D02B" w14:textId="55BA773F" w:rsidR="00882C21" w:rsidRPr="00A1146C" w:rsidRDefault="00FC3C77" w:rsidP="00CD123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5.4 </w:t>
      </w:r>
      <w:r w:rsidR="001249D3" w:rsidRPr="00A1146C">
        <w:rPr>
          <w:rFonts w:ascii="Times New Roman" w:hAnsi="Times New Roman" w:cs="Times New Roman"/>
          <w:b/>
          <w:sz w:val="24"/>
          <w:szCs w:val="24"/>
          <w:lang w:val="bg-BG"/>
        </w:rPr>
        <w:t>Процедура</w:t>
      </w:r>
    </w:p>
    <w:p w14:paraId="71FBBA90" w14:textId="5E9D9C3A" w:rsidR="001249D3" w:rsidRPr="00A1146C" w:rsidRDefault="00F53ECE" w:rsidP="004D71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До всички участници се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изпраща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линк посредством елетронна поща към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81836" w:rsidRPr="00A1146C">
        <w:rPr>
          <w:rFonts w:ascii="Times New Roman" w:hAnsi="Times New Roman" w:cs="Times New Roman"/>
          <w:sz w:val="24"/>
          <w:szCs w:val="24"/>
          <w:lang w:val="bg-BG"/>
        </w:rPr>
        <w:t>форма за попълване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прикачен към </w:t>
      </w:r>
      <w:r w:rsidR="009B3B18" w:rsidRPr="00A1146C"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>Google</w:t>
      </w:r>
      <w:proofErr w:type="spellEnd"/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>Forms</w:t>
      </w:r>
      <w:proofErr w:type="spellEnd"/>
      <w:r w:rsidR="009B3B18" w:rsidRPr="00A1146C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E85CF4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hyperlink r:id="rId11" w:history="1">
        <w:r w:rsidR="00E85CF4" w:rsidRPr="00A1146C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>https://goo.gl/forms/4ZxxzClyKYJWGlgH3</w:t>
        </w:r>
      </w:hyperlink>
      <w:r w:rsidR="00E85CF4" w:rsidRPr="00A1146C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C6D8B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Изследваните лица </w:t>
      </w:r>
      <w:r w:rsidR="00410DCF" w:rsidRPr="00A1146C">
        <w:rPr>
          <w:rFonts w:ascii="Times New Roman" w:hAnsi="Times New Roman" w:cs="Times New Roman"/>
          <w:sz w:val="24"/>
          <w:szCs w:val="24"/>
          <w:lang w:val="bg-BG"/>
        </w:rPr>
        <w:t>няма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огранич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>ени</w:t>
      </w:r>
      <w:r w:rsidR="00410DCF" w:rsidRPr="00A1146C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F91E0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във времето за попълване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Инструкцията към тях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1249D3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следната:</w:t>
      </w:r>
    </w:p>
    <w:p w14:paraId="1B03418A" w14:textId="7DD228D5" w:rsidR="00964117" w:rsidRPr="00A1146C" w:rsidRDefault="001249D3" w:rsidP="0096411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964117" w:rsidRPr="00A1146C">
        <w:rPr>
          <w:rFonts w:ascii="Times New Roman" w:hAnsi="Times New Roman" w:cs="Times New Roman"/>
          <w:sz w:val="24"/>
          <w:szCs w:val="24"/>
          <w:lang w:val="bg-BG"/>
        </w:rPr>
        <w:t>Уважаеми участници, настоящото изследване се прави с научна цел – да се изследват различните убеждения  на човека за себе си и за  другите хора. Изследването се провежда като част от дипломна работа към бакалавърска програма „Психология“ в департамент “Когнитивна наука и психология“ в Нов Български Университет. В това изследване ще бъдете помолени да попълните няколко въпросника. Изследването е анонимно, а участието в него е доброволно. Имате право да се откажете по всяко време от участие в изследването без да е нужно да давате обяснения и без това да има каквито и да е последици за Вас. Няма верни и грешни отговори, от значение е единствено Вашето лично мнение. Моля отговорете на всички въпроси.</w:t>
      </w:r>
      <w:r w:rsidR="008D7E21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Попълването на въпросниците няма да Ви отнеме повече от 20 </w:t>
      </w:r>
      <w:r w:rsidR="008D7E21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>минути.</w:t>
      </w:r>
      <w:r w:rsidR="00033B55" w:rsidRPr="00A1146C">
        <w:rPr>
          <w:rFonts w:ascii="Times New Roman" w:hAnsi="Times New Roman" w:cs="Times New Roman"/>
          <w:lang w:val="bg-BG"/>
        </w:rPr>
        <w:t xml:space="preserve"> </w:t>
      </w:r>
      <w:r w:rsidR="00033B55" w:rsidRPr="00A1146C">
        <w:rPr>
          <w:rFonts w:ascii="Times New Roman" w:hAnsi="Times New Roman" w:cs="Times New Roman"/>
          <w:sz w:val="24"/>
          <w:szCs w:val="24"/>
          <w:lang w:val="bg-BG"/>
        </w:rPr>
        <w:t>Ако имате въпроси към изследването, може да се свържете с мен на metodi.simeonov@gmail.com.</w:t>
      </w:r>
      <w:r w:rsidR="00C8130C" w:rsidRPr="00A1146C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14:paraId="4348325D" w14:textId="5B630B32" w:rsidR="0045665E" w:rsidRPr="00A1146C" w:rsidRDefault="003B762A" w:rsidP="00773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След като попълнят </w:t>
      </w:r>
      <w:r w:rsidR="008B5EE2" w:rsidRPr="00A1146C">
        <w:rPr>
          <w:rFonts w:ascii="Times New Roman" w:hAnsi="Times New Roman" w:cs="Times New Roman"/>
          <w:sz w:val="24"/>
          <w:szCs w:val="24"/>
          <w:lang w:val="bg-BG"/>
        </w:rPr>
        <w:t>трите въпросника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участието на изследваните лица приключва.</w:t>
      </w:r>
      <w:r w:rsidR="007C603D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603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Получените отговори се изтеглят от </w:t>
      </w:r>
      <w:r w:rsidR="009B3B18" w:rsidRPr="00A1146C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7C603D" w:rsidRPr="00A1146C">
        <w:rPr>
          <w:rFonts w:ascii="Times New Roman" w:hAnsi="Times New Roman" w:cs="Times New Roman"/>
          <w:sz w:val="24"/>
          <w:szCs w:val="24"/>
          <w:lang w:val="bg-BG"/>
        </w:rPr>
        <w:t>Google Forms</w:t>
      </w:r>
      <w:r w:rsidR="009B3B18" w:rsidRPr="00A1146C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7C603D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="007C603D" w:rsidRPr="00A1146C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7C603D" w:rsidRPr="00A1146C">
        <w:rPr>
          <w:rFonts w:ascii="Times New Roman" w:hAnsi="Times New Roman" w:cs="Times New Roman"/>
          <w:sz w:val="24"/>
          <w:szCs w:val="24"/>
        </w:rPr>
        <w:t>xlsx</w:t>
      </w:r>
      <w:r w:rsidR="007C603D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7C603D" w:rsidRPr="00A1146C">
        <w:rPr>
          <w:rFonts w:ascii="Times New Roman" w:hAnsi="Times New Roman" w:cs="Times New Roman"/>
          <w:sz w:val="24"/>
          <w:szCs w:val="24"/>
          <w:lang w:val="bg-BG"/>
        </w:rPr>
        <w:t>формат, след което се обработват.</w:t>
      </w:r>
    </w:p>
    <w:p w14:paraId="56397A21" w14:textId="466D8C68" w:rsidR="00E77AF7" w:rsidRPr="00A1146C" w:rsidRDefault="00103B5C" w:rsidP="00B1508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Резултати </w:t>
      </w:r>
    </w:p>
    <w:p w14:paraId="54746DE2" w14:textId="06C75C7C" w:rsidR="00921ACE" w:rsidRPr="00B55C33" w:rsidRDefault="00FC3C77" w:rsidP="00FC3C77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b/>
          <w:iCs/>
          <w:sz w:val="24"/>
          <w:szCs w:val="24"/>
        </w:rPr>
      </w:pPr>
      <w:r w:rsidRPr="008D7506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6</w:t>
      </w:r>
      <w:r w:rsidR="003C5E61" w:rsidRPr="008D7506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 xml:space="preserve">.1 </w:t>
      </w:r>
      <w:r w:rsidR="00921ACE" w:rsidRPr="008D7506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Дескриптивна статистика</w:t>
      </w:r>
    </w:p>
    <w:p w14:paraId="440A4AF2" w14:textId="34176DA2" w:rsidR="00154F78" w:rsidRPr="00A1146C" w:rsidRDefault="00CB5B74" w:rsidP="00646F35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статистическа обработка на данните се използва безплатната среда за статистическо програмиране </w:t>
      </w:r>
      <w:r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“</w:t>
      </w:r>
      <w:r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”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версия 4.0</w:t>
      </w:r>
      <w:r w:rsidR="00FA3318">
        <w:rPr>
          <w:rFonts w:ascii="Times New Roman" w:eastAsia="Calibri" w:hAnsi="Times New Roman" w:cs="Times New Roman"/>
          <w:sz w:val="24"/>
          <w:szCs w:val="24"/>
        </w:rPr>
        <w:t>5 (</w:t>
      </w:r>
      <w:r w:rsidR="00FA3318" w:rsidRPr="00FA3318">
        <w:rPr>
          <w:rFonts w:ascii="Times New Roman" w:eastAsia="Calibri" w:hAnsi="Times New Roman" w:cs="Times New Roman"/>
          <w:sz w:val="24"/>
          <w:szCs w:val="24"/>
        </w:rPr>
        <w:t>R Core Team</w:t>
      </w:r>
      <w:r w:rsidR="00FA331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A3318" w:rsidRPr="00FA3318">
        <w:rPr>
          <w:rFonts w:ascii="Times New Roman" w:eastAsia="Calibri" w:hAnsi="Times New Roman" w:cs="Times New Roman"/>
          <w:sz w:val="24"/>
          <w:szCs w:val="24"/>
        </w:rPr>
        <w:t>2020)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комбинация с графичен интерфейс „</w:t>
      </w:r>
      <w:r w:rsidRPr="00A1146C">
        <w:rPr>
          <w:rFonts w:ascii="Times New Roman" w:eastAsia="Calibri" w:hAnsi="Times New Roman" w:cs="Times New Roman"/>
          <w:sz w:val="24"/>
          <w:szCs w:val="24"/>
        </w:rPr>
        <w:t>RStudio</w:t>
      </w:r>
      <w:r w:rsidR="00AA660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“ </w:t>
      </w:r>
      <w:r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0547AE" w:rsidRPr="00726525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0547AE" w:rsidRPr="000547AE">
        <w:rPr>
          <w:rFonts w:ascii="Times New Roman" w:eastAsia="Calibri" w:hAnsi="Times New Roman" w:cs="Times New Roman"/>
          <w:sz w:val="24"/>
          <w:szCs w:val="24"/>
        </w:rPr>
        <w:t>Allaire</w:t>
      </w:r>
      <w:r w:rsidR="000547AE" w:rsidRPr="0072652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2012), </w:t>
      </w:r>
      <w:r w:rsidR="000547A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версия </w:t>
      </w:r>
      <w:r w:rsidR="000547A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1.</w:t>
      </w:r>
      <w:r w:rsidR="00FA3318">
        <w:rPr>
          <w:rFonts w:ascii="Times New Roman" w:eastAsia="Calibri" w:hAnsi="Times New Roman" w:cs="Times New Roman"/>
          <w:sz w:val="24"/>
          <w:szCs w:val="24"/>
        </w:rPr>
        <w:t>4</w:t>
      </w:r>
      <w:r w:rsidR="000547A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CD1A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Наличието на стотици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специфични</w:t>
      </w:r>
      <w:r w:rsidR="00CD1A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пакети предлага множество възможности 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CD1A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различни 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техники </w:t>
      </w:r>
      <w:r w:rsidR="000B481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з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4B50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статистически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CD1A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анализ</w:t>
      </w:r>
      <w:r w:rsidR="0071543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4B50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които</w:t>
      </w:r>
      <w:r w:rsidR="00CD1A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напълно заместват познатите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4B50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лицензиран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CD1A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статистически </w:t>
      </w:r>
      <w:r w:rsidR="004B50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приложения 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като </w:t>
      </w:r>
      <w:r w:rsidR="003369C3" w:rsidRPr="00A1146C">
        <w:rPr>
          <w:rFonts w:ascii="Times New Roman" w:eastAsia="Calibri" w:hAnsi="Times New Roman" w:cs="Times New Roman"/>
          <w:sz w:val="24"/>
          <w:szCs w:val="24"/>
        </w:rPr>
        <w:t>IBM</w:t>
      </w:r>
      <w:r w:rsidR="003369C3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54F78" w:rsidRPr="00A1146C">
        <w:rPr>
          <w:rFonts w:ascii="Times New Roman" w:eastAsia="Calibri" w:hAnsi="Times New Roman" w:cs="Times New Roman"/>
          <w:sz w:val="24"/>
          <w:szCs w:val="24"/>
        </w:rPr>
        <w:t>SPSS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154F78" w:rsidRPr="00A1146C">
        <w:rPr>
          <w:rFonts w:ascii="Times New Roman" w:eastAsia="Calibri" w:hAnsi="Times New Roman" w:cs="Times New Roman"/>
          <w:sz w:val="24"/>
          <w:szCs w:val="24"/>
        </w:rPr>
        <w:t>TIBCO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54F78" w:rsidRPr="00A1146C">
        <w:rPr>
          <w:rFonts w:ascii="Times New Roman" w:eastAsia="Calibri" w:hAnsi="Times New Roman" w:cs="Times New Roman"/>
          <w:sz w:val="24"/>
          <w:szCs w:val="24"/>
        </w:rPr>
        <w:t>Statistica</w:t>
      </w:r>
      <w:proofErr w:type="spellEnd"/>
      <w:r w:rsidR="00154F7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154F78" w:rsidRPr="00A1146C">
        <w:rPr>
          <w:rFonts w:ascii="Times New Roman" w:eastAsia="Calibri" w:hAnsi="Times New Roman" w:cs="Times New Roman"/>
          <w:sz w:val="24"/>
          <w:szCs w:val="24"/>
        </w:rPr>
        <w:t>STATA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 други.</w:t>
      </w:r>
      <w:r w:rsidR="00CD1A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5D72B8F8" w14:textId="78C46CCB" w:rsidR="00646F35" w:rsidRPr="00726525" w:rsidRDefault="00CB5B74" w:rsidP="00646F35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 страница</w:t>
      </w:r>
      <w:r w:rsidR="006129D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C6FA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="004026F8">
        <w:rPr>
          <w:rFonts w:ascii="Times New Roman" w:eastAsia="Calibri" w:hAnsi="Times New Roman" w:cs="Times New Roman"/>
          <w:sz w:val="24"/>
          <w:szCs w:val="24"/>
          <w:lang w:val="bg-BG"/>
        </w:rPr>
        <w:t>5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Графика </w:t>
      </w:r>
      <w:r w:rsidR="004E4739" w:rsidRPr="00A1146C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5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изобразява в детайл 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графично и цифрово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 разпределение</w:t>
      </w:r>
      <w:r w:rsidR="00DB3B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корелационните коефициенти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DB3B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тяхната значимост 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между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всяка променлива. 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изработката на тази графика се използва пакетът </w:t>
      </w:r>
      <w:r w:rsidR="00154F78" w:rsidRPr="00726525">
        <w:rPr>
          <w:rFonts w:ascii="Times New Roman" w:eastAsia="Calibri" w:hAnsi="Times New Roman" w:cs="Times New Roman"/>
          <w:sz w:val="24"/>
          <w:szCs w:val="24"/>
          <w:lang w:val="bg-BG"/>
        </w:rPr>
        <w:t>“</w:t>
      </w:r>
      <w:proofErr w:type="spellStart"/>
      <w:r w:rsidR="00154F78" w:rsidRPr="00A1146C">
        <w:rPr>
          <w:rFonts w:ascii="Times New Roman" w:eastAsia="Calibri" w:hAnsi="Times New Roman" w:cs="Times New Roman"/>
          <w:sz w:val="24"/>
          <w:szCs w:val="24"/>
        </w:rPr>
        <w:t>PerformanceAnalytics</w:t>
      </w:r>
      <w:proofErr w:type="spellEnd"/>
      <w:r w:rsidR="00154F78" w:rsidRPr="007265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” </w:t>
      </w:r>
      <w:r w:rsidR="00270B0D" w:rsidRPr="00726525">
        <w:rPr>
          <w:rFonts w:ascii="Times New Roman" w:eastAsia="Calibri" w:hAnsi="Times New Roman" w:cs="Times New Roman"/>
          <w:sz w:val="24"/>
          <w:szCs w:val="24"/>
          <w:lang w:val="bg-BG"/>
        </w:rPr>
        <w:t>(</w:t>
      </w:r>
      <w:r w:rsidR="00B55C33" w:rsidRPr="00B55C33">
        <w:rPr>
          <w:rFonts w:ascii="Times New Roman" w:eastAsia="Calibri" w:hAnsi="Times New Roman" w:cs="Times New Roman"/>
          <w:sz w:val="24"/>
          <w:szCs w:val="24"/>
        </w:rPr>
        <w:t>Peterson</w:t>
      </w:r>
      <w:r w:rsidR="00B55C33" w:rsidRPr="007265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B55C33">
        <w:rPr>
          <w:rFonts w:ascii="Times New Roman" w:eastAsia="Calibri" w:hAnsi="Times New Roman" w:cs="Times New Roman"/>
          <w:sz w:val="24"/>
          <w:szCs w:val="24"/>
        </w:rPr>
        <w:t>et</w:t>
      </w:r>
      <w:r w:rsidR="00B55C33" w:rsidRPr="0072652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B55C33">
        <w:rPr>
          <w:rFonts w:ascii="Times New Roman" w:eastAsia="Calibri" w:hAnsi="Times New Roman" w:cs="Times New Roman"/>
          <w:sz w:val="24"/>
          <w:szCs w:val="24"/>
        </w:rPr>
        <w:t>al</w:t>
      </w:r>
      <w:r w:rsidR="00B55C33" w:rsidRPr="00726525">
        <w:rPr>
          <w:rFonts w:ascii="Times New Roman" w:eastAsia="Calibri" w:hAnsi="Times New Roman" w:cs="Times New Roman"/>
          <w:sz w:val="24"/>
          <w:szCs w:val="24"/>
          <w:lang w:val="bg-BG"/>
        </w:rPr>
        <w:t>., 2020).</w:t>
      </w:r>
    </w:p>
    <w:p w14:paraId="75F3647D" w14:textId="4835A689" w:rsidR="004409DF" w:rsidRPr="00BF5E97" w:rsidRDefault="00CB5B74" w:rsidP="00E859F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Корелационните коефициенти и тяхната статистическа значимост онагледяват взаимовръзките между различните променливи. Правят впечатление няколко бегълци, които потенциално биха изкривили последващите анализи. </w:t>
      </w:r>
      <w:r w:rsidR="007E1F1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Вземайки това предвид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9054D9">
        <w:rPr>
          <w:rFonts w:ascii="Times New Roman" w:eastAsia="Calibri" w:hAnsi="Times New Roman" w:cs="Times New Roman"/>
          <w:sz w:val="24"/>
          <w:szCs w:val="24"/>
          <w:lang w:val="bg-BG"/>
        </w:rPr>
        <w:t>по</w:t>
      </w:r>
      <w:r w:rsidR="007E1F1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</w:t>
      </w:r>
      <w:r w:rsidR="009054D9">
        <w:rPr>
          <w:rFonts w:ascii="Times New Roman" w:eastAsia="Calibri" w:hAnsi="Times New Roman" w:cs="Times New Roman"/>
          <w:sz w:val="24"/>
          <w:szCs w:val="24"/>
          <w:lang w:val="bg-BG"/>
        </w:rPr>
        <w:t>редством</w:t>
      </w:r>
      <w:r w:rsidR="007E1F1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допълнителен анализ</w:t>
      </w:r>
      <w:r w:rsidR="007E1F1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се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определя с точност колко и ко</w:t>
      </w:r>
      <w:r w:rsidR="005C0258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изследвани лица са посочили </w:t>
      </w:r>
      <w:r w:rsidR="003369C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завишени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оценки по дадените скали, което е </w:t>
      </w:r>
      <w:r w:rsidR="0034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показано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</w:t>
      </w:r>
      <w:r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Графика 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3</w:t>
      </w:r>
      <w:r w:rsidR="0034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4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 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 страница 2</w:t>
      </w:r>
      <w:r w:rsidR="00E859F4">
        <w:rPr>
          <w:rFonts w:ascii="Times New Roman" w:eastAsia="Calibri" w:hAnsi="Times New Roman" w:cs="Times New Roman"/>
          <w:sz w:val="24"/>
          <w:szCs w:val="24"/>
          <w:lang w:val="bg-BG"/>
        </w:rPr>
        <w:t>4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изработка на </w:t>
      </w:r>
      <w:r w:rsidR="00154F78" w:rsidRPr="00D77529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графика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54F78" w:rsidRPr="00D77529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3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154F78" w:rsidRPr="00D77529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4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се използва пакетът „ggstatsplot“</w:t>
      </w:r>
      <w:r w:rsidR="00FF3B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</w:t>
      </w:r>
      <w:r w:rsidR="00FF3BB8" w:rsidRPr="00A1146C">
        <w:rPr>
          <w:rFonts w:ascii="Times New Roman" w:eastAsia="Calibri" w:hAnsi="Times New Roman" w:cs="Times New Roman"/>
          <w:sz w:val="24"/>
          <w:szCs w:val="24"/>
        </w:rPr>
        <w:t>Patil</w:t>
      </w:r>
      <w:r w:rsidR="00FF3BB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, 2018</w:t>
      </w:r>
      <w:r w:rsidR="00FF3B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)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 С негова помощ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</w:t>
      </w:r>
      <w:r w:rsidR="00BD50B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ткритите бегълци са обозначени </w:t>
      </w:r>
      <w:r w:rsidR="0034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като номер на изследвано лице, обградено в</w:t>
      </w:r>
      <w:r w:rsidR="00817D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червен квадрат</w:t>
      </w:r>
      <w:r w:rsidR="003369C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4B50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 прилежащата му </w:t>
      </w:r>
      <w:r w:rsidR="00985CD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променлива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2171B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Получените резултати са в следствие на прилагането на правилото на </w:t>
      </w:r>
      <w:r w:rsidR="00E9400B" w:rsidRPr="00A1146C">
        <w:rPr>
          <w:rFonts w:ascii="Times New Roman" w:hAnsi="Times New Roman" w:cs="Times New Roman"/>
          <w:sz w:val="24"/>
          <w:szCs w:val="24"/>
          <w:lang w:val="bg-BG"/>
        </w:rPr>
        <w:t>Tukey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което гласи, че стойности, по-големи от 1,5 пъти между-квартилния диапазон се отчитат като бегълци (под  Q1 − 1.5IQR, или над Q3 + 1.5IQR)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 </w:t>
      </w:r>
      <w:r w:rsidR="00646F35"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Tukey, </w:t>
      </w:r>
      <w:r w:rsidR="00646F35" w:rsidRPr="00A1146C">
        <w:rPr>
          <w:rFonts w:ascii="Times New Roman" w:hAnsi="Times New Roman" w:cs="Times New Roman"/>
          <w:sz w:val="24"/>
          <w:szCs w:val="24"/>
        </w:rPr>
        <w:t>et</w:t>
      </w:r>
      <w:r w:rsidR="00646F35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6F35" w:rsidRPr="00A1146C">
        <w:rPr>
          <w:rFonts w:ascii="Times New Roman" w:hAnsi="Times New Roman" w:cs="Times New Roman"/>
          <w:sz w:val="24"/>
          <w:szCs w:val="24"/>
        </w:rPr>
        <w:t>al</w:t>
      </w:r>
      <w:r w:rsidR="00646F35"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646F35" w:rsidRPr="00A1146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46F35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(1986</w:t>
      </w:r>
      <w:r w:rsidR="00646F35" w:rsidRPr="00A114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154F7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 следствие на този анализ, следните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изследвани лица са премахнати от прилежащите им скали и изключени от последващи анализи: екстраверсия – ИЛ 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№60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отвореност към опита – ИЛ 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№11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№32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удовлетвореност от труда – ИЛ 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№73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общ бърнаут </w:t>
      </w:r>
      <w:r w:rsidR="001651CE" w:rsidRPr="00A1146C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0AA920" wp14:editId="760485FE">
                <wp:simplePos x="0" y="0"/>
                <wp:positionH relativeFrom="margin">
                  <wp:align>left</wp:align>
                </wp:positionH>
                <wp:positionV relativeFrom="margin">
                  <wp:posOffset>3679825</wp:posOffset>
                </wp:positionV>
                <wp:extent cx="2505075" cy="241935"/>
                <wp:effectExtent l="0" t="0" r="28575" b="24765"/>
                <wp:wrapThrough wrapText="bothSides">
                  <wp:wrapPolygon edited="0">
                    <wp:start x="0" y="0"/>
                    <wp:lineTo x="0" y="22110"/>
                    <wp:lineTo x="21682" y="22110"/>
                    <wp:lineTo x="21682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62328" w14:textId="332E91BE" w:rsidR="00641EF7" w:rsidRPr="005B5C7E" w:rsidRDefault="00641EF7" w:rsidP="00641EF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>Графика</w:t>
                            </w:r>
                            <w:r w:rsidRPr="00107730"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3 –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>Анализ за бегълци: Големите пет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A9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9.75pt;width:197.25pt;height:19.0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vyEAIAAB8EAAAOAAAAZHJzL2Uyb0RvYy54bWysU9tu2zAMfR+wfxD0vtjx4rUx4hRdugwD&#10;ugvQ7QNkWbaFyaImKbGzrx8lu2l2exmmB4EUqUPykNzcjL0iR2GdBF3S5SKlRGgOtdRtSb983r+4&#10;psR5pmumQIuSnoSjN9vnzzaDKUQGHahaWIIg2hWDKWnnvSmSxPFO9MwtwAiNxgZszzyqtk1qywZE&#10;71WSpemrZABbGwtcOIevd5ORbiN+0wjuPzaNE56okmJuPt423lW4k+2GFa1lppN8ToP9QxY9kxqD&#10;nqHumGfkYOVvUL3kFhw0fsGhT6BpJBexBqxmmf5SzUPHjIi1IDnOnGly/w+Wfzg+mE+W+PE1jNjA&#10;WIQz98C/OqJh1zHdiltrYegEqzHwMlCWDMYV89dAtStcAKmG91Bjk9nBQwQaG9sHVrBOgujYgNOZ&#10;dDF6wvExy9M8vcop4WjLVsv1yzyGYMXjb2OdfyugJ0EoqcWmRnR2vHc+ZMOKR5cQzIGS9V4qFRXb&#10;VjtlyZHhAOzjmdF/clOaDCVd51k+EfBXiDSeP0H00uMkK9mX9PrsxIpA2xtdxznzTKpJxpSVnnkM&#10;1E0k+rEa0THwWUF9QkYtTBOLG4ZCB/Y7JQNOa0ndtwOzghL1TmNX1svVKox3VFb5VYaKvbRUlxam&#10;OUKV1FMyiTsfVyIQpuEWu9fISOxTJnOuOIWR73ljwphf6tHraa+3PwAAAP//AwBQSwMEFAAGAAgA&#10;AAAhAONDFVffAAAACAEAAA8AAABkcnMvZG93bnJldi54bWxMj8FOwzAQRO9I/IO1SFwQdUrbpAnZ&#10;VAgJRG9QEFzdeJtExOtgu2n4e8wJbrOa1cybcjOZXozkfGcZYT5LQBDXVnfcILy9PlyvQfigWKve&#10;MiF8k4dNdX5WqkLbE7/QuAuNiCHsC4XQhjAUUvq6JaP8zA7E0TtYZ1SIp2ukduoUw00vb5IklUZ1&#10;HBtaNdB9S/Xn7mgQ1sun8cNvF8/vdXro83CVjY9fDvHyYrq7BRFoCn/P8Isf0aGKTHt7ZO1FjxCH&#10;BIRVlq9ARHuRL6PYI6TzLAVZlfL/gOoHAAD//wMAUEsBAi0AFAAGAAgAAAAhALaDOJL+AAAA4QEA&#10;ABMAAAAAAAAAAAAAAAAAAAAAAFtDb250ZW50X1R5cGVzXS54bWxQSwECLQAUAAYACAAAACEAOP0h&#10;/9YAAACUAQAACwAAAAAAAAAAAAAAAAAvAQAAX3JlbHMvLnJlbHNQSwECLQAUAAYACAAAACEAu8Vr&#10;8hACAAAfBAAADgAAAAAAAAAAAAAAAAAuAgAAZHJzL2Uyb0RvYy54bWxQSwECLQAUAAYACAAAACEA&#10;40MVV98AAAAIAQAADwAAAAAAAAAAAAAAAABqBAAAZHJzL2Rvd25yZXYueG1sUEsFBgAAAAAEAAQA&#10;8wAAAHYFAAAAAA==&#10;">
                <v:textbox>
                  <w:txbxContent>
                    <w:p w14:paraId="24A62328" w14:textId="332E91BE" w:rsidR="00641EF7" w:rsidRPr="005B5C7E" w:rsidRDefault="00641EF7" w:rsidP="00641EF7">
                      <w:pP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>Графика</w:t>
                      </w:r>
                      <w:r w:rsidRPr="00107730"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3 –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>Анализ за бегълци: Големите пет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– ИЛ 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№73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646F35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№46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646F3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14:paraId="723682CD" w14:textId="1A99294F" w:rsidR="00641EF7" w:rsidRPr="001651CE" w:rsidRDefault="001651CE" w:rsidP="00BD50B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146C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1862E8" wp14:editId="5E33FF5E">
                <wp:simplePos x="0" y="0"/>
                <wp:positionH relativeFrom="margin">
                  <wp:align>left</wp:align>
                </wp:positionH>
                <wp:positionV relativeFrom="page">
                  <wp:posOffset>8315325</wp:posOffset>
                </wp:positionV>
                <wp:extent cx="3286125" cy="237490"/>
                <wp:effectExtent l="0" t="0" r="28575" b="10160"/>
                <wp:wrapThrough wrapText="bothSides">
                  <wp:wrapPolygon edited="0">
                    <wp:start x="0" y="0"/>
                    <wp:lineTo x="0" y="20791"/>
                    <wp:lineTo x="21663" y="20791"/>
                    <wp:lineTo x="21663" y="0"/>
                    <wp:lineTo x="0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A5310" w14:textId="4B9971A2" w:rsidR="00F34A1E" w:rsidRPr="005B5C7E" w:rsidRDefault="00F34A1E" w:rsidP="00F34A1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>Графика</w:t>
                            </w:r>
                            <w:r w:rsidRPr="00107730"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>Анализ за бегълци: Бърнаут и Удовлетвореност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62E8" id="_x0000_s1027" type="#_x0000_t202" style="position:absolute;left:0;text-align:left;margin-left:0;margin-top:654.75pt;width:258.75pt;height:18.7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fuEgIAACYEAAAOAAAAZHJzL2Uyb0RvYy54bWysU9tu2zAMfR+wfxD0vjhxkzYx4hRdugwD&#10;ugvQ7QNkWY6FyaJGKbGzrx+lpGnQDXsYpgdBFKkj8vBweTt0hu0Veg225JPRmDNlJdTabkv+7evm&#10;zZwzH4SthQGrSn5Qnt+uXr9a9q5QObRgaoWMQKwvelfyNgRXZJmXreqEH4FTlpwNYCcCmbjNahQ9&#10;oXcmy8fj66wHrB2CVN7T7f3RyVcJv2mUDJ+bxqvATMkpt5B2THsV92y1FMUWhWu1PKUh/iGLTmhL&#10;n56h7kUQbIf6N6hOSwQPTRhJ6DJoGi1VqoGqmYxfVPPYCqdSLUSOd2ea/P+DlZ/2j+4LsjC8hYEa&#10;mIrw7gHkd88srFtht+oOEfpWiZo+nkTKst754vQ0Uu0LH0Gq/iPU1GSxC5CAhga7yArVyQidGnA4&#10;k66GwCRdXuXz60k+40ySL7+6mS5SVzJRPL126MN7BR2Lh5IjNTWhi/2DDzEbUTyFxM88GF1vtDHJ&#10;wG21Nsj2ggSwSSsV8CLMWNaXfDGjPP4OMU7rTxCdDqRko7uSz89Booi0vbN10lkQ2hzPlLKxJx4j&#10;dUcSw1ANTNcnkiOtFdQHIhbhKFwaNDq0gD8560m0Jfc/dgIVZ+aDpeYsJtNpVHkyprObnAy89FSX&#10;HmElQZU8cHY8rkOajMiAhTtqYqMTv8+ZnFImMSbaT4MT1X5pp6jn8V79AgAA//8DAFBLAwQUAAYA&#10;CAAAACEAN4WilOAAAAAKAQAADwAAAGRycy9kb3ducmV2LnhtbEyPQU/DMAyF70j8h8hIXBBLx7Zu&#10;LU0nhASCG2wTXLPGaysSpzRZV/493glu9nvW8/eK9eisGLAPrScF00kCAqnypqVawW77dLsCEaIm&#10;o60nVPCDAdbl5UWhc+NP9I7DJtaCQyjkWkETY5dLGaoGnQ4T3yGxd/C905HXvpam1ycOd1beJUkq&#10;nW6JPzS6w8cGq6/N0SlYzV+Gz/A6e/uo0oPN4s1yeP7ulbq+Gh/uQUQc498xnPEZHUpm2vsjmSCs&#10;Ai4SWZ0l2QIE+4vpkof9WZqnGciykP8rlL8AAAD//wMAUEsBAi0AFAAGAAgAAAAhALaDOJL+AAAA&#10;4QEAABMAAAAAAAAAAAAAAAAAAAAAAFtDb250ZW50X1R5cGVzXS54bWxQSwECLQAUAAYACAAAACEA&#10;OP0h/9YAAACUAQAACwAAAAAAAAAAAAAAAAAvAQAAX3JlbHMvLnJlbHNQSwECLQAUAAYACAAAACEA&#10;2yen7hICAAAmBAAADgAAAAAAAAAAAAAAAAAuAgAAZHJzL2Uyb0RvYy54bWxQSwECLQAUAAYACAAA&#10;ACEAN4WilOAAAAAKAQAADwAAAAAAAAAAAAAAAABsBAAAZHJzL2Rvd25yZXYueG1sUEsFBgAAAAAE&#10;AAQA8wAAAHkFAAAAAA==&#10;">
                <v:textbox>
                  <w:txbxContent>
                    <w:p w14:paraId="7F5A5310" w14:textId="4B9971A2" w:rsidR="00F34A1E" w:rsidRPr="005B5C7E" w:rsidRDefault="00F34A1E" w:rsidP="00F34A1E">
                      <w:pP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>Графика</w:t>
                      </w:r>
                      <w:r w:rsidRPr="00107730"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>4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>Анализ за бегълци: Бърнаут и Удовлетвореност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EC2338" w:rsidRPr="00EC2338">
        <w:rPr>
          <w:noProof/>
        </w:rPr>
        <w:drawing>
          <wp:anchor distT="0" distB="0" distL="114300" distR="114300" simplePos="0" relativeHeight="251676672" behindDoc="0" locked="0" layoutInCell="1" allowOverlap="1" wp14:anchorId="132F26F0" wp14:editId="6CB98B0F">
            <wp:simplePos x="0" y="0"/>
            <wp:positionH relativeFrom="column">
              <wp:posOffset>4445</wp:posOffset>
            </wp:positionH>
            <wp:positionV relativeFrom="paragraph">
              <wp:posOffset>1270</wp:posOffset>
            </wp:positionV>
            <wp:extent cx="597154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99" y="21440"/>
                <wp:lineTo x="2149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338" w:rsidRPr="00EC2338">
        <w:t xml:space="preserve"> 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2C869C1" wp14:editId="36D801E8">
            <wp:simplePos x="0" y="0"/>
            <wp:positionH relativeFrom="column">
              <wp:posOffset>4445</wp:posOffset>
            </wp:positionH>
            <wp:positionV relativeFrom="paragraph">
              <wp:posOffset>2811145</wp:posOffset>
            </wp:positionV>
            <wp:extent cx="5971540" cy="2905125"/>
            <wp:effectExtent l="0" t="0" r="0" b="9525"/>
            <wp:wrapThrough wrapText="bothSides">
              <wp:wrapPolygon edited="0">
                <wp:start x="0" y="0"/>
                <wp:lineTo x="0" y="21529"/>
                <wp:lineTo x="21499" y="21529"/>
                <wp:lineTo x="2149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51599" w14:textId="57C779D1" w:rsidR="00F34A1E" w:rsidRPr="00A1146C" w:rsidRDefault="00F34A1E" w:rsidP="00BD50B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22DE88CB" w14:textId="0B73A998" w:rsidR="00CB5B74" w:rsidRPr="00A1146C" w:rsidRDefault="00F12609" w:rsidP="004409D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462F0BAE" wp14:editId="6F3DEF47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7439660" cy="5956300"/>
            <wp:effectExtent l="0" t="1270" r="7620" b="7620"/>
            <wp:wrapThrough wrapText="bothSides">
              <wp:wrapPolygon edited="0">
                <wp:start x="21604" y="5"/>
                <wp:lineTo x="33" y="5"/>
                <wp:lineTo x="33" y="21559"/>
                <wp:lineTo x="21604" y="21559"/>
                <wp:lineTo x="21604" y="5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3966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46C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C33884" wp14:editId="0081EE8D">
                <wp:simplePos x="0" y="0"/>
                <wp:positionH relativeFrom="margin">
                  <wp:align>left</wp:align>
                </wp:positionH>
                <wp:positionV relativeFrom="paragraph">
                  <wp:posOffset>7468870</wp:posOffset>
                </wp:positionV>
                <wp:extent cx="1952625" cy="237490"/>
                <wp:effectExtent l="0" t="0" r="2857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78CC2" w14:textId="0206A62D" w:rsidR="00122F7A" w:rsidRPr="005B5C7E" w:rsidRDefault="00122F7A" w:rsidP="005B5C7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>Графика</w:t>
                            </w:r>
                            <w:r w:rsidRPr="00107730"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5 –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bg-BG"/>
                              </w:rPr>
                              <w:t>описателна статистика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3884" id="_x0000_s1028" type="#_x0000_t202" style="position:absolute;left:0;text-align:left;margin-left:0;margin-top:588.1pt;width:153.75pt;height:18.7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PLFAIAACYEAAAOAAAAZHJzL2Uyb0RvYy54bWysk81u2zAMx+8D9g6C7osTL2kbI07Rpcsw&#10;oPsAuj2ALMuxMFnUKCV29/Sl5DQNuu0yzAdBNKU/yR+p1fXQGXZQ6DXYks8mU86UlVBruyv592/b&#10;N1ec+SBsLQxYVfIH5fn1+vWrVe8KlUMLplbISMT6onclb0NwRZZ52apO+Ak4ZcnZAHYikIm7rEbR&#10;k3pnsnw6vch6wNohSOU9/b0dnXyd9JtGyfClabwKzJSccgtpxbRWcc3WK1HsULhWy2Ma4h+y6IS2&#10;FPQkdSuCYHvUv0l1WiJ4aMJEQpdB02ipUg1UzWz6opr7VjiVaiE43p0w+f8nKz8f7t1XZGF4BwM1&#10;MBXh3R3IH55Z2LTC7tQNIvStEjUFnkVkWe98cbwaUfvCR5Gq/wQ1NVnsAyShocEuUqE6GalTAx5O&#10;0NUQmIwhl4v8Il9wJsmXv72cL1NXMlE83XbowwcFHYubkiM1NamLw50PMRtRPB2JwTwYXW+1McnA&#10;XbUxyA6CBmCbvlTAi2PGsr7klMliBPBXiWn6/iTR6UCTbHRX8qvTIVFEbO9tneYsCG3GPaVs7JFj&#10;RDdCDEM1MF0ThhggYq2gfiCwCOPg0kOjTQv4i7Oehrbk/udeoOLMfLTUnOVsPo9Tnoz54jInA889&#10;1blHWElSJQ+cjdtNSC8jcrNwQ01sdOL7nMkxZRrGhP34cOK0n9vp1PPzXj8CAAD//wMAUEsDBBQA&#10;BgAIAAAAIQAAlTrt4AAAAAoBAAAPAAAAZHJzL2Rvd25yZXYueG1sTI9LT8MwEITvSPwHa5G4oNZ5&#10;QFJCnAohgegNWgRXN94mEX4E203Dv2c5wXFnRrPf1OvZaDahD4OzAtJlAgxt69RgOwFvu8fFCliI&#10;0iqpnUUB3xhg3Zyf1bJS7mRfcdrGjlGJDZUU0Mc4VpyHtkcjw9KNaMk7OG9kpNN3XHl5onKjeZYk&#10;BTdysPShlyM+9Nh+bo9GwOr6efoIm/zlvS0O+jZeldPTlxfi8mK+vwMWcY5/YfjFJ3RoiGnvjlYF&#10;pgXQkEhqWhYZMPLzpLwBticpS/MCeFPz/xOaHwAAAP//AwBQSwECLQAUAAYACAAAACEAtoM4kv4A&#10;AADhAQAAEwAAAAAAAAAAAAAAAAAAAAAAW0NvbnRlbnRfVHlwZXNdLnhtbFBLAQItABQABgAIAAAA&#10;IQA4/SH/1gAAAJQBAAALAAAAAAAAAAAAAAAAAC8BAABfcmVscy8ucmVsc1BLAQItABQABgAIAAAA&#10;IQCPSGPLFAIAACYEAAAOAAAAAAAAAAAAAAAAAC4CAABkcnMvZTJvRG9jLnhtbFBLAQItABQABgAI&#10;AAAAIQAAlTrt4AAAAAoBAAAPAAAAAAAAAAAAAAAAAG4EAABkcnMvZG93bnJldi54bWxQSwUGAAAA&#10;AAQABADzAAAAewUAAAAA&#10;">
                <v:textbox>
                  <w:txbxContent>
                    <w:p w14:paraId="1C878CC2" w14:textId="0206A62D" w:rsidR="00122F7A" w:rsidRPr="005B5C7E" w:rsidRDefault="00122F7A" w:rsidP="005B5C7E">
                      <w:pP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>Графика</w:t>
                      </w:r>
                      <w:r w:rsidRPr="00107730"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5 –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bg-BG"/>
                        </w:rPr>
                        <w:t>описателна статистика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7A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11A8622D" w14:textId="3AB81C13" w:rsidR="00921ACE" w:rsidRDefault="004E4739" w:rsidP="00921AC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 xml:space="preserve">В </w:t>
      </w:r>
      <w:r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т</w:t>
      </w:r>
      <w:r w:rsidR="00921ACE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аблица </w:t>
      </w:r>
      <w:r w:rsidR="00A14B50" w:rsidRPr="00A1146C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2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се разглеждат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средните и стандартни отклонения на трите дименсии на бърнаут синдрома. Впечатление правят ниските стойности по субскалата дехуманизация, които са почти 2 пъти под теоретичната средна</w:t>
      </w:r>
      <w:r w:rsidR="009B087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9B087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ъпреки това</w:t>
      </w:r>
      <w:r w:rsidR="00810F61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0C1E8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9B087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тази стойност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се категоризира като умерен</w:t>
      </w:r>
      <w:r w:rsidR="009B087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 честота и интензивност по</w:t>
      </w:r>
      <w:r w:rsidR="009B087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класификацията на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Maslach </w:t>
      </w:r>
      <w:r w:rsidR="009B087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(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1996)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Средната стойност по субскалата </w:t>
      </w:r>
      <w:r w:rsidR="008B6995">
        <w:rPr>
          <w:rFonts w:ascii="Times New Roman" w:eastAsia="Calibri" w:hAnsi="Times New Roman" w:cs="Times New Roman"/>
          <w:sz w:val="24"/>
          <w:szCs w:val="24"/>
          <w:lang w:val="bg-BG"/>
        </w:rPr>
        <w:t>е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моционално изтощение, също спада под теоретичната средна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се определя с ниска интензивност и умерена честота спрямо нормата (Maslach </w:t>
      </w:r>
      <w:r w:rsidR="0029576E" w:rsidRPr="00A1146C">
        <w:rPr>
          <w:rFonts w:ascii="Times New Roman" w:eastAsia="Calibri" w:hAnsi="Times New Roman" w:cs="Times New Roman"/>
          <w:sz w:val="24"/>
          <w:szCs w:val="24"/>
        </w:rPr>
        <w:t>et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29576E" w:rsidRPr="00A1146C">
        <w:rPr>
          <w:rFonts w:ascii="Times New Roman" w:eastAsia="Calibri" w:hAnsi="Times New Roman" w:cs="Times New Roman"/>
          <w:sz w:val="24"/>
          <w:szCs w:val="24"/>
        </w:rPr>
        <w:t>al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1996)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 При субскалата работоспособност, изследваните лица показват високи стойности, които надхвърлят теоретичната средна</w:t>
      </w:r>
      <w:r w:rsidR="00470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BE1A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Тъй като тази стойност спада под ниския праг за норма на проявление по честота и интензивност (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Maslach </w:t>
      </w:r>
      <w:r w:rsidR="0029576E" w:rsidRPr="00A1146C">
        <w:rPr>
          <w:rFonts w:ascii="Times New Roman" w:eastAsia="Calibri" w:hAnsi="Times New Roman" w:cs="Times New Roman"/>
          <w:sz w:val="24"/>
          <w:szCs w:val="24"/>
        </w:rPr>
        <w:t>et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29576E" w:rsidRPr="00A1146C">
        <w:rPr>
          <w:rFonts w:ascii="Times New Roman" w:eastAsia="Calibri" w:hAnsi="Times New Roman" w:cs="Times New Roman"/>
          <w:sz w:val="24"/>
          <w:szCs w:val="24"/>
        </w:rPr>
        <w:t>al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29576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1996)</w:t>
      </w:r>
      <w:r w:rsidR="00BE1A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т</w:t>
      </w:r>
      <w:r w:rsidR="00470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ова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може да се счита </w:t>
      </w:r>
      <w:r w:rsidR="00BE1A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като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сигнал за ниската проява на бърнаут сред изследваните лица.</w:t>
      </w:r>
    </w:p>
    <w:p w14:paraId="63EEE4B9" w14:textId="77777777" w:rsidR="004E0244" w:rsidRPr="0023453E" w:rsidRDefault="004E0244" w:rsidP="00921AC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5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9"/>
        <w:gridCol w:w="838"/>
        <w:gridCol w:w="652"/>
        <w:gridCol w:w="836"/>
        <w:gridCol w:w="930"/>
        <w:gridCol w:w="577"/>
        <w:gridCol w:w="819"/>
        <w:gridCol w:w="772"/>
        <w:gridCol w:w="146"/>
      </w:tblGrid>
      <w:tr w:rsidR="004E0244" w:rsidRPr="002A686A" w14:paraId="6EEE9B5B" w14:textId="77777777" w:rsidTr="00310A76">
        <w:trPr>
          <w:gridAfter w:val="1"/>
          <w:wAfter w:w="143" w:type="dxa"/>
          <w:trHeight w:val="483"/>
        </w:trPr>
        <w:tc>
          <w:tcPr>
            <w:tcW w:w="942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6A9D8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  <w:t>Таблица 2. Средни и стандартни отклонения на трите измерения на бърнаут синдрома.</w:t>
            </w:r>
          </w:p>
        </w:tc>
      </w:tr>
      <w:tr w:rsidR="004E0244" w:rsidRPr="002A686A" w14:paraId="7218E0DE" w14:textId="77777777" w:rsidTr="00310A76">
        <w:trPr>
          <w:trHeight w:val="273"/>
        </w:trPr>
        <w:tc>
          <w:tcPr>
            <w:tcW w:w="942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AF4BC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1BE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</w:pPr>
          </w:p>
        </w:tc>
      </w:tr>
      <w:tr w:rsidR="004E0244" w:rsidRPr="004E0244" w14:paraId="773C25AC" w14:textId="77777777" w:rsidTr="00310A76">
        <w:trPr>
          <w:trHeight w:val="273"/>
        </w:trPr>
        <w:tc>
          <w:tcPr>
            <w:tcW w:w="39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77A59A" w14:textId="3EF88007" w:rsidR="004E0244" w:rsidRPr="004E0244" w:rsidRDefault="00A8651D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Променлива</w:t>
            </w: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18CFA5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M</w:t>
            </w:r>
          </w:p>
        </w:tc>
        <w:tc>
          <w:tcPr>
            <w:tcW w:w="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E2F0D2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SD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3D4FC7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T.Min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2A5491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T.Max</w:t>
            </w:r>
          </w:p>
        </w:tc>
        <w:tc>
          <w:tcPr>
            <w:tcW w:w="57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FB1F42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Т.M</w:t>
            </w: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EB05FD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Skew</w:t>
            </w:r>
          </w:p>
        </w:tc>
        <w:tc>
          <w:tcPr>
            <w:tcW w:w="77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7AAD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Kurt</w:t>
            </w:r>
          </w:p>
        </w:tc>
        <w:tc>
          <w:tcPr>
            <w:tcW w:w="143" w:type="dxa"/>
            <w:vAlign w:val="center"/>
            <w:hideMark/>
          </w:tcPr>
          <w:p w14:paraId="3FDC086D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bg-BG" w:eastAsia="bg-BG"/>
              </w:rPr>
            </w:pPr>
          </w:p>
        </w:tc>
      </w:tr>
      <w:tr w:rsidR="004E0244" w:rsidRPr="004E0244" w14:paraId="64709724" w14:textId="77777777" w:rsidTr="00310A76">
        <w:trPr>
          <w:trHeight w:val="273"/>
        </w:trPr>
        <w:tc>
          <w:tcPr>
            <w:tcW w:w="39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97E1CC9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83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233B09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9CB751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83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31593F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398FEA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57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52EF87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81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BC0110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77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9816F51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7295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</w:tr>
      <w:tr w:rsidR="004E0244" w:rsidRPr="004E0244" w14:paraId="3BBEBB56" w14:textId="77777777" w:rsidTr="00310A76">
        <w:trPr>
          <w:trHeight w:val="273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3830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Емоционално Изтощение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69CB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20,15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8138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8,93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E71B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E5A1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54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2C27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A5C4" w14:textId="16529C8C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,3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22A0" w14:textId="61E18E21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</w:t>
            </w:r>
            <w:r w:rsidR="004D728E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</w:t>
            </w: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26</w:t>
            </w:r>
          </w:p>
        </w:tc>
        <w:tc>
          <w:tcPr>
            <w:tcW w:w="143" w:type="dxa"/>
            <w:vAlign w:val="center"/>
            <w:hideMark/>
          </w:tcPr>
          <w:p w14:paraId="3BC62679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bg-BG" w:eastAsia="bg-BG"/>
              </w:rPr>
            </w:pPr>
          </w:p>
        </w:tc>
      </w:tr>
      <w:tr w:rsidR="004E0244" w:rsidRPr="004E0244" w14:paraId="29E31895" w14:textId="77777777" w:rsidTr="00310A76">
        <w:trPr>
          <w:trHeight w:val="273"/>
        </w:trPr>
        <w:tc>
          <w:tcPr>
            <w:tcW w:w="3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A1BE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Дехуманизация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C527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7,88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1573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6,02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C407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3D00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787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15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B74E" w14:textId="7A4C73A8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0D31" w14:textId="40D86C0C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</w:t>
            </w:r>
            <w:r w:rsidR="004D728E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</w:t>
            </w: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59</w:t>
            </w:r>
          </w:p>
        </w:tc>
        <w:tc>
          <w:tcPr>
            <w:tcW w:w="143" w:type="dxa"/>
            <w:vAlign w:val="center"/>
            <w:hideMark/>
          </w:tcPr>
          <w:p w14:paraId="03A9F330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bg-BG" w:eastAsia="bg-BG"/>
              </w:rPr>
            </w:pPr>
          </w:p>
        </w:tc>
      </w:tr>
      <w:tr w:rsidR="004E0244" w:rsidRPr="004E0244" w14:paraId="53B6D2A7" w14:textId="77777777" w:rsidTr="00310A76">
        <w:trPr>
          <w:trHeight w:val="273"/>
        </w:trPr>
        <w:tc>
          <w:tcPr>
            <w:tcW w:w="39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2E30D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Работоспособност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D11D0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30,10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112DB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5,95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D4189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806DA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48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BAA32" w14:textId="7777777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D0134" w14:textId="684081D7" w:rsidR="004E0244" w:rsidRPr="004E0244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</w:t>
            </w:r>
            <w:r w:rsidR="004D728E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</w:t>
            </w: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F4D7" w14:textId="649BD7F0" w:rsidR="004E0244" w:rsidRPr="001C66F5" w:rsidRDefault="004E0244" w:rsidP="004E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</w:t>
            </w:r>
            <w:r w:rsidR="004D728E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</w:t>
            </w:r>
            <w:r w:rsidRPr="004E0244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6</w:t>
            </w:r>
            <w:r w:rsidR="001C66F5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0</w:t>
            </w:r>
          </w:p>
        </w:tc>
        <w:tc>
          <w:tcPr>
            <w:tcW w:w="143" w:type="dxa"/>
            <w:vAlign w:val="center"/>
            <w:hideMark/>
          </w:tcPr>
          <w:p w14:paraId="5714CAD9" w14:textId="77777777" w:rsidR="004E0244" w:rsidRPr="004E0244" w:rsidRDefault="004E0244" w:rsidP="004E0244">
            <w:pPr>
              <w:spacing w:after="0" w:line="240" w:lineRule="auto"/>
              <w:rPr>
                <w:rFonts w:ascii="Times New Roman" w:eastAsia="Times New Roman" w:hAnsi="Times New Roman" w:cs="Times New Roman"/>
                <w:lang w:val="bg-BG" w:eastAsia="bg-BG"/>
              </w:rPr>
            </w:pPr>
          </w:p>
        </w:tc>
      </w:tr>
    </w:tbl>
    <w:p w14:paraId="070603C3" w14:textId="77777777" w:rsidR="004E0244" w:rsidRDefault="004E0244" w:rsidP="004E024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248CA558" w14:textId="4E672B57" w:rsidR="00133006" w:rsidRDefault="00AD44F0" w:rsidP="004E024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азпределение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то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отговорите на изследваните лица по субскалите предлага допълнителни детайли. Отрицателните </w:t>
      </w:r>
      <w:r w:rsidR="005E2FD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k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urtosis коефициенти</w:t>
      </w:r>
      <w:r w:rsidR="005364E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са с ниска стойност</w:t>
      </w:r>
      <w:r w:rsidR="007B6A9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с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оглед на получените резултати, може да се каже, че разпределението на отговорите на изследваните лица по </w:t>
      </w:r>
      <w:r w:rsidR="004E02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трите 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субскал</w:t>
      </w:r>
      <w:r w:rsidR="004E0244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3F321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бърнаут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4E0244">
        <w:rPr>
          <w:rFonts w:ascii="Times New Roman" w:eastAsia="Calibri" w:hAnsi="Times New Roman" w:cs="Times New Roman"/>
          <w:sz w:val="24"/>
          <w:szCs w:val="24"/>
          <w:lang w:val="bg-BG"/>
        </w:rPr>
        <w:t>е нормално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Високата средна стойност по </w:t>
      </w:r>
      <w:r w:rsidR="004E02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скалата работоспособност 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показва силно изразено чувство на компетентност и успешност в работните задачи.</w:t>
      </w:r>
    </w:p>
    <w:p w14:paraId="747C6FBD" w14:textId="64D78EDC" w:rsidR="004E0244" w:rsidRDefault="004E0244" w:rsidP="004E024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  <w:lang w:val="bg-BG"/>
        </w:rPr>
      </w:pPr>
    </w:p>
    <w:p w14:paraId="3C9068A9" w14:textId="77777777" w:rsidR="004E0244" w:rsidRPr="004E0244" w:rsidRDefault="004E0244" w:rsidP="004E024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  <w:lang w:val="bg-BG"/>
        </w:rPr>
      </w:pPr>
    </w:p>
    <w:tbl>
      <w:tblPr>
        <w:tblW w:w="9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2"/>
        <w:gridCol w:w="363"/>
        <w:gridCol w:w="817"/>
        <w:gridCol w:w="635"/>
        <w:gridCol w:w="815"/>
        <w:gridCol w:w="907"/>
        <w:gridCol w:w="635"/>
        <w:gridCol w:w="800"/>
        <w:gridCol w:w="972"/>
        <w:gridCol w:w="6"/>
        <w:gridCol w:w="140"/>
        <w:gridCol w:w="11"/>
      </w:tblGrid>
      <w:tr w:rsidR="0011197C" w:rsidRPr="002A686A" w14:paraId="2B57B95B" w14:textId="77777777" w:rsidTr="00C979EB">
        <w:trPr>
          <w:gridAfter w:val="2"/>
          <w:wAfter w:w="141" w:type="dxa"/>
          <w:trHeight w:val="450"/>
        </w:trPr>
        <w:tc>
          <w:tcPr>
            <w:tcW w:w="9382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673DC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  <w:lastRenderedPageBreak/>
              <w:t>Таблица 3. Средни и стандартни отклонения на петте личностови характеристики.</w:t>
            </w:r>
          </w:p>
        </w:tc>
      </w:tr>
      <w:tr w:rsidR="0011197C" w:rsidRPr="002A686A" w14:paraId="222DAB65" w14:textId="77777777" w:rsidTr="00C979EB">
        <w:trPr>
          <w:trHeight w:val="247"/>
        </w:trPr>
        <w:tc>
          <w:tcPr>
            <w:tcW w:w="9382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EAA67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2329" w14:textId="77777777" w:rsidR="0011197C" w:rsidRPr="00A1146C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11197C" w:rsidRPr="00A1146C" w14:paraId="2E7EF5BE" w14:textId="77777777" w:rsidTr="00C979EB">
        <w:trPr>
          <w:gridAfter w:val="1"/>
          <w:wAfter w:w="6" w:type="dxa"/>
          <w:trHeight w:val="247"/>
        </w:trPr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1510D1" w14:textId="273903EF" w:rsidR="0011197C" w:rsidRPr="005D2CD3" w:rsidRDefault="00A8651D" w:rsidP="00A8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Променлива</w:t>
            </w:r>
          </w:p>
        </w:tc>
        <w:tc>
          <w:tcPr>
            <w:tcW w:w="36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2F492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N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6C4B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M</w:t>
            </w:r>
          </w:p>
        </w:tc>
        <w:tc>
          <w:tcPr>
            <w:tcW w:w="6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3844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SD</w:t>
            </w:r>
          </w:p>
        </w:tc>
        <w:tc>
          <w:tcPr>
            <w:tcW w:w="8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B32F6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T.Min</w:t>
            </w:r>
          </w:p>
        </w:tc>
        <w:tc>
          <w:tcPr>
            <w:tcW w:w="9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F24B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T.Max</w:t>
            </w:r>
          </w:p>
        </w:tc>
        <w:tc>
          <w:tcPr>
            <w:tcW w:w="6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1E270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Т.M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CF8F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Skew</w:t>
            </w:r>
          </w:p>
        </w:tc>
        <w:tc>
          <w:tcPr>
            <w:tcW w:w="97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77DE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Kurt</w:t>
            </w:r>
          </w:p>
        </w:tc>
        <w:tc>
          <w:tcPr>
            <w:tcW w:w="141" w:type="dxa"/>
            <w:gridSpan w:val="2"/>
            <w:vAlign w:val="center"/>
            <w:hideMark/>
          </w:tcPr>
          <w:p w14:paraId="6ED64E19" w14:textId="77777777" w:rsidR="0011197C" w:rsidRPr="00A1146C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11197C" w:rsidRPr="00A1146C" w14:paraId="7647BC3F" w14:textId="77777777" w:rsidTr="00C979EB">
        <w:trPr>
          <w:gridAfter w:val="1"/>
          <w:wAfter w:w="6" w:type="dxa"/>
          <w:trHeight w:val="247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A639C9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36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03C3F7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19C71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6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B805A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8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7ECB7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9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0F13C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6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372F3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ED9A30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97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0E8F9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6183" w14:textId="77777777" w:rsidR="0011197C" w:rsidRPr="00A1146C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11197C" w:rsidRPr="00A1146C" w14:paraId="689B9897" w14:textId="77777777" w:rsidTr="00C979EB">
        <w:trPr>
          <w:gridAfter w:val="1"/>
          <w:wAfter w:w="6" w:type="dxa"/>
          <w:trHeight w:val="247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F0A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Екстраверсия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A9BD" w14:textId="77777777" w:rsidR="0011197C" w:rsidRPr="005D2CD3" w:rsidRDefault="0011197C" w:rsidP="001119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72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9FF7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23,25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7436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3,98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1F46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95B4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35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C2A1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17,5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62B9" w14:textId="52D007B2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-,01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0A95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2,97</w:t>
            </w:r>
          </w:p>
        </w:tc>
        <w:tc>
          <w:tcPr>
            <w:tcW w:w="141" w:type="dxa"/>
            <w:gridSpan w:val="2"/>
            <w:vAlign w:val="center"/>
            <w:hideMark/>
          </w:tcPr>
          <w:p w14:paraId="7526B285" w14:textId="77777777" w:rsidR="0011197C" w:rsidRPr="00A1146C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11197C" w:rsidRPr="00A1146C" w14:paraId="5EF03E3B" w14:textId="77777777" w:rsidTr="00C979EB">
        <w:trPr>
          <w:gridAfter w:val="1"/>
          <w:wAfter w:w="6" w:type="dxa"/>
          <w:trHeight w:val="247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D7DC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Доброжелателност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E831" w14:textId="77777777" w:rsidR="0011197C" w:rsidRPr="005D2CD3" w:rsidRDefault="0011197C" w:rsidP="001119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73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6E66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30,78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2DA5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3,96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170B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BD78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481C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37C3" w14:textId="769BD1E4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-,33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F94C" w14:textId="0DC1F53E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-,06</w:t>
            </w:r>
          </w:p>
        </w:tc>
        <w:tc>
          <w:tcPr>
            <w:tcW w:w="141" w:type="dxa"/>
            <w:gridSpan w:val="2"/>
            <w:vAlign w:val="center"/>
            <w:hideMark/>
          </w:tcPr>
          <w:p w14:paraId="4979C10F" w14:textId="77777777" w:rsidR="0011197C" w:rsidRPr="00A1146C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11197C" w:rsidRPr="00A1146C" w14:paraId="331C75D5" w14:textId="77777777" w:rsidTr="00C979EB">
        <w:trPr>
          <w:gridAfter w:val="1"/>
          <w:wAfter w:w="6" w:type="dxa"/>
          <w:trHeight w:val="247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38D9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Съзнателност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A762" w14:textId="77777777" w:rsidR="0011197C" w:rsidRPr="005D2CD3" w:rsidRDefault="0011197C" w:rsidP="001119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73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5089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33,29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9439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3,85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43AB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E5B7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45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7B37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22,5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CFBC" w14:textId="2169E5A6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-,03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4893" w14:textId="64EA00B8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-,67</w:t>
            </w:r>
          </w:p>
        </w:tc>
        <w:tc>
          <w:tcPr>
            <w:tcW w:w="141" w:type="dxa"/>
            <w:gridSpan w:val="2"/>
            <w:vAlign w:val="center"/>
            <w:hideMark/>
          </w:tcPr>
          <w:p w14:paraId="764AEABE" w14:textId="77777777" w:rsidR="0011197C" w:rsidRPr="00A1146C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11197C" w:rsidRPr="00A1146C" w14:paraId="0B40CAE6" w14:textId="77777777" w:rsidTr="00C979EB">
        <w:trPr>
          <w:gridAfter w:val="1"/>
          <w:wAfter w:w="6" w:type="dxa"/>
          <w:trHeight w:val="247"/>
        </w:trPr>
        <w:tc>
          <w:tcPr>
            <w:tcW w:w="3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3B20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Невротизъм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3729" w14:textId="77777777" w:rsidR="0011197C" w:rsidRPr="005D2CD3" w:rsidRDefault="0011197C" w:rsidP="001119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73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CF06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22,22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FCAF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5,81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A7CE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68B2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40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4CDB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3F61" w14:textId="16D26B45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5391" w14:textId="002A91B4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-,78</w:t>
            </w:r>
          </w:p>
        </w:tc>
        <w:tc>
          <w:tcPr>
            <w:tcW w:w="141" w:type="dxa"/>
            <w:gridSpan w:val="2"/>
            <w:vAlign w:val="center"/>
            <w:hideMark/>
          </w:tcPr>
          <w:p w14:paraId="1A24A7A9" w14:textId="77777777" w:rsidR="0011197C" w:rsidRPr="00A1146C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11197C" w:rsidRPr="00A1146C" w14:paraId="0D207DB5" w14:textId="77777777" w:rsidTr="004E0244">
        <w:trPr>
          <w:gridAfter w:val="1"/>
          <w:wAfter w:w="6" w:type="dxa"/>
          <w:trHeight w:val="80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49E7D" w14:textId="77777777" w:rsidR="0011197C" w:rsidRPr="005D2CD3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Отвореност към опита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0FF72" w14:textId="77777777" w:rsidR="0011197C" w:rsidRPr="005D2CD3" w:rsidRDefault="0011197C" w:rsidP="001119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71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490AD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30,82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F3C01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3,80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DAF48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A2A7C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40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C9BE8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5EA59" w14:textId="7C24475B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,17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34B9" w14:textId="77777777" w:rsidR="0011197C" w:rsidRPr="005D2CD3" w:rsidRDefault="0011197C" w:rsidP="00111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2,48</w:t>
            </w:r>
          </w:p>
        </w:tc>
        <w:tc>
          <w:tcPr>
            <w:tcW w:w="141" w:type="dxa"/>
            <w:gridSpan w:val="2"/>
            <w:vAlign w:val="center"/>
            <w:hideMark/>
          </w:tcPr>
          <w:p w14:paraId="55CF4F42" w14:textId="77777777" w:rsidR="0011197C" w:rsidRPr="00A1146C" w:rsidRDefault="0011197C" w:rsidP="00111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</w:tbl>
    <w:p w14:paraId="64AFD41C" w14:textId="01FF3534" w:rsidR="00107730" w:rsidRPr="00A1146C" w:rsidRDefault="00107730" w:rsidP="00107730">
      <w:pPr>
        <w:spacing w:line="360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41F4D065" w14:textId="6A90E19F" w:rsidR="004E0244" w:rsidRPr="00726525" w:rsidRDefault="00CD27D9" w:rsidP="00FF0E21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таблица 3</w:t>
      </w:r>
      <w:r w:rsidR="0010773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наблюдаваните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1543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 извадка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та</w:t>
      </w:r>
      <w:r w:rsidR="0071543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0773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средни и стандартни отклонения на </w:t>
      </w:r>
      <w:r w:rsidR="000A08AD">
        <w:rPr>
          <w:rFonts w:ascii="Times New Roman" w:eastAsia="Calibri" w:hAnsi="Times New Roman" w:cs="Times New Roman"/>
          <w:sz w:val="24"/>
          <w:szCs w:val="24"/>
          <w:lang w:val="bg-BG"/>
        </w:rPr>
        <w:t>Г</w:t>
      </w:r>
      <w:r w:rsidR="0064065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олемите пет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показват най-силно изразени личностови характеристики, свързващи се с чертите доброжелателност и отвореност към опита, следвани от екстраверсия и съзнателност. Разпределението при субскали </w:t>
      </w:r>
      <w:r w:rsidR="00887B3B">
        <w:rPr>
          <w:rFonts w:ascii="Times New Roman" w:eastAsia="Calibri" w:hAnsi="Times New Roman" w:cs="Times New Roman"/>
          <w:sz w:val="24"/>
          <w:szCs w:val="24"/>
          <w:lang w:val="bg-BG"/>
        </w:rPr>
        <w:t>е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кстраверсия (skew </w:t>
      </w:r>
      <w:r w:rsidR="00B42FE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B42FE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01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; kurt </w:t>
      </w:r>
      <w:r w:rsidR="00B42FE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B42FE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97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) и </w:t>
      </w:r>
      <w:r w:rsidR="001B11B6">
        <w:rPr>
          <w:rFonts w:ascii="Times New Roman" w:eastAsia="Calibri" w:hAnsi="Times New Roman" w:cs="Times New Roman"/>
          <w:sz w:val="24"/>
          <w:szCs w:val="24"/>
          <w:lang w:val="bg-BG"/>
        </w:rPr>
        <w:t>н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евротизъм (skew ,08; kurt -,78) е нормално</w:t>
      </w:r>
      <w:r w:rsidR="00474BF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като при </w:t>
      </w:r>
      <w:r w:rsidR="00887B3B">
        <w:rPr>
          <w:rFonts w:ascii="Times New Roman" w:eastAsia="Calibri" w:hAnsi="Times New Roman" w:cs="Times New Roman"/>
          <w:sz w:val="24"/>
          <w:szCs w:val="24"/>
          <w:lang w:val="bg-BG"/>
        </w:rPr>
        <w:t>е</w:t>
      </w:r>
      <w:r w:rsidR="00474BFE">
        <w:rPr>
          <w:rFonts w:ascii="Times New Roman" w:eastAsia="Calibri" w:hAnsi="Times New Roman" w:cs="Times New Roman"/>
          <w:sz w:val="24"/>
          <w:szCs w:val="24"/>
          <w:lang w:val="bg-BG"/>
        </w:rPr>
        <w:t>кстраверсия се наблюдава групиране в центъра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7B32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При с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убскали</w:t>
      </w:r>
      <w:r w:rsidR="00C8686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те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A1E42">
        <w:rPr>
          <w:rFonts w:ascii="Times New Roman" w:eastAsia="Calibri" w:hAnsi="Times New Roman" w:cs="Times New Roman"/>
          <w:sz w:val="24"/>
          <w:szCs w:val="24"/>
          <w:lang w:val="bg-BG"/>
        </w:rPr>
        <w:t>д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оброжелателност (skew -,33; </w:t>
      </w:r>
      <w:r w:rsidR="00C8686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kurt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-,06) и </w:t>
      </w:r>
      <w:r w:rsidR="006A1E42">
        <w:rPr>
          <w:rFonts w:ascii="Times New Roman" w:eastAsia="Calibri" w:hAnsi="Times New Roman" w:cs="Times New Roman"/>
          <w:sz w:val="24"/>
          <w:szCs w:val="24"/>
          <w:lang w:val="bg-BG"/>
        </w:rPr>
        <w:t>с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ъзнателност (skew -,03; kurt -,67), разпределението е</w:t>
      </w:r>
      <w:r w:rsidR="00921ACE" w:rsidRPr="004E024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4E0244" w:rsidRPr="004E024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нормално</w:t>
      </w:r>
      <w:r w:rsidR="00921ACE" w:rsidRPr="004E024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. 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 </w:t>
      </w:r>
      <w:r w:rsidR="006A1E42">
        <w:rPr>
          <w:rFonts w:ascii="Times New Roman" w:eastAsia="Calibri" w:hAnsi="Times New Roman" w:cs="Times New Roman"/>
          <w:sz w:val="24"/>
          <w:szCs w:val="24"/>
          <w:lang w:val="bg-BG"/>
        </w:rPr>
        <w:t>о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твореност към опита се наблюдава</w:t>
      </w:r>
      <w:r w:rsidR="00B42FE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нормално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B42FE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разпределение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4E02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висок 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положителен kurtosis (kurt </w:t>
      </w:r>
      <w:r w:rsidR="00B42FE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B42FEE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48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)</w:t>
      </w:r>
      <w:r w:rsidR="004E024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което свидетелства за групиране </w:t>
      </w:r>
      <w:r w:rsidR="00474BFE">
        <w:rPr>
          <w:rFonts w:ascii="Times New Roman" w:eastAsia="Calibri" w:hAnsi="Times New Roman" w:cs="Times New Roman"/>
          <w:sz w:val="24"/>
          <w:szCs w:val="24"/>
          <w:lang w:val="bg-BG"/>
        </w:rPr>
        <w:t>в центъра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10773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463D3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="006C612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463D38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т</w:t>
      </w:r>
      <w:r w:rsidR="006C612E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 xml:space="preserve">аблица </w:t>
      </w:r>
      <w:r w:rsidR="00A14B50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4</w:t>
      </w:r>
      <w:r w:rsidR="006C612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CD123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се наблюдават общите характеристики на изследваните лица по скалата за удовлетвореност</w:t>
      </w:r>
      <w:r w:rsidR="00CD1234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016D06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от</w:t>
      </w:r>
      <w:r w:rsidR="00CD1234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CD123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труда. Средната </w:t>
      </w:r>
      <w:r w:rsidR="00463D3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</w:t>
      </w:r>
      <w:r w:rsidR="00CD123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 </w:t>
      </w:r>
      <w:r w:rsidR="00463D3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до</w:t>
      </w:r>
      <w:r w:rsidR="00CD123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бли</w:t>
      </w:r>
      <w:r w:rsidR="00463D3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жава</w:t>
      </w:r>
      <w:r w:rsidR="00CD123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до теоретичния максимум, което свидетелства за високи нива на обща удовлетвореност в извадката. </w:t>
      </w:r>
      <w:r w:rsidR="006E1F1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 тази скала се наблюдава </w:t>
      </w:r>
      <w:r w:rsidR="00297A42">
        <w:rPr>
          <w:rFonts w:ascii="Times New Roman" w:eastAsia="Calibri" w:hAnsi="Times New Roman" w:cs="Times New Roman"/>
          <w:sz w:val="24"/>
          <w:szCs w:val="24"/>
          <w:lang w:val="bg-BG"/>
        </w:rPr>
        <w:t>нормално разпределение</w:t>
      </w:r>
      <w:r w:rsidR="006E1F1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(skew -,</w:t>
      </w:r>
      <w:r w:rsidR="008B2B22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40</w:t>
      </w:r>
      <w:r w:rsidR="006E1F1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) и положителен kurtosis (kurt 2,</w:t>
      </w:r>
      <w:r w:rsidR="008B2B22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37</w:t>
      </w:r>
      <w:r w:rsidR="006E1F1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). </w:t>
      </w:r>
    </w:p>
    <w:tbl>
      <w:tblPr>
        <w:tblW w:w="9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8"/>
        <w:gridCol w:w="729"/>
        <w:gridCol w:w="729"/>
        <w:gridCol w:w="935"/>
        <w:gridCol w:w="1039"/>
        <w:gridCol w:w="645"/>
        <w:gridCol w:w="916"/>
        <w:gridCol w:w="738"/>
        <w:gridCol w:w="146"/>
      </w:tblGrid>
      <w:tr w:rsidR="00463D38" w:rsidRPr="002A686A" w14:paraId="5F24F303" w14:textId="77777777" w:rsidTr="00043ACD">
        <w:trPr>
          <w:gridAfter w:val="1"/>
          <w:wAfter w:w="146" w:type="dxa"/>
          <w:trHeight w:val="450"/>
        </w:trPr>
        <w:tc>
          <w:tcPr>
            <w:tcW w:w="933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9F410" w14:textId="35BDBBF3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 w:eastAsia="bg-BG"/>
              </w:rPr>
            </w:pPr>
            <w:r w:rsidRPr="005D2CD3"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  <w:t xml:space="preserve">Таблица </w:t>
            </w:r>
            <w:r w:rsidR="00A14B50" w:rsidRPr="005D2CD3"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  <w:t>4</w:t>
            </w:r>
            <w:r w:rsidRPr="005D2CD3"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  <w:t xml:space="preserve">. Средни и стандартни отклонения </w:t>
            </w:r>
            <w:r w:rsidR="00F624D2" w:rsidRPr="005D2CD3"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  <w:t>по скалата</w:t>
            </w:r>
            <w:r w:rsidRPr="005D2CD3"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  <w:t xml:space="preserve"> удовлетвореност от труда</w:t>
            </w:r>
            <w:r w:rsidR="005752F0"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  <w:t>.</w:t>
            </w:r>
          </w:p>
        </w:tc>
      </w:tr>
      <w:tr w:rsidR="00463D38" w:rsidRPr="002A686A" w14:paraId="4B38C5C1" w14:textId="77777777" w:rsidTr="00043ACD">
        <w:trPr>
          <w:trHeight w:val="255"/>
        </w:trPr>
        <w:tc>
          <w:tcPr>
            <w:tcW w:w="933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78BABE8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B9C0" w14:textId="77777777" w:rsidR="00463D38" w:rsidRPr="00A1146C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463D38" w:rsidRPr="00A1146C" w14:paraId="4A153D76" w14:textId="77777777" w:rsidTr="00043ACD">
        <w:trPr>
          <w:trHeight w:val="255"/>
        </w:trPr>
        <w:tc>
          <w:tcPr>
            <w:tcW w:w="3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75022" w14:textId="5B076B1A" w:rsidR="00463D38" w:rsidRPr="005D2CD3" w:rsidRDefault="00A8651D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Променлива</w:t>
            </w: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A0C15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M</w:t>
            </w: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E5266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SD</w:t>
            </w:r>
          </w:p>
        </w:tc>
        <w:tc>
          <w:tcPr>
            <w:tcW w:w="93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C0BEA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T.Min</w:t>
            </w:r>
          </w:p>
        </w:tc>
        <w:tc>
          <w:tcPr>
            <w:tcW w:w="103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1E966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T.Max</w:t>
            </w:r>
          </w:p>
        </w:tc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3BC48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Т.M</w:t>
            </w:r>
          </w:p>
        </w:tc>
        <w:tc>
          <w:tcPr>
            <w:tcW w:w="91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AE1E8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Skew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73A0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Kurt</w:t>
            </w:r>
          </w:p>
        </w:tc>
        <w:tc>
          <w:tcPr>
            <w:tcW w:w="146" w:type="dxa"/>
            <w:vAlign w:val="center"/>
            <w:hideMark/>
          </w:tcPr>
          <w:p w14:paraId="24757BA5" w14:textId="77777777" w:rsidR="00463D38" w:rsidRPr="00A1146C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463D38" w:rsidRPr="00A1146C" w14:paraId="2D41D76F" w14:textId="77777777" w:rsidTr="00043ACD">
        <w:trPr>
          <w:trHeight w:val="255"/>
        </w:trPr>
        <w:tc>
          <w:tcPr>
            <w:tcW w:w="3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E3AD83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8445AB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718B1C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9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F290C8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103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A919CE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4FC2D0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91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F16A46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73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6C890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FA95" w14:textId="77777777" w:rsidR="00463D38" w:rsidRPr="00A1146C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463D38" w:rsidRPr="00A1146C" w14:paraId="7E6AAE3B" w14:textId="77777777" w:rsidTr="00043ACD">
        <w:trPr>
          <w:trHeight w:val="255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284BB" w14:textId="77777777" w:rsidR="00463D38" w:rsidRPr="005D2CD3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Обща удовлетвореност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AD7BE" w14:textId="11F36DA2" w:rsidR="00463D38" w:rsidRPr="005D2CD3" w:rsidRDefault="00052D76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31</w:t>
            </w:r>
            <w:r w:rsidR="00463D38"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</w:t>
            </w:r>
            <w:r w:rsidRPr="005D2CD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37DBF" w14:textId="7852CF75" w:rsidR="00463D38" w:rsidRPr="005D2CD3" w:rsidRDefault="00052D76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6</w:t>
            </w:r>
            <w:r w:rsidR="00463D38"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,</w:t>
            </w:r>
            <w:r w:rsidRPr="005D2CD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67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BED8A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4A937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40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C73E7" w14:textId="77777777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7455B" w14:textId="2A0CD13D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-,</w:t>
            </w:r>
            <w:r w:rsidR="00052D76" w:rsidRPr="005D2CD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40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5EC5" w14:textId="18BEA150" w:rsidR="00463D38" w:rsidRPr="005D2CD3" w:rsidRDefault="00463D38" w:rsidP="00463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</w:pP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2,</w:t>
            </w:r>
            <w:r w:rsidR="008B2B22" w:rsidRPr="005D2CD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3</w:t>
            </w:r>
            <w:r w:rsidRPr="005D2CD3">
              <w:rPr>
                <w:rFonts w:ascii="Times New Roman" w:eastAsia="Times New Roman" w:hAnsi="Times New Roman" w:cs="Times New Roman"/>
                <w:color w:val="000000"/>
                <w:lang w:val="bg-BG" w:eastAsia="bg-BG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617C7393" w14:textId="77777777" w:rsidR="00463D38" w:rsidRPr="00A1146C" w:rsidRDefault="00463D38" w:rsidP="0046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</w:tbl>
    <w:p w14:paraId="25718852" w14:textId="77777777" w:rsidR="00FF0E21" w:rsidRDefault="00FF0E21" w:rsidP="00FF0E21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0BE8D84C" w14:textId="14FCABD1" w:rsidR="00C87034" w:rsidRPr="00C87034" w:rsidRDefault="00921ACE" w:rsidP="00C87034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Резултатите от приложени Т-тестове за независими извадки между пол и възраст, спрямо общото ниво на бърнаут, </w:t>
      </w:r>
      <w:r w:rsidR="00810F61">
        <w:rPr>
          <w:rFonts w:ascii="Times New Roman" w:eastAsia="Calibri" w:hAnsi="Times New Roman" w:cs="Times New Roman"/>
          <w:sz w:val="24"/>
          <w:szCs w:val="24"/>
          <w:lang w:val="bg-BG"/>
        </w:rPr>
        <w:t>водят до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следните </w:t>
      </w:r>
      <w:r w:rsidR="00810F61">
        <w:rPr>
          <w:rFonts w:ascii="Times New Roman" w:eastAsia="Calibri" w:hAnsi="Times New Roman" w:cs="Times New Roman"/>
          <w:sz w:val="24"/>
          <w:szCs w:val="24"/>
          <w:lang w:val="bg-BG"/>
        </w:rPr>
        <w:t>изводи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Общото ниво на бърнаут е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изчислен</w:t>
      </w:r>
      <w:r w:rsidR="002F48F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чрез формула</w:t>
      </w:r>
      <w:r w:rsidR="0018007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ЕИ/9 + Д/5 – Р/8. Поради високите стойности по субскалата </w:t>
      </w:r>
      <w:r w:rsidR="008B6995">
        <w:rPr>
          <w:rFonts w:ascii="Times New Roman" w:eastAsia="Calibri" w:hAnsi="Times New Roman" w:cs="Times New Roman"/>
          <w:sz w:val="24"/>
          <w:szCs w:val="24"/>
          <w:lang w:val="bg-BG"/>
        </w:rPr>
        <w:t>р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аботоспособност, средните стойности в групите съдържат отрицателни числа. Средната бърнаут стойност в групата </w:t>
      </w:r>
      <w:r w:rsidR="0018007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мъже е -,11, докато тази в групата на жените е ,</w:t>
      </w:r>
      <w:r w:rsidR="005E79A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3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3. Стандартното отклонение в групата на мъжете е със стойност 2,07, а това в групата на жените 2,58. Стойността на p е ,35, което значително </w:t>
      </w:r>
      <w:r w:rsidR="0018007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надхвърля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стойността на приетата норма от ,05. Следователно, разликата в между груповите средни стойности при мъжете и жените не е значима (p &gt; ,05). В допълнение, разликата между груповите средни стойности при мъжете и жените (m1 – m2) = ,53 е с доверителен интервал (ДИ) = 1.13, горна граница 1,66, долна граница -,60, при нула в ДИ. Силата на ефекта (Cohen's d) в разликата между двете средни стойности в групите на мъжете и жените е ниска: ES = ,23. Също така, трябва да се отбележи, че броят на изследваните лица в групата на жените и мъжете не е равен. Разпределението е приблизително 2 към 1 в полза на мъжете.</w:t>
      </w:r>
      <w:r w:rsidR="00CD123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C87034">
        <w:rPr>
          <w:noProof/>
        </w:rPr>
        <w:fldChar w:fldCharType="begin"/>
      </w:r>
      <w:r w:rsidR="00C87034">
        <w:rPr>
          <w:noProof/>
        </w:rPr>
        <w:instrText xml:space="preserve"> LINK </w:instrText>
      </w:r>
      <w:r w:rsidR="00B77CDD">
        <w:rPr>
          <w:noProof/>
        </w:rPr>
        <w:instrText xml:space="preserve">Excel.Sheet.12 "C:\\Users\\metod\\Google Drive\\НБУ\\3ти Курс\\PSYB 636 Практика Емпирично изследване II част\\Analysis.xlsx" "Result Tables!R46C32:R53C40" </w:instrText>
      </w:r>
      <w:r w:rsidR="00C87034">
        <w:rPr>
          <w:noProof/>
        </w:rPr>
        <w:instrText xml:space="preserve">\a \f 4 \h </w:instrText>
      </w:r>
      <w:r w:rsidR="003F1164">
        <w:rPr>
          <w:noProof/>
        </w:rPr>
        <w:instrText xml:space="preserve"> \* MERGEFORMAT </w:instrText>
      </w:r>
      <w:r w:rsidR="00C87034">
        <w:rPr>
          <w:noProof/>
        </w:rPr>
        <w:fldChar w:fldCharType="separate"/>
      </w:r>
    </w:p>
    <w:tbl>
      <w:tblPr>
        <w:tblW w:w="9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7"/>
        <w:gridCol w:w="1031"/>
        <w:gridCol w:w="665"/>
        <w:gridCol w:w="1166"/>
        <w:gridCol w:w="833"/>
        <w:gridCol w:w="1031"/>
        <w:gridCol w:w="686"/>
        <w:gridCol w:w="158"/>
      </w:tblGrid>
      <w:tr w:rsidR="00C87034" w:rsidRPr="00C87034" w14:paraId="5F9852A3" w14:textId="77777777" w:rsidTr="003F1164">
        <w:trPr>
          <w:gridAfter w:val="1"/>
          <w:wAfter w:w="158" w:type="dxa"/>
          <w:trHeight w:val="450"/>
        </w:trPr>
        <w:tc>
          <w:tcPr>
            <w:tcW w:w="940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B3BF6" w14:textId="4A892F4F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Таблица 5. Резултати Т-тест.</w:t>
            </w:r>
          </w:p>
        </w:tc>
      </w:tr>
      <w:tr w:rsidR="00C87034" w:rsidRPr="00C87034" w14:paraId="2F742B07" w14:textId="77777777" w:rsidTr="003F1164">
        <w:trPr>
          <w:trHeight w:val="258"/>
        </w:trPr>
        <w:tc>
          <w:tcPr>
            <w:tcW w:w="940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7243C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F6A7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C87034" w:rsidRPr="00C87034" w14:paraId="76D85E9E" w14:textId="77777777" w:rsidTr="003F1164">
        <w:trPr>
          <w:trHeight w:val="243"/>
        </w:trPr>
        <w:tc>
          <w:tcPr>
            <w:tcW w:w="3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37487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Променлива</w:t>
            </w:r>
          </w:p>
        </w:tc>
        <w:tc>
          <w:tcPr>
            <w:tcW w:w="10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BA0F60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M</w:t>
            </w:r>
          </w:p>
        </w:tc>
        <w:tc>
          <w:tcPr>
            <w:tcW w:w="66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EC8F6B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N</w:t>
            </w:r>
          </w:p>
        </w:tc>
        <w:tc>
          <w:tcPr>
            <w:tcW w:w="116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46E8E5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SD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6157AF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p</w:t>
            </w:r>
          </w:p>
        </w:tc>
        <w:tc>
          <w:tcPr>
            <w:tcW w:w="103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6D9AC8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t</w:t>
            </w:r>
          </w:p>
        </w:tc>
        <w:tc>
          <w:tcPr>
            <w:tcW w:w="68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CC0F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proofErr w:type="spellStart"/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df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15BC60C0" w14:textId="77777777" w:rsidR="00C87034" w:rsidRPr="00C87034" w:rsidRDefault="00C87034" w:rsidP="00C8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C87034" w:rsidRPr="00C87034" w14:paraId="01AB3227" w14:textId="77777777" w:rsidTr="003F1164">
        <w:trPr>
          <w:trHeight w:val="243"/>
        </w:trPr>
        <w:tc>
          <w:tcPr>
            <w:tcW w:w="39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5B2CE6E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0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A635B1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6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669812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6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E4E367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F4995F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03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AC98C5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8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D8D70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F3A8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C87034" w:rsidRPr="00C87034" w14:paraId="6555FA5B" w14:textId="77777777" w:rsidTr="003F1164">
        <w:trPr>
          <w:trHeight w:val="243"/>
        </w:trPr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A589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Мъже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486C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-,11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24F0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51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CC86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2,07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1981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,35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4833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-,94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9A4D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71</w:t>
            </w:r>
          </w:p>
        </w:tc>
        <w:tc>
          <w:tcPr>
            <w:tcW w:w="158" w:type="dxa"/>
            <w:vAlign w:val="center"/>
            <w:hideMark/>
          </w:tcPr>
          <w:p w14:paraId="22A66AA5" w14:textId="77777777" w:rsidR="00C87034" w:rsidRPr="00C87034" w:rsidRDefault="00C87034" w:rsidP="00C8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C87034" w:rsidRPr="00C87034" w14:paraId="4E825109" w14:textId="77777777" w:rsidTr="003F1164">
        <w:trPr>
          <w:trHeight w:val="243"/>
        </w:trPr>
        <w:tc>
          <w:tcPr>
            <w:tcW w:w="39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5AAA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Жени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EAEB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,33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3E4C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A613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2,58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1724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,35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C408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-,94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156F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71</w:t>
            </w:r>
          </w:p>
        </w:tc>
        <w:tc>
          <w:tcPr>
            <w:tcW w:w="158" w:type="dxa"/>
            <w:vAlign w:val="center"/>
            <w:hideMark/>
          </w:tcPr>
          <w:p w14:paraId="4E8B3BCF" w14:textId="77777777" w:rsidR="00C87034" w:rsidRPr="00C87034" w:rsidRDefault="00C87034" w:rsidP="00C8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C87034" w:rsidRPr="00C87034" w14:paraId="1371F29A" w14:textId="77777777" w:rsidTr="003F1164">
        <w:trPr>
          <w:trHeight w:val="243"/>
        </w:trPr>
        <w:tc>
          <w:tcPr>
            <w:tcW w:w="39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A221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Възраст 21-31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C05A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19FA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34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917E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2,31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6A6A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,23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1D9A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1,2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8685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71</w:t>
            </w:r>
          </w:p>
        </w:tc>
        <w:tc>
          <w:tcPr>
            <w:tcW w:w="158" w:type="dxa"/>
            <w:vAlign w:val="center"/>
            <w:hideMark/>
          </w:tcPr>
          <w:p w14:paraId="2E3A739C" w14:textId="77777777" w:rsidR="00C87034" w:rsidRPr="00C87034" w:rsidRDefault="00C87034" w:rsidP="00C8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C87034" w:rsidRPr="00C87034" w14:paraId="5F00373C" w14:textId="77777777" w:rsidTr="003F1164">
        <w:trPr>
          <w:trHeight w:val="243"/>
        </w:trPr>
        <w:tc>
          <w:tcPr>
            <w:tcW w:w="39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4CA00" w14:textId="77777777" w:rsidR="00C87034" w:rsidRPr="00C87034" w:rsidRDefault="00C87034" w:rsidP="00C87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Възраст 32-45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6237D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-,24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C42D0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39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BD537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2,13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F8CE7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,23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D3F61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1,2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2E54" w14:textId="77777777" w:rsidR="00C87034" w:rsidRPr="00C87034" w:rsidRDefault="00C87034" w:rsidP="00C87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C8703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71</w:t>
            </w:r>
          </w:p>
        </w:tc>
        <w:tc>
          <w:tcPr>
            <w:tcW w:w="158" w:type="dxa"/>
            <w:vAlign w:val="center"/>
            <w:hideMark/>
          </w:tcPr>
          <w:p w14:paraId="3B9F07EF" w14:textId="77777777" w:rsidR="00C87034" w:rsidRPr="00C87034" w:rsidRDefault="00C87034" w:rsidP="00C8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</w:tbl>
    <w:p w14:paraId="5BBC6A2C" w14:textId="2653E9B7" w:rsidR="00921ACE" w:rsidRPr="00A1146C" w:rsidRDefault="00C87034" w:rsidP="00FF0E21">
      <w:pPr>
        <w:spacing w:line="360" w:lineRule="auto"/>
        <w:ind w:left="-720" w:firstLine="720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</w:rPr>
        <w:fldChar w:fldCharType="end"/>
      </w:r>
    </w:p>
    <w:p w14:paraId="00899A66" w14:textId="12D07E36" w:rsidR="00A31744" w:rsidRPr="00A1146C" w:rsidRDefault="00921ACE" w:rsidP="001F0099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Разглеждайки възрастовите различия, може да се каже, че горните заключения важат и в тези условия.  Средната стойност  на бърнаут при възрастова група</w:t>
      </w:r>
      <w:r w:rsidR="004B462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21г.</w:t>
      </w:r>
      <w:r w:rsidR="004B462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до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31г. е -,39, докато тази при групата </w:t>
      </w:r>
      <w:r w:rsidR="004B462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32г.</w:t>
      </w:r>
      <w:r w:rsidR="004B462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до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45г. е -,24. Стандартното отклонение при възрастова група </w:t>
      </w:r>
      <w:r w:rsidR="004B462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21г.</w:t>
      </w:r>
      <w:r w:rsidR="004B462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до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31г. е със стойност 2,31, а това при групата </w:t>
      </w:r>
      <w:r w:rsidR="004B462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32г.</w:t>
      </w:r>
      <w:r w:rsidR="004B462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до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45г. е 2,13. Стойността на p е ,23, което отново надхвърля нормата от ,05. Следователно, разликата в между груповите средни стойности по възраст не е значима (p &gt; ,05). В допълнение, ДИ е 1,04 с горна граница 1.67 и -.41 долна граница, при нула в ДИ. Силата на ефекта отново е с ниска стойност ES = ,28. В заключение може да се каче, че разликата между групите е нито съществена (ES стойност), нито значима (p стойност). На практика групите</w:t>
      </w:r>
      <w:r w:rsidR="009847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тази извадка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не се различават.</w:t>
      </w:r>
    </w:p>
    <w:p w14:paraId="62DE6E6E" w14:textId="592EAF6F" w:rsidR="00C02D3D" w:rsidRPr="00A1146C" w:rsidRDefault="001F0099" w:rsidP="002A3048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 xml:space="preserve">Като предварителен тест, </w:t>
      </w:r>
      <w:r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графика 6</w:t>
      </w:r>
      <w:r w:rsidR="00752D0F" w:rsidRPr="00726525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показва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корелационните връзки между 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всички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променливи, включвайки вътрешните измерения на бърнаут и 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неговата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обща стойност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Стойностите на корелационния коефициент между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общата удовлетвореност от труда и 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дв</w:t>
      </w:r>
      <w:r w:rsidR="00C3517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</w:t>
      </w:r>
      <w:r w:rsidR="00C3517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измеренията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бърнаут (емоционално изтощение, дехуманизация)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плюс комбиниран бал по бърнаут,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варират от</w:t>
      </w:r>
      <w:r w:rsidR="006145B2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145B2" w:rsidRPr="00A1146C">
        <w:rPr>
          <w:rFonts w:ascii="Times New Roman" w:eastAsia="Calibri" w:hAnsi="Times New Roman" w:cs="Times New Roman"/>
          <w:sz w:val="24"/>
          <w:szCs w:val="24"/>
          <w:lang w:val="en-GB"/>
        </w:rPr>
        <w:t>r</w:t>
      </w:r>
      <w:r w:rsidR="005A697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145B2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=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37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до </w:t>
      </w:r>
      <w:r w:rsidR="006145B2" w:rsidRPr="00A1146C">
        <w:rPr>
          <w:rFonts w:ascii="Times New Roman" w:eastAsia="Calibri" w:hAnsi="Times New Roman" w:cs="Times New Roman"/>
          <w:sz w:val="24"/>
          <w:szCs w:val="24"/>
          <w:lang w:val="en-GB"/>
        </w:rPr>
        <w:t>r</w:t>
      </w:r>
      <w:r w:rsidR="005A697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145B2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=</w:t>
      </w:r>
      <w:r w:rsidR="005A697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,5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2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което показва, че 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 тази извадка 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те са </w:t>
      </w:r>
      <w:r w:rsidR="00A81B7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статистически значими</w:t>
      </w:r>
      <w:r w:rsidR="00752D0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 ниска до умерена корелация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 Що се отнася до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вътрешните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нива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бърнаут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работоспособността,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дехуманизацията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емоционалното изтощение 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са </w:t>
      </w:r>
      <w:r w:rsidR="00752D0F">
        <w:rPr>
          <w:rFonts w:ascii="Times New Roman" w:eastAsia="Calibri" w:hAnsi="Times New Roman" w:cs="Times New Roman"/>
          <w:sz w:val="24"/>
          <w:szCs w:val="24"/>
          <w:lang w:val="bg-BG"/>
        </w:rPr>
        <w:t>от умерено до високо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взаимосвързани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(r =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-,55, </w:t>
      </w:r>
      <w:r w:rsidR="006716FD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,87,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716FD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,78</w:t>
      </w:r>
      <w:r w:rsidR="006716F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C02D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)</w:t>
      </w:r>
      <w:r w:rsidR="00A81B7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което потвърждава тяхната вътрешна валидност.</w:t>
      </w:r>
      <w:r w:rsidR="00636BC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C2C0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Възрастта </w:t>
      </w:r>
      <w:r w:rsidR="001C2C0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трудовият стаж </w:t>
      </w:r>
      <w:r w:rsidR="001C2C0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показва</w:t>
      </w:r>
      <w:r w:rsidR="001C2C0C">
        <w:rPr>
          <w:rFonts w:ascii="Times New Roman" w:eastAsia="Calibri" w:hAnsi="Times New Roman" w:cs="Times New Roman"/>
          <w:sz w:val="24"/>
          <w:szCs w:val="24"/>
          <w:lang w:val="bg-BG"/>
        </w:rPr>
        <w:t>т липса на</w:t>
      </w:r>
      <w:r w:rsidR="001C2C0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значима връзка с невротизма и дехуманизацията</w:t>
      </w:r>
      <w:r w:rsidR="001C2C0C">
        <w:rPr>
          <w:rFonts w:ascii="Times New Roman" w:eastAsia="Calibri" w:hAnsi="Times New Roman" w:cs="Times New Roman"/>
          <w:sz w:val="24"/>
          <w:szCs w:val="24"/>
          <w:lang w:val="bg-BG"/>
        </w:rPr>
        <w:t>, съответно</w:t>
      </w:r>
      <w:r w:rsidR="001C2C0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</w:t>
      </w:r>
      <w:r w:rsidR="001C2C0C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1C2C0C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-,24, </w:t>
      </w:r>
      <w:r w:rsidR="001C2C0C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1C2C0C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-,</w:t>
      </w:r>
      <w:r w:rsidR="001C2C0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28).</w:t>
      </w:r>
      <w:r w:rsidR="001C2C0C" w:rsidRPr="00CE772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C2C0C">
        <w:rPr>
          <w:rFonts w:ascii="Times New Roman" w:eastAsia="Calibri" w:hAnsi="Times New Roman" w:cs="Times New Roman"/>
          <w:sz w:val="24"/>
          <w:szCs w:val="24"/>
          <w:lang w:val="bg-BG"/>
        </w:rPr>
        <w:t>Корелационните коефициенти и за двете променливи са</w:t>
      </w:r>
      <w:r w:rsidR="001C2C0C" w:rsidRPr="00CE772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отрицателн</w:t>
      </w:r>
      <w:r w:rsidR="001C2C0C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1C2C0C" w:rsidRPr="00CE772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C2C0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</w:t>
      </w:r>
      <w:r w:rsidR="001C2C0C" w:rsidRPr="00CE772F">
        <w:rPr>
          <w:rFonts w:ascii="Times New Roman" w:eastAsia="Calibri" w:hAnsi="Times New Roman" w:cs="Times New Roman"/>
          <w:sz w:val="24"/>
          <w:szCs w:val="24"/>
          <w:lang w:val="bg-BG"/>
        </w:rPr>
        <w:t>много ниск</w:t>
      </w:r>
      <w:r w:rsidR="001C2C0C">
        <w:rPr>
          <w:rFonts w:ascii="Times New Roman" w:eastAsia="Calibri" w:hAnsi="Times New Roman" w:cs="Times New Roman"/>
          <w:sz w:val="24"/>
          <w:szCs w:val="24"/>
          <w:lang w:val="bg-BG"/>
        </w:rPr>
        <w:t>и.</w:t>
      </w:r>
    </w:p>
    <w:p w14:paraId="2112D455" w14:textId="48185DF0" w:rsidR="00B47CAA" w:rsidRDefault="000E15F7" w:rsidP="006716FD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A4CFAF" wp14:editId="0E2C2635">
                <wp:simplePos x="0" y="0"/>
                <wp:positionH relativeFrom="margin">
                  <wp:align>left</wp:align>
                </wp:positionH>
                <wp:positionV relativeFrom="paragraph">
                  <wp:posOffset>3371850</wp:posOffset>
                </wp:positionV>
                <wp:extent cx="1771650" cy="247650"/>
                <wp:effectExtent l="0" t="0" r="19050" b="1905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DA920" w14:textId="5C7D1ECB" w:rsidR="00122F7A" w:rsidRPr="00C02D3D" w:rsidRDefault="00122F7A" w:rsidP="002A30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2D3D">
                              <w:rPr>
                                <w:b/>
                                <w:bCs/>
                                <w:lang w:val="bg-BG"/>
                              </w:rPr>
                              <w:t xml:space="preserve">Графика 6 </w:t>
                            </w:r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>–</w:t>
                            </w:r>
                            <w:r w:rsidRPr="00C02D3D">
                              <w:rPr>
                                <w:b/>
                                <w:bCs/>
                                <w:lang w:val="bg-BG"/>
                              </w:rPr>
                              <w:t xml:space="preserve"> Корелограма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CFAF" id="_x0000_s1029" type="#_x0000_t202" style="position:absolute;left:0;text-align:left;margin-left:0;margin-top:265.5pt;width:139.5pt;height:19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PiEQIAACYEAAAOAAAAZHJzL2Uyb0RvYy54bWysU9tu2zAMfR+wfxD0vjjJkqY14hRdugwD&#10;ugvQ7QNkWY6FyaJGKbG7ry8lu2l2exnmB4E0qUPy8Gh93beGHRV6Dbbgs8mUM2UlVNruC/71y+7V&#10;JWc+CFsJA1YV/EF5fr15+WLduVzNoQFTKWQEYn3euYI3Ibg8y7xsVCv8BJyyFKwBWxHIxX1WoegI&#10;vTXZfDq9yDrAyiFI5T39vR2CfJPw61rJ8KmuvQrMFJx6C+nEdJbxzDZrke9RuEbLsQ3xD120Qlsq&#10;eoK6FUGwA+rfoFotETzUYSKhzaCutVRpBppmNv1lmvtGOJVmIXK8O9Hk/x+s/Hi8d5+Rhf4N9LTA&#10;NIR3dyC/eWZh2wi7VzeI0DVKVFR4FinLOufz8Wqk2uc+gpTdB6hoyeIQIAH1NbaRFZqTETot4OFE&#10;uuoDk7HkajW7WFJIUmy+WEU7lhD5022HPrxT0LJoFBxpqQldHO98GFKfUmIxD0ZXO21McnBfbg2y&#10;oyAB7NI3ov+UZizrCn61nC8HAv4KMU3fnyBaHUjJRrcFvzwliTzS9tZWSWdBaDPYNJ2xI4+RuoHE&#10;0Jc901XBX8cCkdYSqgciFmEQLj00MhrAH5x1JNqC++8HgYoz897Scq5mi0VUeXIWy9WcHDyPlOcR&#10;YSVBFTxwNpjbkF5G5M3CDS2x1onf507GlkmMaUPjw4lqP/dT1vPz3jwCAAD//wMAUEsDBBQABgAI&#10;AAAAIQDoHlt+3gAAAAgBAAAPAAAAZHJzL2Rvd25yZXYueG1sTI9BT8MwDIXvSPyHyEhcEEu3wbqV&#10;phNCAsENtgmuWeO1FYlTkqwr/x5zgtuzn/X8vXI9OisGDLHzpGA6yUAg1d501CjYbR+vlyBi0mS0&#10;9YQKvjHCujo/K3Vh/InecNikRnAIxUIraFPqCylj3aLTceJ7JPYOPjideAyNNEGfONxZOcuyhXS6&#10;I/7Q6h4fWqw/N0enYHnzPHzEl/nre7042FW6yoenr6DU5cV4fwci4Zj+juEXn9GhYqa9P5KJwirg&#10;IknB7XzKgu1ZvmKx502eZSCrUv4vUP0AAAD//wMAUEsBAi0AFAAGAAgAAAAhALaDOJL+AAAA4QEA&#10;ABMAAAAAAAAAAAAAAAAAAAAAAFtDb250ZW50X1R5cGVzXS54bWxQSwECLQAUAAYACAAAACEAOP0h&#10;/9YAAACUAQAACwAAAAAAAAAAAAAAAAAvAQAAX3JlbHMvLnJlbHNQSwECLQAUAAYACAAAACEAXtpj&#10;4hECAAAmBAAADgAAAAAAAAAAAAAAAAAuAgAAZHJzL2Uyb0RvYy54bWxQSwECLQAUAAYACAAAACEA&#10;6B5bft4AAAAIAQAADwAAAAAAAAAAAAAAAABrBAAAZHJzL2Rvd25yZXYueG1sUEsFBgAAAAAEAAQA&#10;8wAAAHYFAAAAAA==&#10;">
                <v:textbox>
                  <w:txbxContent>
                    <w:p w14:paraId="597DA920" w14:textId="5C7D1ECB" w:rsidR="00122F7A" w:rsidRPr="00C02D3D" w:rsidRDefault="00122F7A" w:rsidP="002A3048">
                      <w:pPr>
                        <w:rPr>
                          <w:b/>
                          <w:bCs/>
                        </w:rPr>
                      </w:pPr>
                      <w:r w:rsidRPr="00C02D3D">
                        <w:rPr>
                          <w:b/>
                          <w:bCs/>
                          <w:lang w:val="bg-BG"/>
                        </w:rPr>
                        <w:t xml:space="preserve">Графика 6 </w:t>
                      </w:r>
                      <w:r>
                        <w:rPr>
                          <w:b/>
                          <w:bCs/>
                          <w:lang w:val="bg-BG"/>
                        </w:rPr>
                        <w:t>–</w:t>
                      </w:r>
                      <w:r w:rsidRPr="00C02D3D">
                        <w:rPr>
                          <w:b/>
                          <w:bCs/>
                          <w:lang w:val="bg-BG"/>
                        </w:rPr>
                        <w:t xml:space="preserve"> Корелограма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8B3" w:rsidRPr="00726525">
        <w:rPr>
          <w:noProof/>
          <w:lang w:val="ru-RU"/>
        </w:rPr>
        <w:t xml:space="preserve"> </w:t>
      </w:r>
      <w:r w:rsidR="00F408B3">
        <w:rPr>
          <w:noProof/>
        </w:rPr>
        <w:drawing>
          <wp:inline distT="0" distB="0" distL="0" distR="0" wp14:anchorId="69D8A6D6" wp14:editId="378184C3">
            <wp:extent cx="5924550" cy="3667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3363" w14:textId="0F568727" w:rsidR="00FD7FA2" w:rsidRPr="00A1146C" w:rsidRDefault="00B70506" w:rsidP="001718E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Изследване</w:t>
      </w:r>
      <w:r w:rsidR="008079B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проведено от Maslach и Jackson (1981)</w:t>
      </w:r>
      <w:r w:rsidR="008079B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081C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сви</w:t>
      </w:r>
      <w:r w:rsidR="004639A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</w:t>
      </w:r>
      <w:r w:rsidR="00081C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етелств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а за наличието 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значи</w:t>
      </w:r>
      <w:r w:rsidR="007E6D8C">
        <w:rPr>
          <w:rFonts w:ascii="Times New Roman" w:eastAsia="Calibri" w:hAnsi="Times New Roman" w:cs="Times New Roman"/>
          <w:sz w:val="24"/>
          <w:szCs w:val="24"/>
          <w:lang w:val="bg-BG"/>
        </w:rPr>
        <w:t>м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връзки между 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възрастта на изследваните лица и нивото на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бърнаут. 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зползвайки 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 xml:space="preserve">голяма хетерогенна извадка (n = 1025), авторите откриват, че младите хора </w:t>
      </w:r>
      <w:r w:rsidR="00F34C1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се отличават с по-</w:t>
      </w:r>
      <w:r w:rsidR="00A1244E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високи 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стойности по емоционално изтощение; 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докато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 група 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1152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по-възрастните участници</w:t>
      </w:r>
      <w:r w:rsidR="00A1244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авторите наблюдават по-високи резултати по измерението дехуманизация.</w:t>
      </w:r>
      <w:r w:rsidR="0071152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>Не може да се твърди със сигурност, че р</w:t>
      </w:r>
      <w:r w:rsidR="0071152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езултати </w:t>
      </w:r>
      <w:r w:rsidR="007E6D8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 тази разработка, </w:t>
      </w:r>
      <w:r w:rsidR="0071152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потвърждават 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или отхвърлят </w:t>
      </w:r>
      <w:r w:rsidR="0071152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откритията на Maslach и Jackson (1981)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71152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>В този анализ не</w:t>
      </w:r>
      <w:r w:rsidR="0071152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се взема под внимание разграничението във възрастовите различия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>, тъй като те са групирани като една променлива.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>Останалите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демографски фактори като</w:t>
      </w:r>
      <w:r w:rsidR="000E15F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пол,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0E15F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ниво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образование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</w:t>
      </w:r>
      <w:r w:rsidR="00355A8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семеен статус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не са включени в корелационния анализ</w:t>
      </w:r>
      <w:r w:rsidR="0071152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AC7C0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Допълнително, извадката 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 </w:t>
      </w:r>
      <w:r w:rsidR="00873A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Maslach и Jackson (1981)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 над</w:t>
      </w:r>
      <w:r w:rsidR="00AC7C0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10 пъти по-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>голяма</w:t>
      </w:r>
      <w:r w:rsidR="00AC7C0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</w:t>
      </w:r>
      <w:r w:rsidR="00BE683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извадката </w:t>
      </w:r>
      <w:r w:rsidR="00873AD5">
        <w:rPr>
          <w:rFonts w:ascii="Times New Roman" w:eastAsia="Calibri" w:hAnsi="Times New Roman" w:cs="Times New Roman"/>
          <w:sz w:val="24"/>
          <w:szCs w:val="24"/>
          <w:lang w:val="bg-BG"/>
        </w:rPr>
        <w:t>използвана в тази работа.</w:t>
      </w:r>
    </w:p>
    <w:p w14:paraId="0C414A5F" w14:textId="134B51F3" w:rsidR="00FD7FA2" w:rsidRPr="00A1146C" w:rsidRDefault="00DA2D90" w:rsidP="00FD7FA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 перспективата на </w:t>
      </w:r>
      <w:r w:rsidR="00B464C7">
        <w:rPr>
          <w:rFonts w:ascii="Times New Roman" w:eastAsia="Calibri" w:hAnsi="Times New Roman" w:cs="Times New Roman"/>
          <w:sz w:val="24"/>
          <w:szCs w:val="24"/>
          <w:lang w:val="bg-BG"/>
        </w:rPr>
        <w:t>Г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олемите пет анализът показва </w:t>
      </w:r>
      <w:r w:rsidR="00833D80" w:rsidRPr="00833D8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ниски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1102A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но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статистически значими връзки 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всички 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личностови черти с бърнаут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Налице 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са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положителн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37123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коефициент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между екстраверсия, доброжелателност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отвореност към опита</w:t>
      </w:r>
      <w:r w:rsidR="0037123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съзнателност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съответно 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FD30E0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,37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FD30E0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,29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FD30E0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,36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FD30E0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= </w:t>
      </w:r>
      <w:r w:rsidR="00FD30E0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,27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Невротизмът взаимодейства </w:t>
      </w:r>
      <w:r w:rsidR="00F34C1F" w:rsidRPr="00D0598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умерено</w:t>
      </w:r>
      <w:r w:rsidR="00F80ECD" w:rsidRPr="00D0598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значимо с емоционално изтощение 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F80ECD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53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949B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слабо, но значимо с 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дехуманизация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F80ECD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37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  <w:r w:rsidR="00F949B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слабо, но значимо с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работоспособност 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F80ECD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-,27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Открива се </w:t>
      </w:r>
      <w:r w:rsidR="00F34C1F" w:rsidRPr="00F949B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умерена</w:t>
      </w:r>
      <w:r w:rsidR="00F80ECD" w:rsidRPr="00F949B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положителна връзка между невротизъм и общо ниво на бърнаут 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F80ECD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,53</w:t>
      </w:r>
      <w:r w:rsidR="0093037F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43CF5AC0" w14:textId="31ABF9A2" w:rsidR="00C02D3D" w:rsidRDefault="00F949B3" w:rsidP="00FD7FA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Повечето от получените 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резултати демонстрират значими ефекти. </w:t>
      </w:r>
      <w:r w:rsidR="0046775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това</w:t>
      </w:r>
      <w:r w:rsidR="0046775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може да се направи извод, че н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евротичните хора са склонни към развиване на негативни нагласи и цинично поведение, а хората, които са екстравертни, по-доброжелателни и съзнателни в по-слаба степен показват 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развитие на бърнаут симптоматика</w:t>
      </w:r>
      <w:r w:rsidR="00F80EC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 оглед на получените резултати</w:t>
      </w:r>
      <w:r w:rsidR="0046775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предварителния корелационен анализ</w:t>
      </w:r>
      <w:r w:rsidR="00675AD2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46775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може да се предполага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че </w:t>
      </w:r>
      <w:r w:rsidR="00675AD2">
        <w:rPr>
          <w:rFonts w:ascii="Times New Roman" w:eastAsia="Calibri" w:hAnsi="Times New Roman" w:cs="Times New Roman"/>
          <w:sz w:val="24"/>
          <w:szCs w:val="24"/>
          <w:lang w:val="bg-BG"/>
        </w:rPr>
        <w:t>изследваните лица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които са екстравертни и емоционално стабилни, изпитват чувство на компетентност и висока продуктивност в работата си. Наблюдаваните отрицателни и статистически значими връзки между общата удовлетвореност от труда и измеренията на бърнаут</w:t>
      </w:r>
      <w:r w:rsidR="00675AD2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FD7FA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B4039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подкрепят</w:t>
      </w:r>
      <w:r w:rsidR="00FD7FA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твърдението, че по-удовлетворените служители </w:t>
      </w:r>
      <w:r w:rsidR="00B44D1B">
        <w:rPr>
          <w:rFonts w:ascii="Times New Roman" w:eastAsia="Calibri" w:hAnsi="Times New Roman" w:cs="Times New Roman"/>
          <w:sz w:val="24"/>
          <w:szCs w:val="24"/>
          <w:lang w:val="bg-BG"/>
        </w:rPr>
        <w:t>показват</w:t>
      </w:r>
      <w:r w:rsidR="00FD7FA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по-</w:t>
      </w:r>
      <w:r w:rsidR="00B44D1B">
        <w:rPr>
          <w:rFonts w:ascii="Times New Roman" w:eastAsia="Calibri" w:hAnsi="Times New Roman" w:cs="Times New Roman"/>
          <w:sz w:val="24"/>
          <w:szCs w:val="24"/>
          <w:lang w:val="bg-BG"/>
        </w:rPr>
        <w:t>ниск</w:t>
      </w:r>
      <w:r w:rsidR="003751A0">
        <w:rPr>
          <w:rFonts w:ascii="Times New Roman" w:eastAsia="Calibri" w:hAnsi="Times New Roman" w:cs="Times New Roman"/>
          <w:sz w:val="24"/>
          <w:szCs w:val="24"/>
          <w:lang w:val="bg-BG"/>
        </w:rPr>
        <w:t>и стойности</w:t>
      </w:r>
      <w:r w:rsidR="00FD7FA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B48E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 </w:t>
      </w:r>
      <w:r w:rsidR="00950E6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трите </w:t>
      </w:r>
      <w:r w:rsidR="006B48E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субскали</w:t>
      </w:r>
      <w:r w:rsidR="00FD7FA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бърнаут.</w:t>
      </w:r>
    </w:p>
    <w:p w14:paraId="64F991BB" w14:textId="555898D6" w:rsidR="00BF5E97" w:rsidRDefault="00BF5E97" w:rsidP="00FD7FA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14:paraId="42EC24C8" w14:textId="77777777" w:rsidR="00BF5E97" w:rsidRPr="00A1146C" w:rsidRDefault="00BF5E97" w:rsidP="00FD7FA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D7B3D13" w14:textId="79F3751B" w:rsidR="00921ACE" w:rsidRPr="00C55825" w:rsidRDefault="00572881" w:rsidP="00572881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</w:pPr>
      <w:r w:rsidRPr="00C55825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6</w:t>
      </w:r>
      <w:r w:rsidR="003C5E61" w:rsidRPr="00C55825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 xml:space="preserve">.2 </w:t>
      </w:r>
      <w:r w:rsidR="00921ACE" w:rsidRPr="00C55825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 xml:space="preserve">Регресионен анализ на бърнаут </w:t>
      </w:r>
      <w:r w:rsidR="00673F9D" w:rsidRPr="00C55825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с</w:t>
      </w:r>
      <w:r w:rsidR="00921ACE" w:rsidRPr="00C55825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 xml:space="preserve"> </w:t>
      </w:r>
      <w:r w:rsidR="00B464C7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Г</w:t>
      </w:r>
      <w:r w:rsidR="00921ACE" w:rsidRPr="00C55825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 xml:space="preserve">олемите пет </w:t>
      </w:r>
      <w:r w:rsidR="00673F9D" w:rsidRPr="00C55825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и удовлетвореността от труда</w:t>
      </w:r>
    </w:p>
    <w:p w14:paraId="0CBAD6FE" w14:textId="5263C8A6" w:rsidR="00043ACD" w:rsidRPr="00A1146C" w:rsidRDefault="00043ACD" w:rsidP="00043ACD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 оглед на представените хипотези</w:t>
      </w:r>
      <w:r w:rsidR="003C4BF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се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предполага</w:t>
      </w:r>
      <w:r w:rsidR="00A4054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наличието на </w:t>
      </w:r>
      <w:r w:rsidR="00F624D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значима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предиктивност между </w:t>
      </w:r>
      <w:r w:rsidR="003369C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личностната черта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невротизъм и </w:t>
      </w:r>
      <w:r w:rsidR="003369C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общото ниво на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бърнаут </w:t>
      </w:r>
      <w:r w:rsidR="00156EB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- </w:t>
      </w:r>
      <w:r w:rsidRPr="00156EB0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Хипотеза 1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3C4BF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допълнение </w:t>
      </w:r>
      <w:r w:rsidRPr="00156EB0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Хипотеза 2</w:t>
      </w:r>
      <w:r w:rsidR="003C4BF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постулира, че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високата обща удовлетвореност от труда предполага ниски стойности на</w:t>
      </w:r>
      <w:r w:rsidR="003369C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общото ниво на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бърнаут.</w:t>
      </w:r>
    </w:p>
    <w:p w14:paraId="75BBEB4A" w14:textId="2E202E0B" w:rsidR="00DB044F" w:rsidRPr="00A1146C" w:rsidRDefault="00B52D5D" w:rsidP="007D3A35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проверка на хипотезите се използват регресионни анализи между 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стойността на общ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бърнаут 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като критерийна променлива</w:t>
      </w:r>
      <w:r w:rsidR="005F70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със стойностите на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обща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удовлетвореност от труда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B464C7">
        <w:rPr>
          <w:rFonts w:ascii="Times New Roman" w:eastAsia="Calibri" w:hAnsi="Times New Roman" w:cs="Times New Roman"/>
          <w:sz w:val="24"/>
          <w:szCs w:val="24"/>
          <w:lang w:val="bg-BG"/>
        </w:rPr>
        <w:t>Г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олемите пет личностови черти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демографски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те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фактори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(пол,</w:t>
      </w:r>
      <w:r w:rsidR="0012170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възраст,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трудов стаж, образование)</w:t>
      </w:r>
      <w:r w:rsidR="005F70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като предиктори</w:t>
      </w:r>
      <w:r w:rsidR="00E1358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E1358F" w:rsidRPr="006426F0">
        <w:rPr>
          <w:rFonts w:ascii="Times New Roman" w:eastAsia="Calibri" w:hAnsi="Times New Roman" w:cs="Times New Roman"/>
          <w:sz w:val="24"/>
          <w:szCs w:val="24"/>
          <w:lang w:val="bg-BG"/>
        </w:rPr>
        <w:t>(</w:t>
      </w:r>
      <w:r w:rsidR="00E1358F" w:rsidRPr="00A1146C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графика 7</w:t>
      </w:r>
      <w:r w:rsidR="00486B29" w:rsidRPr="006426F0">
        <w:rPr>
          <w:rFonts w:ascii="Times New Roman" w:eastAsia="Calibri" w:hAnsi="Times New Roman" w:cs="Times New Roman"/>
          <w:sz w:val="24"/>
          <w:szCs w:val="24"/>
          <w:lang w:val="bg-BG"/>
        </w:rPr>
        <w:t>, страница 3</w:t>
      </w:r>
      <w:r w:rsidR="006426F0" w:rsidRPr="006426F0">
        <w:rPr>
          <w:rFonts w:ascii="Times New Roman" w:eastAsia="Calibri" w:hAnsi="Times New Roman" w:cs="Times New Roman"/>
          <w:sz w:val="24"/>
          <w:szCs w:val="24"/>
          <w:lang w:val="ru-RU"/>
        </w:rPr>
        <w:t>3</w:t>
      </w:r>
      <w:r w:rsidR="00E1358F" w:rsidRPr="006426F0">
        <w:rPr>
          <w:rFonts w:ascii="Times New Roman" w:eastAsia="Calibri" w:hAnsi="Times New Roman" w:cs="Times New Roman"/>
          <w:sz w:val="24"/>
          <w:szCs w:val="24"/>
          <w:lang w:val="bg-BG"/>
        </w:rPr>
        <w:t>)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AA17A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провеждането на регресионните анализи и изработката на </w:t>
      </w:r>
      <w:r w:rsidR="00AA17AE" w:rsidRPr="00AA17AE">
        <w:rPr>
          <w:rFonts w:ascii="Times New Roman" w:eastAsia="Calibri" w:hAnsi="Times New Roman" w:cs="Times New Roman"/>
          <w:b/>
          <w:bCs/>
          <w:sz w:val="24"/>
          <w:szCs w:val="24"/>
          <w:lang w:val="bg-BG"/>
        </w:rPr>
        <w:t>графика 7</w:t>
      </w:r>
      <w:r w:rsidR="00AA17A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се използва пакетът </w:t>
      </w:r>
      <w:r w:rsidR="00AA17AE"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 w:rsidR="00AA17AE" w:rsidRPr="00AA17AE">
        <w:rPr>
          <w:rFonts w:ascii="Times New Roman" w:hAnsi="Times New Roman" w:cs="Times New Roman"/>
          <w:sz w:val="24"/>
          <w:szCs w:val="24"/>
          <w:lang w:val="bg-BG"/>
        </w:rPr>
        <w:t>ggstatsplot</w:t>
      </w:r>
      <w:proofErr w:type="spellEnd"/>
      <w:r w:rsidR="00AA17AE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“ </w:t>
      </w:r>
      <w:r w:rsidR="00D07C8D" w:rsidRPr="00D07C8D">
        <w:rPr>
          <w:rFonts w:ascii="Times New Roman" w:hAnsi="Times New Roman" w:cs="Times New Roman"/>
          <w:sz w:val="24"/>
          <w:szCs w:val="24"/>
          <w:lang w:val="bg-BG"/>
        </w:rPr>
        <w:t xml:space="preserve">разработен </w:t>
      </w:r>
      <w:r w:rsidR="00CC10B0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D07C8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„</w:t>
      </w:r>
      <w:r w:rsidR="00D07C8D" w:rsidRPr="00D07C8D">
        <w:rPr>
          <w:rFonts w:ascii="Times New Roman" w:hAnsi="Times New Roman" w:cs="Times New Roman"/>
          <w:sz w:val="24"/>
          <w:szCs w:val="24"/>
        </w:rPr>
        <w:t>Max</w:t>
      </w:r>
      <w:r w:rsidR="00D07C8D" w:rsidRPr="0072652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7C8D" w:rsidRPr="00D07C8D">
        <w:rPr>
          <w:rFonts w:ascii="Times New Roman" w:hAnsi="Times New Roman" w:cs="Times New Roman"/>
          <w:sz w:val="24"/>
          <w:szCs w:val="24"/>
        </w:rPr>
        <w:t>Planck</w:t>
      </w:r>
      <w:r w:rsidR="00D07C8D" w:rsidRPr="0072652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7C8D" w:rsidRPr="00D07C8D">
        <w:rPr>
          <w:rFonts w:ascii="Times New Roman" w:hAnsi="Times New Roman" w:cs="Times New Roman"/>
          <w:sz w:val="24"/>
          <w:szCs w:val="24"/>
        </w:rPr>
        <w:t>Institute</w:t>
      </w:r>
      <w:r w:rsidR="00D07C8D" w:rsidRPr="0072652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7C8D" w:rsidRPr="00D07C8D">
        <w:rPr>
          <w:rFonts w:ascii="Times New Roman" w:hAnsi="Times New Roman" w:cs="Times New Roman"/>
          <w:sz w:val="24"/>
          <w:szCs w:val="24"/>
        </w:rPr>
        <w:t>for</w:t>
      </w:r>
      <w:r w:rsidR="00D07C8D" w:rsidRPr="0072652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7C8D" w:rsidRPr="00D07C8D">
        <w:rPr>
          <w:rFonts w:ascii="Times New Roman" w:hAnsi="Times New Roman" w:cs="Times New Roman"/>
          <w:sz w:val="24"/>
          <w:szCs w:val="24"/>
        </w:rPr>
        <w:t>Human</w:t>
      </w:r>
      <w:r w:rsidR="00D07C8D" w:rsidRPr="0072652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7C8D" w:rsidRPr="00D07C8D">
        <w:rPr>
          <w:rFonts w:ascii="Times New Roman" w:hAnsi="Times New Roman" w:cs="Times New Roman"/>
          <w:sz w:val="24"/>
          <w:szCs w:val="24"/>
        </w:rPr>
        <w:t>Development</w:t>
      </w:r>
      <w:r w:rsidR="006664A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D07C8D" w:rsidRPr="0072652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07C8D" w:rsidRPr="00D07C8D">
        <w:rPr>
          <w:rFonts w:ascii="Times New Roman" w:hAnsi="Times New Roman" w:cs="Times New Roman"/>
          <w:sz w:val="24"/>
          <w:szCs w:val="24"/>
        </w:rPr>
        <w:t>Berlin</w:t>
      </w:r>
      <w:r w:rsidR="006C01F5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AA17AE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D07C8D" w:rsidRPr="00AA17AE">
        <w:rPr>
          <w:rFonts w:ascii="Times New Roman" w:hAnsi="Times New Roman" w:cs="Times New Roman"/>
          <w:sz w:val="24"/>
          <w:szCs w:val="24"/>
          <w:lang w:val="bg-BG"/>
        </w:rPr>
        <w:t>Patil, I</w:t>
      </w:r>
      <w:r w:rsidR="00D07C8D" w:rsidRPr="0072652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AA17AE" w:rsidRPr="00A1146C">
        <w:rPr>
          <w:rFonts w:ascii="Times New Roman" w:hAnsi="Times New Roman" w:cs="Times New Roman"/>
          <w:sz w:val="24"/>
          <w:szCs w:val="24"/>
          <w:lang w:val="bg-BG"/>
        </w:rPr>
        <w:t>2018).</w:t>
      </w:r>
      <w:r w:rsidR="00AA17AE"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бщата стойност на бърнаут е съставната оценка, получена чрез 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формулата ЕИ/9 + Д/5 – Р/8.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Според </w:t>
      </w:r>
      <w:r w:rsidR="001D47AC" w:rsidRPr="00A1146C">
        <w:rPr>
          <w:rFonts w:ascii="Times New Roman" w:eastAsia="Calibri" w:hAnsi="Times New Roman" w:cs="Times New Roman"/>
          <w:sz w:val="24"/>
          <w:szCs w:val="24"/>
        </w:rPr>
        <w:t>Bakker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</w:t>
      </w:r>
      <w:r w:rsidR="003A14A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сътрудници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(2003), в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литературата е 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честа практика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да се използва композитна оценка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съставена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измеренията на бърнаут, тъй като 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съставните му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суб</w:t>
      </w:r>
      <w:r w:rsidR="001D47A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скали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са силно корелирани </w:t>
      </w:r>
      <w:r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помежду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си.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График</w:t>
      </w:r>
      <w:r w:rsidR="000A595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="000A595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регресионни</w:t>
      </w:r>
      <w:r w:rsidR="000A595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я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анализ съдържа диагностична информация относно модела, която най-общо казано представлява информационен критери</w:t>
      </w:r>
      <w:r w:rsidR="00B57F68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й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Akaike (AIC)</w:t>
      </w:r>
      <w:r w:rsidR="003C4BF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б</w:t>
      </w:r>
      <w:r w:rsidR="003C4BF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йзиански информационен критерий (BIC). Колкото по-малки са техните стойности, толкова по-</w:t>
      </w:r>
      <w:r w:rsidR="003C4BF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точен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 моделът</w:t>
      </w:r>
      <w:r w:rsidR="00FF3BB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 w:rsidR="00FF3BB8"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Säfken, </w:t>
      </w:r>
      <w:r w:rsidR="00FF3BB8" w:rsidRPr="00A1146C">
        <w:rPr>
          <w:rFonts w:ascii="Times New Roman" w:hAnsi="Times New Roman" w:cs="Times New Roman"/>
          <w:sz w:val="24"/>
          <w:szCs w:val="24"/>
        </w:rPr>
        <w:t>et</w:t>
      </w:r>
      <w:r w:rsidR="00FF3BB8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3BB8" w:rsidRPr="00A1146C">
        <w:rPr>
          <w:rFonts w:ascii="Times New Roman" w:hAnsi="Times New Roman" w:cs="Times New Roman"/>
          <w:sz w:val="24"/>
          <w:szCs w:val="24"/>
        </w:rPr>
        <w:t>al</w:t>
      </w:r>
      <w:r w:rsidR="00FF3BB8" w:rsidRPr="00A1146C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r w:rsidR="00FF3BB8" w:rsidRPr="00A1146C">
        <w:rPr>
          <w:rFonts w:ascii="Times New Roman" w:hAnsi="Times New Roman" w:cs="Times New Roman"/>
          <w:sz w:val="24"/>
          <w:szCs w:val="24"/>
          <w:lang w:val="bg-BG"/>
        </w:rPr>
        <w:t>2018</w:t>
      </w:r>
      <w:r w:rsidR="00FF3BB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В конкретния случай тези метрики </w:t>
      </w:r>
      <w:r w:rsidR="005752F0">
        <w:rPr>
          <w:rFonts w:ascii="Times New Roman" w:eastAsia="Calibri" w:hAnsi="Times New Roman" w:cs="Times New Roman"/>
          <w:sz w:val="24"/>
          <w:szCs w:val="24"/>
          <w:lang w:val="bg-BG"/>
        </w:rPr>
        <w:t>не се вземат под внимание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тъй като </w:t>
      </w:r>
      <w:r w:rsidR="00DF7E6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статистическият модел 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използва </w:t>
      </w:r>
      <w:r w:rsidR="00DF7E6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единствено линейна</w:t>
      </w:r>
      <w:r w:rsidR="00FF3B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DF7E6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регресия</w:t>
      </w:r>
      <w:r w:rsidR="00827F3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няма втори модел за сравнение</w:t>
      </w:r>
      <w:r w:rsidR="004B763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(например дърво на решенията или векторна машина)</w:t>
      </w:r>
      <w:r w:rsidR="001751B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Разглежданите коефициенти в регресионните анализи са</w:t>
      </w:r>
      <w:r w:rsidR="0008112A">
        <w:rPr>
          <w:rFonts w:ascii="Times New Roman" w:eastAsia="Calibri" w:hAnsi="Times New Roman" w:cs="Times New Roman"/>
          <w:sz w:val="24"/>
          <w:szCs w:val="24"/>
          <w:lang w:val="bg-BG"/>
        </w:rPr>
        <w:t>: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β</w:t>
      </w:r>
      <w:r w:rsidR="00C36B8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 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стандартна грешка</w:t>
      </w:r>
      <w:r w:rsidR="0008112A">
        <w:rPr>
          <w:rFonts w:ascii="Times New Roman" w:eastAsia="Calibri" w:hAnsi="Times New Roman" w:cs="Times New Roman"/>
          <w:sz w:val="24"/>
          <w:szCs w:val="24"/>
          <w:lang w:val="bg-BG"/>
        </w:rPr>
        <w:t>;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520154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2 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– 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коефициент на детерминация</w:t>
      </w:r>
      <w:r w:rsidR="0008112A">
        <w:rPr>
          <w:rFonts w:ascii="Times New Roman" w:eastAsia="Calibri" w:hAnsi="Times New Roman" w:cs="Times New Roman"/>
          <w:sz w:val="24"/>
          <w:szCs w:val="24"/>
          <w:lang w:val="bg-BG"/>
        </w:rPr>
        <w:t>;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520154" w:rsidRPr="00A1146C">
        <w:rPr>
          <w:rFonts w:ascii="Times New Roman" w:eastAsia="Calibri" w:hAnsi="Times New Roman" w:cs="Times New Roman"/>
          <w:sz w:val="24"/>
          <w:szCs w:val="24"/>
        </w:rPr>
        <w:t>p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коефициент на значимост</w:t>
      </w:r>
      <w:r w:rsidR="0008112A">
        <w:rPr>
          <w:rFonts w:ascii="Times New Roman" w:eastAsia="Calibri" w:hAnsi="Times New Roman" w:cs="Times New Roman"/>
          <w:sz w:val="24"/>
          <w:szCs w:val="24"/>
          <w:lang w:val="bg-BG"/>
        </w:rPr>
        <w:t>;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520154" w:rsidRPr="00A1146C">
        <w:rPr>
          <w:rFonts w:ascii="Times New Roman" w:eastAsia="Calibri" w:hAnsi="Times New Roman" w:cs="Times New Roman"/>
          <w:sz w:val="24"/>
          <w:szCs w:val="24"/>
        </w:rPr>
        <w:t>t</w:t>
      </w:r>
      <w:r w:rsidR="00C36B8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статистика –</w:t>
      </w:r>
      <w:r w:rsidR="0052015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C36B8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или съотношение на отклонението на прогнозната стойност на даден параметър от неговата хипотезирана стойност към неговата стандартна грешка</w:t>
      </w:r>
      <w:r w:rsidR="00EA50F6">
        <w:rPr>
          <w:rFonts w:ascii="Times New Roman" w:eastAsia="Calibri" w:hAnsi="Times New Roman" w:cs="Times New Roman"/>
          <w:sz w:val="24"/>
          <w:szCs w:val="24"/>
          <w:lang w:val="bg-BG"/>
        </w:rPr>
        <w:t>. Накрая</w:t>
      </w:r>
      <w:r w:rsidR="0095071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950713" w:rsidRPr="00A1146C">
        <w:rPr>
          <w:rFonts w:ascii="Times New Roman" w:eastAsia="Calibri" w:hAnsi="Times New Roman" w:cs="Times New Roman"/>
          <w:sz w:val="24"/>
          <w:szCs w:val="24"/>
        </w:rPr>
        <w:t>F</w:t>
      </w:r>
      <w:r w:rsidR="0095071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статистика с нейната значимост – за оценяване на цялостната значимост на регресионния </w:t>
      </w:r>
      <w:r w:rsidR="007D3A3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модел</w:t>
      </w:r>
      <w:r w:rsidR="0095071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спрямо индивидуалните предиктори. </w:t>
      </w:r>
    </w:p>
    <w:p w14:paraId="3C93C528" w14:textId="411FCEB2" w:rsidR="001A008D" w:rsidRPr="00A1146C" w:rsidRDefault="000A5959" w:rsidP="007D3A35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З</w:t>
      </w:r>
      <w:r w:rsidR="00486B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а да се установи в дълбочина до каква степен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удовлетвореността от труда и </w:t>
      </w:r>
      <w:r w:rsidR="00B464C7">
        <w:rPr>
          <w:rFonts w:ascii="Times New Roman" w:eastAsia="Calibri" w:hAnsi="Times New Roman" w:cs="Times New Roman"/>
          <w:sz w:val="24"/>
          <w:szCs w:val="24"/>
          <w:lang w:val="bg-BG"/>
        </w:rPr>
        <w:t>Г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олемите пет личностови черти</w:t>
      </w:r>
      <w:r w:rsidR="003A140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486B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обясняват</w:t>
      </w:r>
      <w:r w:rsidR="00856F4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предсказват</w:t>
      </w:r>
      <w:r w:rsidR="00486B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степента на бърнаут, допълнителен регресионен анализ изследва емоционалното изтощение, дехуманизацията и работоспособността като отделни зависими променливи</w:t>
      </w:r>
      <w:r w:rsidR="00852E5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486B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927F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спрямо предикторните променливи</w:t>
      </w:r>
      <w:r w:rsidR="00486B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52E5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ключ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ването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демографските фактори </w:t>
      </w:r>
      <w:r w:rsidR="009B54D9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“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пол</w:t>
      </w:r>
      <w:r w:rsidR="009B54D9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”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“</w:t>
      </w:r>
      <w:r w:rsidR="009B54D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ниво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образование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”</w:t>
      </w:r>
      <w:r w:rsidR="00852E5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регресионния анализ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налага 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прекодира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нето им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думи в цифри. Така променливата пол се 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изменя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от „мъж“ и „жена“, на 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„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1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“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„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2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“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Нивото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образование, съответно „висше“ – 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„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1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“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„полувисше“ – 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„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2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“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„средно“ 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–„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3</w:t>
      </w:r>
      <w:r w:rsidR="00745D2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“</w:t>
      </w:r>
      <w:r w:rsidR="001A008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5B144078" w14:textId="7E5C4823" w:rsidR="00E138B8" w:rsidRDefault="001A008D" w:rsidP="005752F0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Предварително проведените т-тестове, показват липса</w:t>
      </w:r>
      <w:r w:rsidR="00705F4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статистическа значимост в междугруповите средни </w:t>
      </w:r>
      <w:r w:rsidR="00255D1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променливите пол и възраст</w:t>
      </w:r>
      <w:r w:rsidR="004256D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спрямо общия бал бърнаут.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0A595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5E4F4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Провеждането на р</w:t>
      </w:r>
      <w:r w:rsidR="00821DA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егресион</w:t>
      </w:r>
      <w:r w:rsidR="005E4F4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ен</w:t>
      </w:r>
      <w:r w:rsidR="00821DA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анализ показва </w:t>
      </w:r>
      <w:r w:rsidR="005E4F4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до каква степен възрастта и пола на изследваните лица могат да послужат за предиктори на нивото на бърнаут</w:t>
      </w:r>
      <w:r w:rsidR="00821DA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Комбинираните коефициенти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 детерминация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B17FC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 п</w:t>
      </w:r>
      <w:r w:rsidR="00856F4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роменливи</w:t>
      </w:r>
      <w:r w:rsidR="00821DA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те</w:t>
      </w:r>
      <w:r w:rsidR="00856F4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пол, </w:t>
      </w:r>
      <w:r w:rsidR="00821DA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възраст, </w:t>
      </w:r>
      <w:r w:rsidR="0015648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трудов стаж</w:t>
      </w:r>
      <w:r w:rsidR="00856F4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</w:t>
      </w:r>
      <w:r w:rsidR="0015648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образование</w:t>
      </w:r>
      <w:r w:rsidR="00821DA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856F4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обясняват </w:t>
      </w:r>
      <w:r w:rsidR="00821DA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приблизително 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6</w:t>
      </w:r>
      <w:r w:rsidR="00856F4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% от </w:t>
      </w:r>
      <w:r w:rsidR="0015648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вариацията</w:t>
      </w:r>
      <w:r w:rsidR="004256D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</w:t>
      </w:r>
      <w:r w:rsidR="004256D9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4256D9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2 </w:t>
      </w:r>
      <w:r w:rsidR="004256D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= ,06</w:t>
      </w:r>
      <w:r w:rsidR="00F1246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F1246D" w:rsidRPr="00A1146C">
        <w:rPr>
          <w:rFonts w:ascii="Times New Roman" w:eastAsia="Calibri" w:hAnsi="Times New Roman" w:cs="Times New Roman"/>
          <w:sz w:val="24"/>
          <w:szCs w:val="24"/>
        </w:rPr>
        <w:t>p</w:t>
      </w:r>
      <w:r w:rsidR="00F1246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,37</w:t>
      </w:r>
      <w:r w:rsidR="004256D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)</w:t>
      </w:r>
      <w:r w:rsidR="00821DA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без наличие на статистическа значимост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при никоя от променливите</w:t>
      </w:r>
      <w:r w:rsidR="00856F4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Тъй като регресионният модел използва няколко променливи за предиктори, препоръчително е да се провери к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оригираният коефициент на детерминация (</w:t>
      </w:r>
      <w:r w:rsidR="00BF5FFA" w:rsidRPr="00A1146C">
        <w:rPr>
          <w:rFonts w:ascii="Times New Roman" w:eastAsia="Calibri" w:hAnsi="Times New Roman" w:cs="Times New Roman"/>
          <w:sz w:val="24"/>
          <w:szCs w:val="24"/>
        </w:rPr>
        <w:t>adjusted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F5FFA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)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3A140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Успоредно с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нарастването на броя предиктори стойността на </w:t>
      </w:r>
      <w:r w:rsidR="00DF4F0B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2 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се покачва и това може да </w:t>
      </w:r>
      <w:r w:rsidR="00255D1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влоши</w:t>
      </w:r>
      <w:r w:rsidR="007A462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интерпретацията на модела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 Данните показват, че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DF4F0B" w:rsidRPr="00A1146C">
        <w:rPr>
          <w:rFonts w:ascii="Times New Roman" w:eastAsia="Calibri" w:hAnsi="Times New Roman" w:cs="Times New Roman"/>
          <w:sz w:val="24"/>
          <w:szCs w:val="24"/>
        </w:rPr>
        <w:t>adj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DF4F0B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демографските променливи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обяснява по-малко от половин процент от вариацията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 w:rsidR="00950713" w:rsidRPr="00A1146C">
        <w:rPr>
          <w:rFonts w:ascii="Times New Roman" w:eastAsia="Calibri" w:hAnsi="Times New Roman" w:cs="Times New Roman"/>
          <w:sz w:val="24"/>
          <w:szCs w:val="24"/>
        </w:rPr>
        <w:t>R</w:t>
      </w:r>
      <w:r w:rsidR="00950713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2 = 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,004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DF4F0B" w:rsidRPr="00A1146C">
        <w:rPr>
          <w:rFonts w:ascii="Times New Roman" w:eastAsia="Calibri" w:hAnsi="Times New Roman" w:cs="Times New Roman"/>
          <w:sz w:val="24"/>
          <w:szCs w:val="24"/>
        </w:rPr>
        <w:t>p</w:t>
      </w:r>
      <w:r w:rsidR="00DF4F0B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,37)</w:t>
      </w:r>
      <w:r w:rsidR="00BF5FF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F1246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E4F4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Липсата на статистическа значимост в тези резултати</w:t>
      </w:r>
      <w:r w:rsidR="003A140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1246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="005E4F4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пълно отхвърля възможността демографските фактори да въздействат на общото ниво на бърнаут сред изследваните лица в тази извадка.</w:t>
      </w:r>
      <w:r w:rsidR="00704C6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Получените регресионни коефициенти за общата удовлетвореност от труда, показват статистически значима предиктивност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92138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спрямо</w:t>
      </w:r>
      <w:r w:rsidR="004D0464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общото ниво на бърнаут</w:t>
      </w:r>
      <w:r w:rsidR="00F1265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F316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β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= -,12,</w:t>
      </w:r>
      <w:r w:rsidR="009423A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4D0464" w:rsidRPr="00A1146C">
        <w:rPr>
          <w:rFonts w:ascii="Times New Roman" w:eastAsia="Calibri" w:hAnsi="Times New Roman" w:cs="Times New Roman"/>
          <w:sz w:val="24"/>
          <w:szCs w:val="24"/>
        </w:rPr>
        <w:t>t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(62) = -</w:t>
      </w:r>
      <w:r w:rsidR="00D75700">
        <w:rPr>
          <w:rFonts w:ascii="Times New Roman" w:eastAsia="Calibri" w:hAnsi="Times New Roman" w:cs="Times New Roman"/>
          <w:sz w:val="24"/>
          <w:szCs w:val="24"/>
        </w:rPr>
        <w:t>3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 w:rsidR="00D75700">
        <w:rPr>
          <w:rFonts w:ascii="Times New Roman" w:eastAsia="Calibri" w:hAnsi="Times New Roman" w:cs="Times New Roman"/>
          <w:sz w:val="24"/>
          <w:szCs w:val="24"/>
        </w:rPr>
        <w:t>8</w:t>
      </w:r>
      <w:r w:rsidR="00D127E4">
        <w:rPr>
          <w:rFonts w:ascii="Times New Roman" w:eastAsia="Calibri" w:hAnsi="Times New Roman" w:cs="Times New Roman"/>
          <w:sz w:val="24"/>
          <w:szCs w:val="24"/>
        </w:rPr>
        <w:t>6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4D0464" w:rsidRPr="00A1146C">
        <w:rPr>
          <w:rFonts w:ascii="Times New Roman" w:eastAsia="Calibri" w:hAnsi="Times New Roman" w:cs="Times New Roman"/>
          <w:sz w:val="24"/>
          <w:szCs w:val="24"/>
        </w:rPr>
        <w:t>p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&lt; ,0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 w:rsidR="004D0464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Общата удовлетвореност </w:t>
      </w:r>
      <w:r w:rsidR="00755EA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от труда 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също обяснява значителна част от вариацията на точките по общ бърнаут</w:t>
      </w:r>
      <w:r w:rsidR="00F1265E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5D66B8" w:rsidRPr="005104EA">
        <w:rPr>
          <w:rFonts w:ascii="Times New Roman" w:eastAsia="Calibri" w:hAnsi="Times New Roman" w:cs="Times New Roman"/>
          <w:sz w:val="24"/>
          <w:szCs w:val="24"/>
        </w:rPr>
        <w:t>R</w:t>
      </w:r>
      <w:r w:rsidR="005D66B8" w:rsidRPr="005104E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2 = </w:t>
      </w:r>
      <w:r w:rsidR="004D0464" w:rsidRPr="005104E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5D66B8" w:rsidRPr="005104E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,21, </w:t>
      </w:r>
      <w:r w:rsidR="005D66B8" w:rsidRPr="005104EA">
        <w:rPr>
          <w:rFonts w:ascii="Times New Roman" w:eastAsia="Calibri" w:hAnsi="Times New Roman" w:cs="Times New Roman"/>
          <w:sz w:val="24"/>
          <w:szCs w:val="24"/>
        </w:rPr>
        <w:t>F</w:t>
      </w:r>
      <w:r w:rsidR="005D66B8" w:rsidRPr="005104EA">
        <w:rPr>
          <w:rFonts w:ascii="Times New Roman" w:eastAsia="Calibri" w:hAnsi="Times New Roman" w:cs="Times New Roman"/>
          <w:sz w:val="24"/>
          <w:szCs w:val="24"/>
          <w:lang w:val="ru-RU"/>
        </w:rPr>
        <w:t>(1, 7</w:t>
      </w:r>
      <w:r w:rsidR="00266791">
        <w:rPr>
          <w:rFonts w:ascii="Times New Roman" w:eastAsia="Calibri" w:hAnsi="Times New Roman" w:cs="Times New Roman"/>
          <w:sz w:val="24"/>
          <w:szCs w:val="24"/>
        </w:rPr>
        <w:t>0</w:t>
      </w:r>
      <w:r w:rsidR="005D66B8" w:rsidRPr="005104EA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="00D127E4" w:rsidRPr="005104EA">
        <w:rPr>
          <w:rFonts w:ascii="Times New Roman" w:eastAsia="Calibri" w:hAnsi="Times New Roman" w:cs="Times New Roman"/>
          <w:sz w:val="24"/>
          <w:szCs w:val="24"/>
        </w:rPr>
        <w:t xml:space="preserve"> = 20</w:t>
      </w:r>
      <w:r w:rsidR="005104EA" w:rsidRPr="005104EA">
        <w:rPr>
          <w:rFonts w:ascii="Times New Roman" w:eastAsia="Calibri" w:hAnsi="Times New Roman" w:cs="Times New Roman"/>
          <w:sz w:val="24"/>
          <w:szCs w:val="24"/>
        </w:rPr>
        <w:t>,</w:t>
      </w:r>
      <w:r w:rsidR="00D127E4" w:rsidRPr="005104EA">
        <w:rPr>
          <w:rFonts w:ascii="Times New Roman" w:eastAsia="Calibri" w:hAnsi="Times New Roman" w:cs="Times New Roman"/>
          <w:sz w:val="24"/>
          <w:szCs w:val="24"/>
        </w:rPr>
        <w:t>4</w:t>
      </w:r>
      <w:r w:rsidR="005D66B8" w:rsidRPr="005104E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5D66B8" w:rsidRPr="005104EA">
        <w:rPr>
          <w:rFonts w:ascii="Times New Roman" w:eastAsia="Calibri" w:hAnsi="Times New Roman" w:cs="Times New Roman"/>
          <w:sz w:val="24"/>
          <w:szCs w:val="24"/>
        </w:rPr>
        <w:t>p</w:t>
      </w:r>
      <w:r w:rsidR="005D66B8" w:rsidRPr="005104EA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&lt; ,000.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Този резултат </w:t>
      </w:r>
      <w:r w:rsidR="00290B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потвърждава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хипотеза 2, която </w:t>
      </w:r>
      <w:r w:rsidR="00890301">
        <w:rPr>
          <w:rFonts w:ascii="Times New Roman" w:eastAsia="Calibri" w:hAnsi="Times New Roman" w:cs="Times New Roman"/>
          <w:sz w:val="24"/>
          <w:szCs w:val="24"/>
          <w:lang w:val="bg-BG"/>
        </w:rPr>
        <w:t>предполага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че удовлетворените служители </w:t>
      </w:r>
      <w:r w:rsidR="00A13735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проявяват</w:t>
      </w:r>
      <w:r w:rsidR="005D66B8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5D66B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по-ниски стойности по скалата общ бърнаут.</w:t>
      </w:r>
      <w:r w:rsidR="00704C6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200876F8" w14:textId="79FD5634" w:rsidR="00BF3A20" w:rsidRPr="005752F0" w:rsidRDefault="003E0ED5" w:rsidP="00BF3A20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D5FA53" wp14:editId="06E0F5EA">
                <wp:simplePos x="0" y="0"/>
                <wp:positionH relativeFrom="margin">
                  <wp:align>left</wp:align>
                </wp:positionH>
                <wp:positionV relativeFrom="paragraph">
                  <wp:posOffset>7423857</wp:posOffset>
                </wp:positionV>
                <wp:extent cx="3543300" cy="260769"/>
                <wp:effectExtent l="0" t="0" r="1905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0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BDCCF" w14:textId="77777777" w:rsidR="00BF3A20" w:rsidRPr="00BF3A20" w:rsidRDefault="00BF3A20" w:rsidP="00BF3A20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BF3A20">
                              <w:rPr>
                                <w:rFonts w:ascii="Times New Roman" w:eastAsia="Calibri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ru-RU"/>
                              </w:rPr>
                              <w:t>Графика 8 - Предикторен анализ на общ бърнаут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716AB5" w14:textId="5D1A7308" w:rsidR="00BF3A20" w:rsidRPr="00C02D3D" w:rsidRDefault="00BF3A20" w:rsidP="00BF3A2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FA53" id="_x0000_s1030" type="#_x0000_t202" style="position:absolute;left:0;text-align:left;margin-left:0;margin-top:584.55pt;width:279pt;height:20.5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WMEwIAACYEAAAOAAAAZHJzL2Uyb0RvYy54bWysU9tu2zAMfR+wfxD0vti5tjHiFF26DAO6&#10;C9DtA2RJjoXJoiYpsbuvHyW7aXZ7GaYHgRSpQ/KQ3Nz0rSYn6bwCU9LpJKdEGg5CmUNJv3zev7qm&#10;xAdmBNNgZEkfpac325cvNp0t5Awa0EI6giDGF50taROCLbLM80a2zE/ASoPGGlzLAqrukAnHOkRv&#10;dTbL81XWgRPWAZfe4+vdYKTbhF/XkoePde1lILqkmFtIt0t3Fe9su2HFwTHbKD6mwf4hi5Ypg0HP&#10;UHcsMHJ06jeoVnEHHuow4dBmUNeKy1QDVjPNf6nmoWFWplqQHG/PNPn/B8s/nB7sJ0dC/xp6bGAq&#10;wtt74F89MbBrmDnIW+egayQTGHgaKcs664vxa6TaFz6CVN17ENhkdgyQgPratZEVrJMgOjbg8Uy6&#10;7APh+DhfLubzHE0cbbNVfrVapxCsePptnQ9vJbQkCiV12NSEzk73PsRsWPHkEoN50ErsldZJcYdq&#10;px05MRyAfToj+k9u2pCupOvlbDkQ8FeIPJ0/QbQq4CRr1Zb0+uzEikjbGyPSnAWm9CBjytqMPEbq&#10;BhJDX/VEiZIuYoBIawXiEYl1MAwuLhoKDbjvlHQ4tCX1347MSUr0O4PNWU8XizjlSVksr2aouEtL&#10;dWlhhiNUSQMlg7gLaTMibwZusYm1Svw+ZzKmjMOYaB8XJ077pZ68ntd7+wMAAP//AwBQSwMEFAAG&#10;AAgAAAAhAPt0SKffAAAACgEAAA8AAABkcnMvZG93bnJldi54bWxMj8FOwzAQRO9I/IO1SFwQdRJo&#10;SEOcCiGB6A0Kgqsbb5OIeB1sNw1/z3KC474Zzc5U69kOYkIfekcK0kUCAqlxpqdWwdvrw2UBIkRN&#10;Rg+OUME3BljXpyeVLo070gtO29gKDqFQagVdjGMpZWg6tDos3IjE2t55qyOfvpXG6yOH20FmSZJL&#10;q3viD50e8b7D5nN7sAqK66fpI2yunt+bfD+s4sXN9PjllTo/m+9uQUSc458Zfutzdai5084dyAQx&#10;KOAhkWmar1IQrC+XBaMdoyxNMpB1Jf9PqH8AAAD//wMAUEsBAi0AFAAGAAgAAAAhALaDOJL+AAAA&#10;4QEAABMAAAAAAAAAAAAAAAAAAAAAAFtDb250ZW50X1R5cGVzXS54bWxQSwECLQAUAAYACAAAACEA&#10;OP0h/9YAAACUAQAACwAAAAAAAAAAAAAAAAAvAQAAX3JlbHMvLnJlbHNQSwECLQAUAAYACAAAACEA&#10;93EljBMCAAAmBAAADgAAAAAAAAAAAAAAAAAuAgAAZHJzL2Uyb0RvYy54bWxQSwECLQAUAAYACAAA&#10;ACEA+3RIp98AAAAKAQAADwAAAAAAAAAAAAAAAABtBAAAZHJzL2Rvd25yZXYueG1sUEsFBgAAAAAE&#10;AAQA8wAAAHkFAAAAAA==&#10;">
                <v:textbox>
                  <w:txbxContent>
                    <w:p w14:paraId="5ABBDCCF" w14:textId="77777777" w:rsidR="00BF3A20" w:rsidRPr="00BF3A20" w:rsidRDefault="00BF3A20" w:rsidP="00BF3A20">
                      <w:pPr>
                        <w:spacing w:line="360" w:lineRule="auto"/>
                        <w:jc w:val="both"/>
                        <w:rPr>
                          <w:rFonts w:ascii="Times New Roman" w:eastAsia="Calibri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BF3A20">
                        <w:rPr>
                          <w:rFonts w:ascii="Times New Roman" w:eastAsia="Calibri" w:hAnsi="Times New Roman" w:cs="Times New Roman"/>
                          <w:b/>
                          <w:i/>
                          <w:sz w:val="24"/>
                          <w:szCs w:val="24"/>
                          <w:lang w:val="ru-RU"/>
                        </w:rPr>
                        <w:t>Графика 8 - Предикторен анализ на общ бърнаут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7716AB5" w14:textId="5D1A7308" w:rsidR="00BF3A20" w:rsidRPr="00C02D3D" w:rsidRDefault="00BF3A20" w:rsidP="00BF3A2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9EC" w:rsidRPr="0066219C">
        <w:rPr>
          <w:rFonts w:ascii="Times New Roman" w:eastAsia="Calibri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75648" behindDoc="0" locked="0" layoutInCell="1" allowOverlap="1" wp14:anchorId="57006A23" wp14:editId="6E73FD5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53125" cy="7391400"/>
            <wp:effectExtent l="0" t="0" r="9525" b="0"/>
            <wp:wrapThrough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19C" w:rsidRPr="0066219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3012E121" w14:textId="2731DE3C" w:rsidR="00AB6486" w:rsidRPr="00A1146C" w:rsidRDefault="00DB0462" w:rsidP="00921ACE">
      <w:p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</w:pPr>
      <w:r w:rsidRPr="00726525">
        <w:rPr>
          <w:rFonts w:ascii="Times New Roman" w:eastAsia="Calibri" w:hAnsi="Times New Roman" w:cs="Times New Roman"/>
          <w:bCs/>
          <w:iCs/>
          <w:sz w:val="24"/>
          <w:szCs w:val="24"/>
          <w:lang w:val="ru-RU"/>
        </w:rPr>
        <w:lastRenderedPageBreak/>
        <w:tab/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Регресионните коефициенти на </w:t>
      </w:r>
      <w:r w:rsidR="00B464C7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Г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олемите пет личностови черти показват </w:t>
      </w:r>
      <w:r w:rsidR="00914474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следните резултати</w:t>
      </w:r>
      <w:r w:rsidR="00AB6486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:</w:t>
      </w:r>
    </w:p>
    <w:p w14:paraId="768598C5" w14:textId="542AB50E" w:rsidR="00AB6486" w:rsidRPr="00A1146C" w:rsidRDefault="00914474" w:rsidP="00AB648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Налице е 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статистически значима предиктивност на </w:t>
      </w:r>
      <w:r w:rsidR="001C4A07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чертата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DB0462" w:rsidRPr="00A1146C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невротизъм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спрямо общото ниво на бърнаут</w:t>
      </w:r>
      <w:r w:rsidR="007F216A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-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CC72D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β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= ,13,</w:t>
      </w:r>
      <w:r w:rsidR="007F216A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t(62) = 3,15, p = ,002. Невротизмът обяснява</w:t>
      </w:r>
      <w:r w:rsidR="000C1FDB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статистически значимо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съществена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част от вариацията п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ри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общ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ия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бърнаут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(над 27%)</w:t>
      </w:r>
      <w:r w:rsidR="007F216A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-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R2 =  ,2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7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F(1, 71)</w:t>
      </w:r>
      <w:r w:rsidR="005104E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= 27,8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, p &lt; ,000. Този резултат подкрепя хипотеза 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1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, </w:t>
      </w:r>
      <w:r w:rsidR="002154E9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според която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невротизмът е силен и значим предиктор на 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бърнаут. </w:t>
      </w:r>
    </w:p>
    <w:p w14:paraId="7093EAF2" w14:textId="7FE00C23" w:rsidR="00AB6486" w:rsidRPr="00A1146C" w:rsidRDefault="00914474" w:rsidP="00AB648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Сред останалите личностови черти</w:t>
      </w:r>
      <w:r w:rsidR="00AB6486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екстраверсията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показва значима предиктивност спрямо общото ниво на бърнаут</w:t>
      </w:r>
      <w:r w:rsidR="00B94B1A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, съответно </w:t>
      </w:r>
      <w:r w:rsidR="00CC72D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β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= -,12,</w:t>
      </w:r>
      <w:r w:rsidR="00B94B1A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t(62) = -2,29, p = ,02. Екстраверсията обяснява приблизително 9% от вариацията 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при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общ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ия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бърнаут</w:t>
      </w:r>
      <w:r w:rsidR="007F216A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-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R2 =  ,</w:t>
      </w:r>
      <w:r w:rsidR="00B94B1A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09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F(1, 7</w:t>
      </w:r>
      <w:r w:rsidR="00266A91">
        <w:rPr>
          <w:rFonts w:ascii="Times New Roman" w:eastAsia="Calibri" w:hAnsi="Times New Roman" w:cs="Times New Roman"/>
          <w:bCs/>
          <w:iCs/>
          <w:sz w:val="24"/>
          <w:szCs w:val="24"/>
        </w:rPr>
        <w:t>0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)</w:t>
      </w:r>
      <w:r w:rsidR="005104EA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= 7,86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p &lt; ,00</w:t>
      </w:r>
      <w:r w:rsidR="00B94B1A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6. </w:t>
      </w:r>
    </w:p>
    <w:p w14:paraId="2B056ED9" w14:textId="4EE75EFA" w:rsidR="00AB6486" w:rsidRPr="00A1146C" w:rsidRDefault="00B94B1A" w:rsidP="00AB648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При </w:t>
      </w:r>
      <w:r w:rsidRPr="00A1146C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доброжелателността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се наблюдава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т стойностите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CC72D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β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= -,09, t(62) = -1,76, p = ,08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и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м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алко под 9% от вариацията 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при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общ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ия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бърнаут</w:t>
      </w:r>
      <w:r w:rsidR="002F0105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-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R2 =  ,09, F(1, 71)</w:t>
      </w:r>
      <w:r w:rsidR="00266A91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= 8,1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p &lt; ,005.</w:t>
      </w:r>
      <w:r w:rsidR="007A7C6C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</w:p>
    <w:p w14:paraId="26646011" w14:textId="5D3BE1F5" w:rsidR="009557C3" w:rsidRPr="00A1146C" w:rsidRDefault="007A7C6C" w:rsidP="00AB648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В тази извадка чертите </w:t>
      </w:r>
      <w:r w:rsidRPr="00A1146C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съзнателност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и </w:t>
      </w:r>
      <w:r w:rsidRPr="00A1146C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отвореност към опита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не 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показват 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статистически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значим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и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връзки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0C1FDB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с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нивото на общия бърнаут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съответно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CC72D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β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= -,0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6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t(62) = -1,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58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p = ,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12</w:t>
      </w:r>
      <w:r w:rsidR="00290BD5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(за съзнателност)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290BD5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и</w:t>
      </w:r>
      <w:r w:rsidR="00CC72DA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CC72D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β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= -,07, t(62) = -1,54, p = ,13</w:t>
      </w:r>
      <w:r w:rsidR="00290BD5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(за отвореност към опита)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.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Сумарно, двете черти обясняват приблизително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ru-RU"/>
        </w:rPr>
        <w:t>1</w:t>
      </w:r>
      <w:r w:rsidR="009557C3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ru-RU"/>
        </w:rPr>
        <w:t>2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% от вариацията 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при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общ</w:t>
      </w:r>
      <w:r w:rsidR="00353C07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ия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бърнаут, </w:t>
      </w:r>
      <w:r w:rsidR="009557C3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R2 =  ,</w:t>
      </w:r>
      <w:r w:rsidR="009557C3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ru-RU"/>
        </w:rPr>
        <w:t>11</w:t>
      </w:r>
      <w:r w:rsidR="009557C3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F(1, 71)</w:t>
      </w:r>
      <w:r w:rsidR="00266A91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= 5.8</w:t>
      </w:r>
      <w:r w:rsidR="009557C3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p &lt; ,00</w:t>
      </w:r>
      <w:r w:rsidR="009557C3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ru-RU"/>
        </w:rPr>
        <w:t xml:space="preserve">1 / 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R2 =  ,0</w:t>
      </w:r>
      <w:r w:rsidR="009557C3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ru-RU"/>
        </w:rPr>
        <w:t>2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, F(1, </w:t>
      </w:r>
      <w:r w:rsidR="00266A91">
        <w:rPr>
          <w:rFonts w:ascii="Times New Roman" w:eastAsia="Calibri" w:hAnsi="Times New Roman" w:cs="Times New Roman"/>
          <w:bCs/>
          <w:iCs/>
          <w:sz w:val="24"/>
          <w:szCs w:val="24"/>
        </w:rPr>
        <w:t>69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)</w:t>
      </w:r>
      <w:r w:rsidR="00266A91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= 2</w:t>
      </w:r>
      <w:r w:rsidR="002F0105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</w:t>
      </w:r>
      <w:r w:rsidR="00266A91">
        <w:rPr>
          <w:rFonts w:ascii="Times New Roman" w:eastAsia="Calibri" w:hAnsi="Times New Roman" w:cs="Times New Roman"/>
          <w:bCs/>
          <w:iCs/>
          <w:sz w:val="24"/>
          <w:szCs w:val="24"/>
        </w:rPr>
        <w:t>9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, p &lt; ,0</w:t>
      </w:r>
      <w:r w:rsidR="005B0DBB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ru-RU"/>
        </w:rPr>
        <w:t>8</w:t>
      </w:r>
      <w:r w:rsidR="00266A91">
        <w:rPr>
          <w:rFonts w:ascii="Times New Roman" w:eastAsia="Calibri" w:hAnsi="Times New Roman" w:cs="Times New Roman"/>
          <w:bCs/>
          <w:iCs/>
          <w:sz w:val="24"/>
          <w:szCs w:val="24"/>
        </w:rPr>
        <w:t>8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.</w:t>
      </w:r>
      <w:r w:rsidR="00B94B1A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</w:t>
      </w:r>
    </w:p>
    <w:p w14:paraId="361DD7CC" w14:textId="6E01C29E" w:rsidR="00DB0462" w:rsidRPr="00A1146C" w:rsidRDefault="0079622F" w:rsidP="0079622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ru-RU"/>
        </w:rPr>
      </w:pP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>За по-задълбочено разбиране на резултатите, в</w:t>
      </w:r>
      <w:r w:rsidR="009557C3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тората част от регресионния анализ разглежда </w:t>
      </w:r>
      <w:r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емоционалното изтощение, дехуманизацията и работоспособността като отделни зависими променливи, спрямо предикторните променливи. </w:t>
      </w:r>
      <w:r w:rsidR="00DB0462" w:rsidRPr="00A1146C">
        <w:rPr>
          <w:rFonts w:ascii="Times New Roman" w:eastAsia="Calibri" w:hAnsi="Times New Roman" w:cs="Times New Roman"/>
          <w:bCs/>
          <w:iCs/>
          <w:sz w:val="24"/>
          <w:szCs w:val="24"/>
          <w:lang w:val="bg-BG"/>
        </w:rPr>
        <w:t xml:space="preserve">  </w:t>
      </w:r>
    </w:p>
    <w:p w14:paraId="7C19FD0C" w14:textId="794A37F7" w:rsidR="002F316B" w:rsidRPr="0090406F" w:rsidRDefault="00921ACE" w:rsidP="0090406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iCs/>
          <w:sz w:val="24"/>
          <w:szCs w:val="24"/>
          <w:lang w:val="bg-BG"/>
        </w:rPr>
      </w:pPr>
      <w:r w:rsidRPr="0090406F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Емоционално изтощение</w:t>
      </w:r>
      <w:r w:rsidRPr="0090406F">
        <w:rPr>
          <w:rFonts w:ascii="Times New Roman" w:eastAsia="Calibri" w:hAnsi="Times New Roman" w:cs="Times New Roman"/>
          <w:iCs/>
          <w:sz w:val="24"/>
          <w:szCs w:val="24"/>
          <w:lang w:val="bg-BG"/>
        </w:rPr>
        <w:t xml:space="preserve"> </w:t>
      </w:r>
    </w:p>
    <w:p w14:paraId="709A4A55" w14:textId="5C173AA5" w:rsidR="003E067A" w:rsidRPr="00A1146C" w:rsidRDefault="00921ACE" w:rsidP="00290BD5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Резултатите показват, че невротизмът 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 силен</w:t>
      </w:r>
      <w:r w:rsidR="00BB74D7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положителен,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статистически значим предиктор на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емоционално изтощение</w:t>
      </w:r>
      <w:r w:rsidR="00813A3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β = ,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78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A07815" w:rsidRPr="00A1146C">
        <w:rPr>
          <w:rFonts w:ascii="Times New Roman" w:eastAsia="Calibri" w:hAnsi="Times New Roman" w:cs="Times New Roman"/>
          <w:sz w:val="24"/>
          <w:szCs w:val="24"/>
        </w:rPr>
        <w:t>t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(62) = 5,16,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p &lt;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,00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0.</w:t>
      </w:r>
      <w:r w:rsidRPr="00A1146C">
        <w:rPr>
          <w:rFonts w:ascii="Times New Roman" w:hAnsi="Times New Roman" w:cs="Times New Roman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Другите значими резултати от проведения анализ показват, че 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отвореност към опита</w:t>
      </w:r>
      <w:r w:rsidR="00813A3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β =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63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A07815" w:rsidRPr="00A1146C">
        <w:rPr>
          <w:rFonts w:ascii="Times New Roman" w:eastAsia="Calibri" w:hAnsi="Times New Roman" w:cs="Times New Roman"/>
          <w:sz w:val="24"/>
          <w:szCs w:val="24"/>
        </w:rPr>
        <w:t>t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(62) = 3,17,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p &lt;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,0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01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; и 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удовлетвореността от труда</w:t>
      </w:r>
      <w:r w:rsidR="00813A3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β =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-,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55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A07815" w:rsidRPr="00A1146C">
        <w:rPr>
          <w:rFonts w:ascii="Times New Roman" w:eastAsia="Calibri" w:hAnsi="Times New Roman" w:cs="Times New Roman"/>
          <w:sz w:val="24"/>
          <w:szCs w:val="24"/>
        </w:rPr>
        <w:t>t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(62) = -4,50,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p &lt;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,0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00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са 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силн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BB74D7">
        <w:rPr>
          <w:rFonts w:ascii="Times New Roman" w:eastAsia="Calibri" w:hAnsi="Times New Roman" w:cs="Times New Roman"/>
          <w:sz w:val="24"/>
          <w:szCs w:val="24"/>
          <w:lang w:val="bg-BG"/>
        </w:rPr>
        <w:t>, значими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предиктори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емоционалното изтощение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тази извадка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Комбинирани</w:t>
      </w:r>
      <w:r w:rsidR="00813A3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13A3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тези 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променливи</w:t>
      </w:r>
      <w:r w:rsidR="00947F16" w:rsidRPr="002A686A">
        <w:rPr>
          <w:rFonts w:ascii="Times New Roman" w:eastAsia="Calibri" w:hAnsi="Times New Roman" w:cs="Times New Roman"/>
          <w:strike/>
          <w:color w:val="FF0000"/>
          <w:sz w:val="24"/>
          <w:szCs w:val="24"/>
          <w:lang w:val="bg-BG"/>
        </w:rPr>
        <w:t xml:space="preserve"> </w:t>
      </w:r>
      <w:r w:rsidR="00947F1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 xml:space="preserve">обясняват над 57% от вариацията в чувствата на изтощение със значимост </w:t>
      </w:r>
      <w:r w:rsidR="00947F16" w:rsidRPr="00266A9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F(10, 62) = 8,35, </w:t>
      </w:r>
      <w:r w:rsidR="00E5308D" w:rsidRPr="00266A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</w:t>
      </w:r>
      <w:r w:rsidR="00A90C3F" w:rsidRPr="00266A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47F16" w:rsidRPr="00266A91">
        <w:rPr>
          <w:rFonts w:ascii="Times New Roman" w:eastAsia="Calibri" w:hAnsi="Times New Roman" w:cs="Times New Roman"/>
          <w:sz w:val="24"/>
          <w:szCs w:val="24"/>
          <w:lang w:val="bg-BG"/>
        </w:rPr>
        <w:t>&lt; ,000</w:t>
      </w:r>
      <w:r w:rsidR="003E067A" w:rsidRPr="00266A91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35E0DC61" w14:textId="2F51F27F" w:rsidR="003E067A" w:rsidRPr="0090406F" w:rsidRDefault="00921ACE" w:rsidP="0090406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iCs/>
          <w:sz w:val="24"/>
          <w:szCs w:val="24"/>
          <w:lang w:val="bg-BG"/>
        </w:rPr>
      </w:pPr>
      <w:r w:rsidRPr="0090406F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Дехуманизация</w:t>
      </w:r>
      <w:r w:rsidRPr="0090406F">
        <w:rPr>
          <w:rFonts w:ascii="Times New Roman" w:eastAsia="Calibri" w:hAnsi="Times New Roman" w:cs="Times New Roman"/>
          <w:iCs/>
          <w:sz w:val="24"/>
          <w:szCs w:val="24"/>
          <w:lang w:val="bg-BG"/>
        </w:rPr>
        <w:t xml:space="preserve"> </w:t>
      </w:r>
    </w:p>
    <w:p w14:paraId="2872A735" w14:textId="6F644C7D" w:rsidR="00921ACE" w:rsidRPr="00A1146C" w:rsidRDefault="00D0120A" w:rsidP="003E067A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При тази променлива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единствено доброжелателността от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личностови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те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черти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показва статистически значим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BB74D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предиктивност</w:t>
      </w:r>
      <w:r w:rsidR="004C7A6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β =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3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8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</w:t>
      </w:r>
      <w:r w:rsidR="00A07815" w:rsidRPr="00A1146C">
        <w:rPr>
          <w:rFonts w:ascii="Times New Roman" w:eastAsia="Calibri" w:hAnsi="Times New Roman" w:cs="Times New Roman"/>
          <w:sz w:val="24"/>
          <w:szCs w:val="24"/>
        </w:rPr>
        <w:t>t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(62) = -2,11, 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p &lt;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,0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2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0754E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У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довлетвореността от труда</w:t>
      </w:r>
      <w:r w:rsidR="000754E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показва</w:t>
      </w:r>
      <w:r w:rsidR="000754E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значима 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предиктивност</w:t>
      </w:r>
      <w:r w:rsidR="00290B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спрямо дехуманизацията</w:t>
      </w:r>
      <w:r w:rsidR="004C7A6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β = -,38,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A07815" w:rsidRPr="00A1146C">
        <w:rPr>
          <w:rFonts w:ascii="Times New Roman" w:eastAsia="Calibri" w:hAnsi="Times New Roman" w:cs="Times New Roman"/>
          <w:sz w:val="24"/>
          <w:szCs w:val="24"/>
        </w:rPr>
        <w:t>t</w:t>
      </w:r>
      <w:r w:rsidR="00A07815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(62) = -2,91,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p &lt; ,003. Не се откриват статистически значими стойности при никоя от другите променливи.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E83FE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 комбинация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90B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тези фактори</w:t>
      </w:r>
      <w:r w:rsidR="007458D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обясняват 30% от вариацията при дехуманизация със значимост </w:t>
      </w:r>
      <w:r w:rsidR="007458D7" w:rsidRPr="00266A91">
        <w:rPr>
          <w:rFonts w:ascii="Times New Roman" w:eastAsia="Calibri" w:hAnsi="Times New Roman" w:cs="Times New Roman"/>
          <w:sz w:val="24"/>
          <w:szCs w:val="24"/>
          <w:lang w:val="bg-BG"/>
        </w:rPr>
        <w:t>F(10, 62) = 4,19</w:t>
      </w:r>
      <w:r w:rsidR="007458D7" w:rsidRPr="00266A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E5308D" w:rsidRPr="00266A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</w:t>
      </w:r>
      <w:r w:rsidR="00A90C3F" w:rsidRPr="00266A9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458D7" w:rsidRPr="00266A91">
        <w:rPr>
          <w:rFonts w:ascii="Times New Roman" w:eastAsia="Calibri" w:hAnsi="Times New Roman" w:cs="Times New Roman"/>
          <w:sz w:val="24"/>
          <w:szCs w:val="24"/>
          <w:lang w:val="bg-BG"/>
        </w:rPr>
        <w:t>&lt; ,000.</w:t>
      </w:r>
    </w:p>
    <w:p w14:paraId="7903C00E" w14:textId="75D0BE09" w:rsidR="003E067A" w:rsidRPr="0090406F" w:rsidRDefault="00921ACE" w:rsidP="0090406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iCs/>
          <w:sz w:val="24"/>
          <w:szCs w:val="24"/>
          <w:lang w:val="bg-BG"/>
        </w:rPr>
      </w:pPr>
      <w:r w:rsidRPr="0090406F">
        <w:rPr>
          <w:rFonts w:ascii="Times New Roman" w:eastAsia="Calibri" w:hAnsi="Times New Roman" w:cs="Times New Roman"/>
          <w:b/>
          <w:iCs/>
          <w:sz w:val="24"/>
          <w:szCs w:val="24"/>
          <w:lang w:val="bg-BG"/>
        </w:rPr>
        <w:t>Работоспособност</w:t>
      </w:r>
      <w:r w:rsidRPr="0090406F">
        <w:rPr>
          <w:rFonts w:ascii="Times New Roman" w:eastAsia="Calibri" w:hAnsi="Times New Roman" w:cs="Times New Roman"/>
          <w:iCs/>
          <w:sz w:val="24"/>
          <w:szCs w:val="24"/>
          <w:lang w:val="bg-BG"/>
        </w:rPr>
        <w:t xml:space="preserve"> </w:t>
      </w:r>
    </w:p>
    <w:p w14:paraId="6A6199A5" w14:textId="6F1397C6" w:rsidR="003E067A" w:rsidRPr="00A1146C" w:rsidRDefault="00921ACE" w:rsidP="00D0543D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Резултатите от този анализ показват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липса на значими предиктори с изключение на личностната черта екстраверсия.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Високите стойности </w:t>
      </w:r>
      <w:r w:rsidR="00E62B34">
        <w:rPr>
          <w:rFonts w:ascii="Times New Roman" w:eastAsia="Calibri" w:hAnsi="Times New Roman" w:cs="Times New Roman"/>
          <w:sz w:val="24"/>
          <w:szCs w:val="24"/>
          <w:lang w:val="bg-BG"/>
        </w:rPr>
        <w:t>на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т</w:t>
      </w:r>
      <w:r w:rsidR="00E62B34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зи </w:t>
      </w:r>
      <w:r w:rsidR="00E62B34">
        <w:rPr>
          <w:rFonts w:ascii="Times New Roman" w:eastAsia="Calibri" w:hAnsi="Times New Roman" w:cs="Times New Roman"/>
          <w:sz w:val="24"/>
          <w:szCs w:val="24"/>
          <w:lang w:val="bg-BG"/>
        </w:rPr>
        <w:t>личностова черта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могат да послужат като положителен предиктор за работоспособност</w:t>
      </w:r>
      <w:r w:rsidR="006B654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β = ,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43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3E067A" w:rsidRPr="00A1146C">
        <w:rPr>
          <w:rFonts w:ascii="Times New Roman" w:eastAsia="Calibri" w:hAnsi="Times New Roman" w:cs="Times New Roman"/>
          <w:sz w:val="24"/>
          <w:szCs w:val="24"/>
        </w:rPr>
        <w:t>t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(62) = 2,20,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p &lt;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,0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3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E83FE4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 комбинация</w:t>
      </w:r>
      <w:r w:rsidR="006B6546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тези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променливите обясняват 14% от вариацията при работоспособност със значимост F(10, 62) = 2,20, </w:t>
      </w:r>
      <w:r w:rsidR="00E530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</w:t>
      </w:r>
      <w:r w:rsidR="00A90C3F" w:rsidRPr="007265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E067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&lt; ,02.</w:t>
      </w:r>
      <w:r w:rsidR="003A358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7087E4EE" w14:textId="26242BF5" w:rsidR="001F32C5" w:rsidRPr="00A1146C" w:rsidRDefault="002154E9" w:rsidP="001A62A6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Разглеждайки</w:t>
      </w:r>
      <w:r w:rsidR="00D054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трите </w:t>
      </w:r>
      <w:r w:rsidR="00AD44F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измерения</w:t>
      </w:r>
      <w:r w:rsidR="00D0543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бърнаут като отделни зависими променливи, </w:t>
      </w:r>
      <w:r w:rsidR="00887B3B">
        <w:rPr>
          <w:rFonts w:ascii="Times New Roman" w:eastAsia="Calibri" w:hAnsi="Times New Roman" w:cs="Times New Roman"/>
          <w:sz w:val="24"/>
          <w:szCs w:val="24"/>
          <w:lang w:val="bg-BG"/>
        </w:rPr>
        <w:t>може да се констатира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че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конкретната извадка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вариацията при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емоционално изтощение 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дехуманизация 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</w:t>
      </w:r>
      <w:r w:rsidR="00D62952" w:rsidRPr="00A1146C">
        <w:rPr>
          <w:rFonts w:ascii="Times New Roman" w:eastAsia="Calibri" w:hAnsi="Times New Roman" w:cs="Times New Roman"/>
          <w:sz w:val="24"/>
          <w:szCs w:val="24"/>
        </w:rPr>
        <w:t>e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описва статистически значимо от предикторните </w:t>
      </w:r>
      <w:r w:rsidR="00A508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променливи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При факторите емоционално изтощение и дехуманизация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значимостта на </w:t>
      </w:r>
      <w:r w:rsidR="00D62952" w:rsidRPr="00A1146C">
        <w:rPr>
          <w:rFonts w:ascii="Times New Roman" w:eastAsia="Calibri" w:hAnsi="Times New Roman" w:cs="Times New Roman"/>
          <w:sz w:val="24"/>
          <w:szCs w:val="24"/>
        </w:rPr>
        <w:t>F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статистиката </w:t>
      </w:r>
      <w:r w:rsidR="00A5080B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&lt; ,000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което значи, че вероятността 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тези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резултати</w:t>
      </w:r>
      <w:r w:rsidR="00AD44F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да са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следствие на случаен шанс е много малка. Според Rosenthal &amp; Rosenthal (2011), 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високите 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стойности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обяснена 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вариация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показват 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висока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сила на асоци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ация между тестваните фактори, а от това следва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че прогнози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рането 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става</w:t>
      </w:r>
      <w:r w:rsidR="00D6295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по-точно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В следствие на </w:t>
      </w:r>
      <w:r w:rsidR="00E154A5">
        <w:rPr>
          <w:rFonts w:ascii="Times New Roman" w:eastAsia="Calibri" w:hAnsi="Times New Roman" w:cs="Times New Roman"/>
          <w:sz w:val="24"/>
          <w:szCs w:val="24"/>
          <w:lang w:val="bg-BG"/>
        </w:rPr>
        <w:t>този извод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може да се каже, че невротизмът, отвореността към опита, доброжелателността, екстраверсията и удовлетвореността от труда са от умерени до високо значими предиктори за оценяването на бърнаут като трикомпонентн</w:t>
      </w:r>
      <w:r w:rsidR="00E62B34">
        <w:rPr>
          <w:rFonts w:ascii="Times New Roman" w:eastAsia="Calibri" w:hAnsi="Times New Roman" w:cs="Times New Roman"/>
          <w:sz w:val="24"/>
          <w:szCs w:val="24"/>
          <w:lang w:val="bg-BG"/>
        </w:rPr>
        <w:t>о</w:t>
      </w:r>
      <w:r w:rsidR="00F53873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E62B34">
        <w:rPr>
          <w:rFonts w:ascii="Times New Roman" w:eastAsia="Calibri" w:hAnsi="Times New Roman" w:cs="Times New Roman"/>
          <w:sz w:val="24"/>
          <w:szCs w:val="24"/>
          <w:lang w:val="bg-BG"/>
        </w:rPr>
        <w:t>явление</w:t>
      </w:r>
      <w:r w:rsidR="00E154A5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сред изследваните лица в тази извадка</w:t>
      </w:r>
      <w:r w:rsidR="00897639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82129A1" w14:textId="64175F8B" w:rsidR="00921ACE" w:rsidRPr="00A1146C" w:rsidRDefault="00921ACE" w:rsidP="00B15082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b/>
          <w:sz w:val="24"/>
          <w:szCs w:val="24"/>
          <w:lang w:val="bg-BG"/>
        </w:rPr>
        <w:lastRenderedPageBreak/>
        <w:t xml:space="preserve">Дискусия </w:t>
      </w:r>
    </w:p>
    <w:p w14:paraId="03CA890F" w14:textId="69C3660A" w:rsidR="00AA2142" w:rsidRPr="00A1146C" w:rsidRDefault="00921ACE" w:rsidP="00AA214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Съществуват множество изследвания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базирани на </w:t>
      </w:r>
      <w:r w:rsidR="00FB002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взаимовръзката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между личността</w:t>
      </w:r>
      <w:r w:rsidR="00CB438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работната удовлетвореност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бърнаут.</w:t>
      </w:r>
      <w:r w:rsidR="00FB002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Настоящото изследване се стреми да </w:t>
      </w:r>
      <w:r w:rsidR="00CB438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проучи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систематично</w:t>
      </w:r>
      <w:r w:rsidR="00FB002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не само взаимовръзката между отделните фактори, но и да провери до каква степен те могат да послужат като предиктори за нивото на бърнаут,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използва</w:t>
      </w:r>
      <w:r w:rsidR="002C17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йки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интегралния модел на личността основан на </w:t>
      </w:r>
      <w:r w:rsidR="00B464C7">
        <w:rPr>
          <w:rFonts w:ascii="Times New Roman" w:eastAsia="Calibri" w:hAnsi="Times New Roman" w:cs="Times New Roman"/>
          <w:sz w:val="24"/>
          <w:szCs w:val="24"/>
          <w:lang w:val="bg-BG"/>
        </w:rPr>
        <w:t>Г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олемите пет</w:t>
      </w:r>
      <w:r w:rsidR="00FB0028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моделът за удовлетвореност от труда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93682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Сравнително малкият размер на извадката не позволява сериозни заключения, но </w:t>
      </w:r>
      <w:r w:rsidR="00784E7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налице са </w:t>
      </w:r>
      <w:r w:rsidR="0093682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няколко констатации.</w:t>
      </w:r>
    </w:p>
    <w:p w14:paraId="47340432" w14:textId="082E7A82" w:rsidR="001F32C5" w:rsidRPr="00A1146C" w:rsidRDefault="00FB0028" w:rsidP="001F32C5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Въпреки че бърнаут и удовлетвореността от труда обикновено се разглеждат като противоположни конструк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и,</w:t>
      </w:r>
      <w:r w:rsidR="00C24E64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но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разположени в един и същ континуум, резултатите от това проучване показват, че те могат да бъдат по-скоро двупосочни концепции, движени от различни личностни черти (</w:t>
      </w:r>
      <w:r w:rsidRPr="00A1146C">
        <w:rPr>
          <w:rFonts w:ascii="Times New Roman" w:eastAsia="Calibri" w:hAnsi="Times New Roman" w:cs="Times New Roman"/>
          <w:sz w:val="24"/>
          <w:szCs w:val="24"/>
        </w:rPr>
        <w:t>Kim</w:t>
      </w:r>
      <w:r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Pr="00A1146C">
        <w:rPr>
          <w:rFonts w:ascii="Times New Roman" w:eastAsia="Calibri" w:hAnsi="Times New Roman" w:cs="Times New Roman"/>
          <w:sz w:val="24"/>
          <w:szCs w:val="24"/>
        </w:rPr>
        <w:t>et</w:t>
      </w:r>
      <w:r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</w:rPr>
        <w:t>al</w:t>
      </w:r>
      <w:r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., 2009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). </w:t>
      </w:r>
      <w:r w:rsidR="00936826" w:rsidRPr="00483B99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Pr="00483B9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екущата разработка подкрепя твърдението, че бърнаут и удовлетвореността от труда са независими състояния, които са </w:t>
      </w:r>
      <w:r w:rsidR="00936826" w:rsidRPr="00483B9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силно </w:t>
      </w:r>
      <w:r w:rsidR="002C17D5" w:rsidRPr="00483B9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негативно </w:t>
      </w:r>
      <w:r w:rsidRPr="00483B99">
        <w:rPr>
          <w:rFonts w:ascii="Times New Roman" w:eastAsia="Calibri" w:hAnsi="Times New Roman" w:cs="Times New Roman"/>
          <w:sz w:val="24"/>
          <w:szCs w:val="24"/>
          <w:lang w:val="bg-BG"/>
        </w:rPr>
        <w:t>свързани</w:t>
      </w:r>
      <w:r w:rsidR="00AA2142" w:rsidRPr="00483B99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Разширеният анализ разкри</w:t>
      </w:r>
      <w:r w:rsidR="00483B99">
        <w:rPr>
          <w:rFonts w:ascii="Times New Roman" w:eastAsia="Calibri" w:hAnsi="Times New Roman" w:cs="Times New Roman"/>
          <w:sz w:val="24"/>
          <w:szCs w:val="24"/>
          <w:lang w:val="bg-BG"/>
        </w:rPr>
        <w:t>ва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че удовлетвореността от </w:t>
      </w:r>
      <w:r w:rsidR="001F32C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труда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1F32C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 значим и </w:t>
      </w:r>
      <w:r w:rsidR="002C17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важен</w:t>
      </w:r>
      <w:r w:rsidR="001F32C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предиктор на 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две от измеренията на бърнаут</w:t>
      </w:r>
      <w:r w:rsidR="001F32C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– 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емоционално изтощение </w:t>
      </w:r>
      <w:r w:rsidR="001F32C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 дехуманизация.</w:t>
      </w:r>
    </w:p>
    <w:p w14:paraId="5DBD97A8" w14:textId="57E6ACF1" w:rsidR="006B360A" w:rsidRDefault="00936826" w:rsidP="00AA214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Ниските е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фекти на две от положителни</w:t>
      </w:r>
      <w:r w:rsidR="002A686A" w:rsidRPr="00424E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те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личностови черти 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екстраверсия и доброжелателност</w:t>
      </w:r>
      <w:r w:rsidR="002C17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)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потвърждават, че резултатите от това 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изследване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са в</w:t>
      </w:r>
      <w:r w:rsidR="00AA2142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A90C3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съответствие</w:t>
      </w:r>
      <w:r w:rsidR="00AA2142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 откритията на Kim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 сътрудници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(2009), показвайки невротизм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като най-влиятелния</w:t>
      </w:r>
      <w:r w:rsidR="0001356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значим предиктор </w:t>
      </w:r>
      <w:r w:rsidR="00820BF2">
        <w:rPr>
          <w:rFonts w:ascii="Times New Roman" w:eastAsia="Calibri" w:hAnsi="Times New Roman" w:cs="Times New Roman"/>
          <w:sz w:val="24"/>
          <w:szCs w:val="24"/>
          <w:lang w:val="bg-BG"/>
        </w:rPr>
        <w:t>н</w:t>
      </w:r>
      <w:r w:rsidR="00AA214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 бърнаут</w:t>
      </w:r>
      <w:r w:rsidR="001F32C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сред </w:t>
      </w:r>
      <w:r w:rsidR="00B464C7">
        <w:rPr>
          <w:rFonts w:ascii="Times New Roman" w:eastAsia="Calibri" w:hAnsi="Times New Roman" w:cs="Times New Roman"/>
          <w:sz w:val="24"/>
          <w:szCs w:val="24"/>
          <w:lang w:val="bg-BG"/>
        </w:rPr>
        <w:t>Г</w:t>
      </w:r>
      <w:r w:rsidR="001F32C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олемите пет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Навярно хората, които са с високи нива на невротизъм, проявят повече емоционални реакции, когато се сблъскват със стресови ситуации (Maslach, et al., 2001). Нещо повече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-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изглежда, че използват избягващи и разсейващи стратегии за справяне, като отричане, </w:t>
      </w:r>
      <w:r w:rsidR="00424E00" w:rsidRPr="00424E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не</w:t>
      </w:r>
      <w:r w:rsidR="00FD719D" w:rsidRPr="00424E0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желание 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мислене и самокритика (Bolger, 1990). Неефективното справяне със стресови ситуации в работната среда прави хората, които са с високи нива на невротизъм, по-уязвими от бърнаут (Costa &amp; McCrae, 2000). 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енденцията за подценяване на собствените умения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сред индивидите с високи нива на невротизъм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склонността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им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към реакция със силни емоции в стресови ситуации 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изглежда се свързва с по-голяма уязвимост от всички симптоми на бърнаут (Bakker, et al., 2006).</w:t>
      </w:r>
      <w:r w:rsid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341DF73F" w14:textId="59642D8A" w:rsidR="00255BB2" w:rsidRPr="00A1146C" w:rsidRDefault="008502B2" w:rsidP="00B140C8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>Н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астоящото проучване предоставя емпиричните </w:t>
      </w:r>
      <w:r w:rsidR="00255BB2">
        <w:rPr>
          <w:rFonts w:ascii="Times New Roman" w:eastAsia="Calibri" w:hAnsi="Times New Roman" w:cs="Times New Roman"/>
          <w:sz w:val="24"/>
          <w:szCs w:val="24"/>
          <w:lang w:val="bg-BG"/>
        </w:rPr>
        <w:t>свидетелства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че негативните социални взаимодействия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в работната среда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са едни от основните </w:t>
      </w:r>
      <w:r w:rsidR="00255BB2">
        <w:rPr>
          <w:rFonts w:ascii="Times New Roman" w:eastAsia="Calibri" w:hAnsi="Times New Roman" w:cs="Times New Roman"/>
          <w:sz w:val="24"/>
          <w:szCs w:val="24"/>
          <w:lang w:val="bg-BG"/>
        </w:rPr>
        <w:t>предпоставки за появата на бърнаут.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Може да се допусне, 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че невротизмът е възможен </w:t>
      </w:r>
      <w:r w:rsidR="00255BB2">
        <w:rPr>
          <w:rFonts w:ascii="Times New Roman" w:eastAsia="Calibri" w:hAnsi="Times New Roman" w:cs="Times New Roman"/>
          <w:sz w:val="24"/>
          <w:szCs w:val="24"/>
          <w:lang w:val="bg-BG"/>
        </w:rPr>
        <w:t>медиатор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между </w:t>
      </w:r>
      <w:r w:rsidR="00255BB2">
        <w:rPr>
          <w:rFonts w:ascii="Times New Roman" w:eastAsia="Calibri" w:hAnsi="Times New Roman" w:cs="Times New Roman"/>
          <w:sz w:val="24"/>
          <w:szCs w:val="24"/>
          <w:lang w:val="bg-BG"/>
        </w:rPr>
        <w:t>вербалната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агресия и </w:t>
      </w:r>
      <w:r w:rsidR="00255BB2">
        <w:rPr>
          <w:rFonts w:ascii="Times New Roman" w:eastAsia="Calibri" w:hAnsi="Times New Roman" w:cs="Times New Roman"/>
          <w:sz w:val="24"/>
          <w:szCs w:val="24"/>
          <w:lang w:val="bg-BG"/>
        </w:rPr>
        <w:t>бърнаут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Според </w:t>
      </w:r>
      <w:r w:rsidR="00B140C8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>Frazier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сътрудници (2004), м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едиаторите осигуряват механизма 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>за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връзката между предиктор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>н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>те фактори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резултати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>те в следствие на тяхното въздействие.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Невротиз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>мът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негативна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>та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афективност често се използват взаимозаменяемо, тъй като са силно корелирани със състояние на отрицателен афект (Watson and Clark, 1984)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по </w:t>
      </w:r>
      <w:r w:rsidR="00B140C8">
        <w:rPr>
          <w:rFonts w:ascii="Times New Roman" w:eastAsia="Calibri" w:hAnsi="Times New Roman" w:cs="Times New Roman"/>
          <w:sz w:val="24"/>
          <w:szCs w:val="24"/>
        </w:rPr>
        <w:t>Kim</w:t>
      </w:r>
      <w:r w:rsidR="00B140C8" w:rsidRPr="0072652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140C8">
        <w:rPr>
          <w:rFonts w:ascii="Times New Roman" w:eastAsia="Calibri" w:hAnsi="Times New Roman" w:cs="Times New Roman"/>
          <w:sz w:val="24"/>
          <w:szCs w:val="24"/>
        </w:rPr>
        <w:t>et</w:t>
      </w:r>
      <w:r w:rsidR="00B140C8" w:rsidRPr="0072652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B140C8">
        <w:rPr>
          <w:rFonts w:ascii="Times New Roman" w:eastAsia="Calibri" w:hAnsi="Times New Roman" w:cs="Times New Roman"/>
          <w:sz w:val="24"/>
          <w:szCs w:val="24"/>
        </w:rPr>
        <w:t>al</w:t>
      </w:r>
      <w:r w:rsidR="00B140C8" w:rsidRPr="00726525">
        <w:rPr>
          <w:rFonts w:ascii="Times New Roman" w:eastAsia="Calibri" w:hAnsi="Times New Roman" w:cs="Times New Roman"/>
          <w:sz w:val="24"/>
          <w:szCs w:val="24"/>
          <w:lang w:val="ru-RU"/>
        </w:rPr>
        <w:t>., (2009)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Подобно допускане 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>обясн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>ява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защо вербалната агресия води до </w:t>
      </w:r>
      <w:r w:rsidR="00B140C8">
        <w:rPr>
          <w:rFonts w:ascii="Times New Roman" w:eastAsia="Calibri" w:hAnsi="Times New Roman" w:cs="Times New Roman"/>
          <w:sz w:val="24"/>
          <w:szCs w:val="24"/>
          <w:lang w:val="bg-BG"/>
        </w:rPr>
        <w:t>бърнаут</w:t>
      </w:r>
      <w:r w:rsidR="00406D63">
        <w:rPr>
          <w:rFonts w:ascii="Times New Roman" w:eastAsia="Calibri" w:hAnsi="Times New Roman" w:cs="Times New Roman"/>
          <w:sz w:val="24"/>
          <w:szCs w:val="24"/>
          <w:lang w:val="bg-BG"/>
        </w:rPr>
        <w:t>, а именно – негативното взаимодействие с клиент или колега,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създава отрицателен емоционален отговор (настроение)</w:t>
      </w:r>
      <w:r w:rsidR="00406D6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BC303D">
        <w:rPr>
          <w:rFonts w:ascii="Times New Roman" w:eastAsia="Calibri" w:hAnsi="Times New Roman" w:cs="Times New Roman"/>
          <w:sz w:val="24"/>
          <w:szCs w:val="24"/>
          <w:lang w:val="bg-BG"/>
        </w:rPr>
        <w:t>(</w:t>
      </w:r>
      <w:r w:rsidR="00406D63">
        <w:rPr>
          <w:rFonts w:ascii="Times New Roman" w:eastAsia="Calibri" w:hAnsi="Times New Roman" w:cs="Times New Roman"/>
          <w:sz w:val="24"/>
          <w:szCs w:val="24"/>
        </w:rPr>
        <w:t>Kim</w:t>
      </w:r>
      <w:r w:rsidR="00406D63" w:rsidRPr="0072652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406D63">
        <w:rPr>
          <w:rFonts w:ascii="Times New Roman" w:eastAsia="Calibri" w:hAnsi="Times New Roman" w:cs="Times New Roman"/>
          <w:sz w:val="24"/>
          <w:szCs w:val="24"/>
        </w:rPr>
        <w:t>et</w:t>
      </w:r>
      <w:r w:rsidR="00406D63" w:rsidRPr="0072652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406D63">
        <w:rPr>
          <w:rFonts w:ascii="Times New Roman" w:eastAsia="Calibri" w:hAnsi="Times New Roman" w:cs="Times New Roman"/>
          <w:sz w:val="24"/>
          <w:szCs w:val="24"/>
        </w:rPr>
        <w:t>al</w:t>
      </w:r>
      <w:r w:rsidR="00BC303D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., </w:t>
      </w:r>
      <w:r w:rsidR="00406D63" w:rsidRPr="00726525">
        <w:rPr>
          <w:rFonts w:ascii="Times New Roman" w:eastAsia="Calibri" w:hAnsi="Times New Roman" w:cs="Times New Roman"/>
          <w:sz w:val="24"/>
          <w:szCs w:val="24"/>
          <w:lang w:val="ru-RU"/>
        </w:rPr>
        <w:t>2009)</w:t>
      </w:r>
      <w:r w:rsidR="00255BB2" w:rsidRPr="00255BB2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21A500DE" w14:textId="54673ADD" w:rsidR="00C8298E" w:rsidRPr="00A1146C" w:rsidRDefault="00C8298E" w:rsidP="00C8298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лужителите с висок</w:t>
      </w:r>
      <w:r w:rsidR="002C17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нив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 скалата за </w:t>
      </w:r>
      <w:r w:rsidR="00936826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доброжелателност </w:t>
      </w:r>
      <w:r w:rsidR="0005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отвореност към опита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се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характеризира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със силна отговорност, организационни умения и устойчивост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 Тъй като те са алтруистични, кооперативни и състрадателни към околните, това може да обясни получените резултати. За тях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 по-вероятно да насоч</w:t>
      </w:r>
      <w:r w:rsidR="00FD719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ат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енергията си към работ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ните задачи и сработването с колегите си и по този начин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да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изпитат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силно чувство за професионална ефективност</w:t>
      </w:r>
      <w:r w:rsidR="0005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но за сметка на това да бъдат рискови от развитието на емоционално изтощение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16D5CCCC" w14:textId="7ABB5F24" w:rsidR="007519ED" w:rsidRPr="00A1146C" w:rsidRDefault="00C8298E" w:rsidP="00C8298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Анализът на данните показва, че екстраверсията проявява статистически значими и положителни </w:t>
      </w:r>
      <w:r w:rsidR="00A90C3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взаимовръзки</w:t>
      </w:r>
      <w:r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 работоспособността. Навярно тенденцията на екстравертните лица да се включват в интензивни лични взаимодействия противодейства за появата на 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дехуманизация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докато техният оптимизъм и самоувереност (Costa &amp; McCrae, 2000) се изразяват в засилено чувство за лични постижения и работоспособност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</w:p>
    <w:p w14:paraId="58124D49" w14:textId="71BDD91F" w:rsidR="00C8298E" w:rsidRPr="00726525" w:rsidRDefault="00550521" w:rsidP="007519ED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>От</w:t>
      </w:r>
      <w:r w:rsidR="00A90C3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получените данни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може да се формира заключението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че</w:t>
      </w:r>
      <w:r w:rsidR="00AB22DA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тази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извадка 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черт</w:t>
      </w:r>
      <w:r w:rsidR="0005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="0005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съзнателност показва най-малко значим </w:t>
      </w:r>
      <w:r w:rsidR="0005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предикторен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ефект върху нивото на бърнаут, което включва общата оце</w:t>
      </w:r>
      <w:r w:rsidR="007519ED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нка и </w:t>
      </w:r>
      <w:r w:rsidR="00A90C3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трите му аспекта</w:t>
      </w:r>
      <w:r w:rsidR="007519ED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. </w:t>
      </w:r>
      <w:r w:rsidR="00AB22DA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От теоретична </w:t>
      </w:r>
      <w:r w:rsidR="00AB22DA">
        <w:rPr>
          <w:rFonts w:ascii="Times New Roman" w:eastAsia="Calibri" w:hAnsi="Times New Roman" w:cs="Times New Roman"/>
          <w:sz w:val="24"/>
          <w:szCs w:val="24"/>
          <w:lang w:val="bg-BG"/>
        </w:rPr>
        <w:t>перспектива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, индивидите с 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високи нива по тази черт</w:t>
      </w:r>
      <w:r w:rsidR="0005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биха се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стрем</w:t>
      </w:r>
      <w:r w:rsidR="00A90C3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и</w:t>
      </w:r>
      <w:r w:rsidR="008D733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ли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да постигнат висок стандарт, себереализация и самодисциплина. Причините, поради които т</w:t>
      </w:r>
      <w:r w:rsidR="00053A57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а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зи </w:t>
      </w:r>
      <w:r w:rsidR="00357CF3">
        <w:rPr>
          <w:rFonts w:ascii="Times New Roman" w:eastAsia="Calibri" w:hAnsi="Times New Roman" w:cs="Times New Roman"/>
          <w:sz w:val="24"/>
          <w:szCs w:val="24"/>
          <w:lang w:val="bg-BG"/>
        </w:rPr>
        <w:t>черта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</w:t>
      </w:r>
      <w:r w:rsidR="00A90C3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яма 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значим</w:t>
      </w:r>
      <w:r w:rsidR="00A90C3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A90C3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влияние</w:t>
      </w:r>
      <w:r w:rsidR="007519ED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 текущото изследване</w:t>
      </w:r>
      <w:r w:rsidR="00A63270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може да се разнообразни и да варират от хомогенността на извадката до външни и непредсказуеми фактори. Въпреки тези резултати, предварителният корелационен анализ показ</w:t>
      </w:r>
      <w:r w:rsidR="002140A3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а </w:t>
      </w:r>
      <w:r w:rsidR="002140A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ниски и 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умерени</w:t>
      </w:r>
      <w:r w:rsidR="002140A3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значими </w:t>
      </w:r>
      <w:r w:rsidR="002140A3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корелационни </w:t>
      </w:r>
      <w:r w:rsidR="007519ED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коефициенти спрямо </w:t>
      </w:r>
      <w:r w:rsidR="00C8097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нивото на </w:t>
      </w:r>
      <w:r w:rsidR="002140A3">
        <w:rPr>
          <w:rFonts w:ascii="Times New Roman" w:eastAsia="Calibri" w:hAnsi="Times New Roman" w:cs="Times New Roman"/>
          <w:sz w:val="24"/>
          <w:szCs w:val="24"/>
          <w:lang w:val="bg-BG"/>
        </w:rPr>
        <w:t>общия бърнаут и неговите три компонента</w:t>
      </w:r>
      <w:r w:rsidR="006B360A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0734C990" w14:textId="3937CB57" w:rsidR="002A0B88" w:rsidRPr="00A1146C" w:rsidRDefault="00380009" w:rsidP="00255BB2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55BB2">
        <w:rPr>
          <w:rFonts w:ascii="Times New Roman" w:eastAsia="Calibri" w:hAnsi="Times New Roman" w:cs="Times New Roman"/>
          <w:sz w:val="24"/>
          <w:szCs w:val="24"/>
          <w:lang w:val="bg-BG"/>
        </w:rPr>
        <w:t>Д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анни </w:t>
      </w:r>
      <w:r w:rsidR="00D30726">
        <w:rPr>
          <w:rFonts w:ascii="Times New Roman" w:eastAsia="Calibri" w:hAnsi="Times New Roman" w:cs="Times New Roman"/>
          <w:sz w:val="24"/>
          <w:szCs w:val="24"/>
          <w:lang w:val="bg-BG"/>
        </w:rPr>
        <w:t>от изследвания относно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ролята на придобиване на нови умения сред служители в дадена о</w:t>
      </w:r>
      <w:r w:rsidRPr="00380009">
        <w:rPr>
          <w:rFonts w:ascii="Times New Roman" w:eastAsia="Calibri" w:hAnsi="Times New Roman" w:cs="Times New Roman"/>
          <w:sz w:val="24"/>
          <w:szCs w:val="24"/>
          <w:lang w:val="bg-BG"/>
        </w:rPr>
        <w:t>рганизаци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я, показват, че този фактор има важна роля в контрола и превенцията на бърнаут </w:t>
      </w:r>
      <w:r w:rsidRPr="009310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(</w:t>
      </w:r>
      <w:r w:rsidR="009310AB" w:rsidRPr="009310A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Kim, et al., </w:t>
      </w:r>
      <w:r w:rsidRPr="009310A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2009). 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>Това изследване не разглежда придобиването на умения като фактор, но е важно е да се отбележи, че организациите</w:t>
      </w:r>
      <w:r w:rsidR="00EA344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могат да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380009">
        <w:rPr>
          <w:rFonts w:ascii="Times New Roman" w:eastAsia="Calibri" w:hAnsi="Times New Roman" w:cs="Times New Roman"/>
          <w:sz w:val="24"/>
          <w:szCs w:val="24"/>
          <w:lang w:val="bg-BG"/>
        </w:rPr>
        <w:t>контролират</w:t>
      </w:r>
      <w:r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EA344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насърчават служителите си да придобиват нови </w:t>
      </w:r>
      <w:r w:rsidRPr="00380009">
        <w:rPr>
          <w:rFonts w:ascii="Times New Roman" w:eastAsia="Calibri" w:hAnsi="Times New Roman" w:cs="Times New Roman"/>
          <w:sz w:val="24"/>
          <w:szCs w:val="24"/>
          <w:lang w:val="bg-BG"/>
        </w:rPr>
        <w:t>умения</w:t>
      </w:r>
      <w:r w:rsidR="00EA344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по този начин, допълнителното обучение да послужи като превенция от развитието на бърнаут. Възможността за участие в</w:t>
      </w:r>
      <w:r w:rsidRPr="0038000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множество </w:t>
      </w:r>
      <w:r w:rsidR="00EA3447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 </w:t>
      </w:r>
      <w:r w:rsidR="00820BF2">
        <w:rPr>
          <w:rFonts w:ascii="Times New Roman" w:eastAsia="Calibri" w:hAnsi="Times New Roman" w:cs="Times New Roman"/>
          <w:sz w:val="24"/>
          <w:szCs w:val="24"/>
          <w:lang w:val="bg-BG"/>
        </w:rPr>
        <w:t>разнородни</w:t>
      </w:r>
      <w:r w:rsidRPr="0038000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20BF2">
        <w:rPr>
          <w:rFonts w:ascii="Times New Roman" w:eastAsia="Calibri" w:hAnsi="Times New Roman" w:cs="Times New Roman"/>
          <w:sz w:val="24"/>
          <w:szCs w:val="24"/>
          <w:lang w:val="bg-BG"/>
        </w:rPr>
        <w:t>дейности</w:t>
      </w:r>
      <w:r w:rsidR="00EA3447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Pr="0038000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EA3447">
        <w:rPr>
          <w:rFonts w:ascii="Times New Roman" w:eastAsia="Calibri" w:hAnsi="Times New Roman" w:cs="Times New Roman"/>
          <w:sz w:val="24"/>
          <w:szCs w:val="24"/>
          <w:lang w:val="bg-BG"/>
        </w:rPr>
        <w:t>може да</w:t>
      </w:r>
      <w:r w:rsidRPr="00380009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увеличи нивото на ангажираност на работното място</w:t>
      </w:r>
      <w:r w:rsidR="00B36FE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да спомогне за кариерно израстване</w:t>
      </w:r>
      <w:r w:rsidR="00715D4D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="00820BF2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като по този начин едновременно се намали текучеството на персонал и се изгради по-силна и издръжлива организация</w:t>
      </w:r>
      <w:r w:rsidR="0030699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CB1B6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За да </w:t>
      </w:r>
      <w:r w:rsidR="007D2C5D">
        <w:rPr>
          <w:rFonts w:ascii="Times New Roman" w:eastAsia="Calibri" w:hAnsi="Times New Roman" w:cs="Times New Roman"/>
          <w:sz w:val="24"/>
          <w:szCs w:val="24"/>
          <w:lang w:val="bg-BG"/>
        </w:rPr>
        <w:t>не се постигне</w:t>
      </w:r>
      <w:r w:rsidR="00CB1B61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обратен ефект, в</w:t>
      </w:r>
      <w:r w:rsidR="0030699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сичко това би било възможно с въвеждането на правилни процеси и политики от страна на работодателя и успешната им </w:t>
      </w:r>
      <w:r w:rsidR="00641BA6">
        <w:rPr>
          <w:rFonts w:ascii="Times New Roman" w:eastAsia="Calibri" w:hAnsi="Times New Roman" w:cs="Times New Roman"/>
          <w:sz w:val="24"/>
          <w:szCs w:val="24"/>
          <w:lang w:val="bg-BG"/>
        </w:rPr>
        <w:t>интеграция</w:t>
      </w:r>
      <w:r w:rsidR="0030699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641BA6">
        <w:rPr>
          <w:rFonts w:ascii="Times New Roman" w:eastAsia="Calibri" w:hAnsi="Times New Roman" w:cs="Times New Roman"/>
          <w:sz w:val="24"/>
          <w:szCs w:val="24"/>
          <w:lang w:val="bg-BG"/>
        </w:rPr>
        <w:t>в</w:t>
      </w:r>
      <w:r w:rsidR="0030699B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работната </w:t>
      </w:r>
      <w:r w:rsidR="00641BA6">
        <w:rPr>
          <w:rFonts w:ascii="Times New Roman" w:eastAsia="Calibri" w:hAnsi="Times New Roman" w:cs="Times New Roman"/>
          <w:sz w:val="24"/>
          <w:szCs w:val="24"/>
          <w:lang w:val="bg-BG"/>
        </w:rPr>
        <w:t>среда</w:t>
      </w:r>
      <w:r w:rsidRPr="00380009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14:paraId="3C55DC38" w14:textId="6FB9567F" w:rsidR="00921ACE" w:rsidRPr="00A1146C" w:rsidRDefault="00921ACE" w:rsidP="00B15082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  <w:lang w:val="bg-BG"/>
        </w:rPr>
      </w:pPr>
      <w:r w:rsidRPr="00F20A0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bg-BG"/>
        </w:rPr>
        <w:t>О</w:t>
      </w:r>
      <w:r w:rsidRPr="00A1146C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граничения </w:t>
      </w:r>
    </w:p>
    <w:p w14:paraId="44EE31E7" w14:textId="409AC5F0" w:rsidR="00921ACE" w:rsidRPr="00A1146C" w:rsidRDefault="00921ACE" w:rsidP="00744029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На първо място, поради малкия размер на извадката, настоящото проучване предлага ограничено наблюдение</w:t>
      </w:r>
      <w:r w:rsidR="007440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 </w:t>
      </w:r>
      <w:r w:rsidR="007440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ниска статистическа мощност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  <w:r w:rsidR="007440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Л</w:t>
      </w:r>
      <w:r w:rsidR="007440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ипсата на професионална хетерогенност ограничава възможността за обобщаване на констатации 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и правенето на изводи</w:t>
      </w:r>
      <w:r w:rsidR="007440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В допълнение, процентът на попълнилите въпросниците не е много висок (73 от 150 помолени за участие). Възможно е хората, които не </w:t>
      </w:r>
      <w:r w:rsidR="00290B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участват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 изследването, да са тези с по-високи нива на бърнаут. 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Вероятно е именно те да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възприемат участието си в 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такова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изследване като допълнителна тежест, с която не биха се заели.</w:t>
      </w:r>
    </w:p>
    <w:p w14:paraId="1AD97950" w14:textId="51CFE9B6" w:rsidR="00BD46F2" w:rsidRPr="00A1146C" w:rsidRDefault="00921ACE" w:rsidP="002F46E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Второ ограничение се отнася до факта, че всички индикатори в настоящото проучване – личностови черти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 степен на обща удовлетвореност от труда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бърнаут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,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lastRenderedPageBreak/>
        <w:t>разчитат на самоотчет.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Възможно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</w:t>
      </w:r>
      <w:r w:rsidR="00290B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получените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взаимовръзки да са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в следствие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на метода за измерване, а не на конструк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ите, за които се предполага, че </w:t>
      </w:r>
      <w:r w:rsidR="006A7F1C">
        <w:rPr>
          <w:rFonts w:ascii="Times New Roman" w:eastAsia="Calibri" w:hAnsi="Times New Roman" w:cs="Times New Roman"/>
          <w:sz w:val="24"/>
          <w:szCs w:val="24"/>
          <w:lang w:val="bg-BG"/>
        </w:rPr>
        <w:t>въпросниците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представляват</w:t>
      </w:r>
      <w:r w:rsidR="002F46EF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. 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Според Podsakoff и сътрудници (2003), това е един често срещан проблем, с </w:t>
      </w:r>
      <w:r w:rsidR="00BD46F2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ко</w:t>
      </w:r>
      <w:r w:rsidR="00A90C3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й</w:t>
      </w:r>
      <w:r w:rsidR="00BD46F2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т</w:t>
      </w:r>
      <w:r w:rsidR="00290BD5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о се сблъскват</w:t>
      </w:r>
      <w:r w:rsidR="00BD46F2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организационни и поведенчески изследователи.</w:t>
      </w:r>
    </w:p>
    <w:p w14:paraId="00FD316E" w14:textId="6240017D" w:rsidR="00921ACE" w:rsidRPr="00A1146C" w:rsidRDefault="002F46EF" w:rsidP="00921AC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Допълнително, с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поред Watson &amp; Pennebaker (1989), мерките за стрес са силно свързани с невротизма </w:t>
      </w:r>
      <w:r w:rsidR="00921ACE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и отрицателната </w:t>
      </w:r>
      <w:r w:rsidR="00A90C3F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>а</w:t>
      </w:r>
      <w:r w:rsidR="00921ACE" w:rsidRPr="00A1146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bg-BG"/>
        </w:rPr>
        <w:t xml:space="preserve">фективност, което 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свидетелства, че хората, които са с високи нива на невротизъм, са по-склонни да съобщават за високи нива на стрес и вероятно също за високи нива на бърнаут</w:t>
      </w:r>
      <w:r w:rsidR="003C5E61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и ниска удовлетвореност</w:t>
      </w:r>
      <w:r w:rsidR="00921ACE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(Bakker, et al., 2006). </w:t>
      </w:r>
    </w:p>
    <w:p w14:paraId="5B4726FB" w14:textId="671D103C" w:rsidR="00A90C3F" w:rsidRPr="0066219C" w:rsidRDefault="00921ACE" w:rsidP="009F0C7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>Трето, не е възможно да се оцени степента, в която нивата на невротизъм са повлияни от условията на работа (например, високи изисквания, нисък контрол и ниска подкрепа), както е оценено и в други изследвания (Bakker, et al., 2006).</w:t>
      </w:r>
      <w:r w:rsidR="00744029" w:rsidRPr="00A1146C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</w:p>
    <w:p w14:paraId="6104CA8D" w14:textId="77777777" w:rsidR="00345371" w:rsidRPr="00726525" w:rsidRDefault="00345371" w:rsidP="009F0C7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EA6488D" w14:textId="343841C5" w:rsidR="00B8090C" w:rsidRPr="00A1146C" w:rsidRDefault="00882C21" w:rsidP="00401C5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b/>
          <w:sz w:val="24"/>
          <w:szCs w:val="24"/>
          <w:lang w:val="bg-BG"/>
        </w:rPr>
        <w:t>Използвана литература</w:t>
      </w:r>
      <w:r w:rsidR="0045680D" w:rsidRPr="00A1146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w14:paraId="4C3A47C7" w14:textId="77777777" w:rsidR="00882C21" w:rsidRPr="00A1146C" w:rsidRDefault="00882C21" w:rsidP="004D715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9700B77" w14:textId="177C37CD" w:rsidR="00CD1234" w:rsidRDefault="00CD1234" w:rsidP="00E012A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Величков, А., &amp; Радославова, М. (2005).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Методи за психодиагностика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 С., Пандора Прим, 80-81.</w:t>
      </w:r>
    </w:p>
    <w:p w14:paraId="13756EE5" w14:textId="072DFF79" w:rsidR="0048463F" w:rsidRPr="00A1146C" w:rsidRDefault="0048463F" w:rsidP="00E012A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26525">
        <w:rPr>
          <w:rFonts w:ascii="Times New Roman" w:hAnsi="Times New Roman" w:cs="Times New Roman"/>
          <w:sz w:val="24"/>
          <w:szCs w:val="24"/>
          <w:lang w:val="ru-RU"/>
        </w:rPr>
        <w:t>Калинов, К. (2010).</w:t>
      </w:r>
      <w:r w:rsidRPr="0048463F">
        <w:rPr>
          <w:rFonts w:ascii="Times New Roman" w:hAnsi="Times New Roman" w:cs="Times New Roman"/>
          <w:sz w:val="24"/>
          <w:szCs w:val="24"/>
        </w:rPr>
        <w:t> </w:t>
      </w:r>
      <w:r w:rsidRPr="0072652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Статистически методи в поведенческите и социалните науки</w:t>
      </w:r>
      <w:r w:rsidRPr="0072652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8463F">
        <w:rPr>
          <w:rFonts w:ascii="Times New Roman" w:hAnsi="Times New Roman" w:cs="Times New Roman"/>
          <w:sz w:val="24"/>
          <w:szCs w:val="24"/>
        </w:rPr>
        <w:t xml:space="preserve">Нов </w:t>
      </w:r>
      <w:proofErr w:type="spellStart"/>
      <w:r w:rsidRPr="0048463F">
        <w:rPr>
          <w:rFonts w:ascii="Times New Roman" w:hAnsi="Times New Roman" w:cs="Times New Roman"/>
          <w:sz w:val="24"/>
          <w:szCs w:val="24"/>
        </w:rPr>
        <w:t>български</w:t>
      </w:r>
      <w:proofErr w:type="spellEnd"/>
      <w:r w:rsidRPr="00484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63F">
        <w:rPr>
          <w:rFonts w:ascii="Times New Roman" w:hAnsi="Times New Roman" w:cs="Times New Roman"/>
          <w:sz w:val="24"/>
          <w:szCs w:val="24"/>
        </w:rPr>
        <w:t>университет</w:t>
      </w:r>
      <w:proofErr w:type="spellEnd"/>
      <w:r w:rsidRPr="0048463F">
        <w:rPr>
          <w:rFonts w:ascii="Times New Roman" w:hAnsi="Times New Roman" w:cs="Times New Roman"/>
          <w:sz w:val="24"/>
          <w:szCs w:val="24"/>
        </w:rPr>
        <w:t>.</w:t>
      </w:r>
    </w:p>
    <w:p w14:paraId="5D3CFE50" w14:textId="066823C4" w:rsidR="00CD1234" w:rsidRPr="00A1146C" w:rsidRDefault="00CD1234" w:rsidP="00E012A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Кривирадева, Б. (2019). </w:t>
      </w:r>
      <w:r w:rsidRPr="00051855">
        <w:rPr>
          <w:rFonts w:ascii="Times New Roman" w:hAnsi="Times New Roman" w:cs="Times New Roman"/>
          <w:sz w:val="24"/>
          <w:szCs w:val="24"/>
          <w:lang w:val="bg-BG"/>
        </w:rPr>
        <w:t>Удовлетвореност от професионалния труд на учителите в образователни институции (Резултати от емпирично изследване)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816CD5">
        <w:rPr>
          <w:rFonts w:ascii="Times New Roman" w:hAnsi="Times New Roman" w:cs="Times New Roman"/>
          <w:i/>
          <w:iCs/>
          <w:sz w:val="24"/>
          <w:szCs w:val="24"/>
          <w:lang w:val="bg-BG"/>
        </w:rPr>
        <w:t>Педагогика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91(2), 159-179.</w:t>
      </w:r>
    </w:p>
    <w:p w14:paraId="6430D4B1" w14:textId="505E2E64" w:rsidR="00CD1234" w:rsidRPr="00A1146C" w:rsidRDefault="00CD1234" w:rsidP="00E012A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>Радославова, М</w:t>
      </w:r>
      <w:r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</w:t>
      </w:r>
      <w:r w:rsidR="00CF088B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(2001).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Удовлетвореност от труда. Психични механизми на възникване и функции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 София, Парадигма, 2001.</w:t>
      </w:r>
    </w:p>
    <w:p w14:paraId="0D1F15AE" w14:textId="792FCA47" w:rsidR="00E012A6" w:rsidRPr="00A1146C" w:rsidRDefault="00E012A6" w:rsidP="00E012A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Рашева,  М. (2015). </w:t>
      </w:r>
      <w:r w:rsidRPr="00BC303D">
        <w:rPr>
          <w:rFonts w:ascii="Times New Roman" w:hAnsi="Times New Roman" w:cs="Times New Roman"/>
          <w:iCs/>
          <w:sz w:val="24"/>
          <w:szCs w:val="24"/>
          <w:lang w:val="bg-BG"/>
        </w:rPr>
        <w:t>Валидизиране на метод, измерващ петфакторния модел на личността (BFI) в извадка от български студенти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BC303D">
        <w:rPr>
          <w:rFonts w:ascii="Times New Roman" w:hAnsi="Times New Roman" w:cs="Times New Roman"/>
          <w:i/>
          <w:sz w:val="24"/>
          <w:szCs w:val="24"/>
          <w:lang w:val="bg-BG"/>
        </w:rPr>
        <w:t>Психологични изследвания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том 18, кн.1, 9-20.</w:t>
      </w:r>
    </w:p>
    <w:p w14:paraId="12DDB5E1" w14:textId="4235D6C3" w:rsidR="008946A5" w:rsidRPr="00A1146C" w:rsidRDefault="008946A5" w:rsidP="008946A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Рашева,  М. (2015). </w:t>
      </w:r>
      <w:r w:rsidRPr="00BC303D">
        <w:rPr>
          <w:rFonts w:ascii="Times New Roman" w:hAnsi="Times New Roman" w:cs="Times New Roman"/>
          <w:iCs/>
          <w:sz w:val="24"/>
          <w:szCs w:val="24"/>
          <w:lang w:val="bg-BG"/>
        </w:rPr>
        <w:t>Връзки между петфакторен модел на личността и депресия</w:t>
      </w:r>
      <w:r w:rsidRPr="00BC303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BC303D">
        <w:rPr>
          <w:rFonts w:ascii="Times New Roman" w:hAnsi="Times New Roman" w:cs="Times New Roman"/>
          <w:i/>
          <w:sz w:val="24"/>
          <w:szCs w:val="24"/>
          <w:lang w:val="bg-BG"/>
        </w:rPr>
        <w:t>Психологични изследвания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том 18, кн.1, 3-8.</w:t>
      </w:r>
    </w:p>
    <w:p w14:paraId="2C47103E" w14:textId="487C2AF8" w:rsidR="002F02E1" w:rsidRPr="00A1146C" w:rsidRDefault="002F02E1" w:rsidP="002401C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trike/>
          <w:color w:val="FF0000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Цен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ова, Б</w:t>
      </w:r>
      <w:r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 </w:t>
      </w:r>
      <w:r w:rsidR="00CF088B" w:rsidRPr="00A1146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(2001).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Личностни корелати на бърнаут-синдрома</w:t>
      </w:r>
      <w:r w:rsidR="00E73966" w:rsidRPr="00726525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4BA848EB" w14:textId="5E89554B" w:rsidR="00CD1234" w:rsidRPr="00E73966" w:rsidRDefault="00CD1234" w:rsidP="002F02E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Янакиева, С. (2001).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Професионално педагогическо общуване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 В. Търново: Фабер</w:t>
      </w:r>
      <w:r w:rsidR="00E73966">
        <w:rPr>
          <w:rFonts w:ascii="Times New Roman" w:hAnsi="Times New Roman" w:cs="Times New Roman"/>
          <w:sz w:val="24"/>
          <w:szCs w:val="24"/>
        </w:rPr>
        <w:t>.</w:t>
      </w:r>
    </w:p>
    <w:p w14:paraId="5599F8FC" w14:textId="28BE7A22" w:rsidR="00E73966" w:rsidRPr="00A1146C" w:rsidRDefault="00E73966" w:rsidP="002F02E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73966">
        <w:rPr>
          <w:rFonts w:ascii="Times New Roman" w:hAnsi="Times New Roman" w:cs="Times New Roman"/>
          <w:sz w:val="24"/>
          <w:szCs w:val="24"/>
        </w:rPr>
        <w:t>Allaire, J. (2012). RStudio: integrated development environment for R. </w:t>
      </w:r>
      <w:r w:rsidRPr="00E73966">
        <w:rPr>
          <w:rFonts w:ascii="Times New Roman" w:hAnsi="Times New Roman" w:cs="Times New Roman"/>
          <w:i/>
          <w:iCs/>
          <w:sz w:val="24"/>
          <w:szCs w:val="24"/>
        </w:rPr>
        <w:t>Boston, MA</w:t>
      </w:r>
      <w:r w:rsidRPr="00E73966">
        <w:rPr>
          <w:rFonts w:ascii="Times New Roman" w:hAnsi="Times New Roman" w:cs="Times New Roman"/>
          <w:sz w:val="24"/>
          <w:szCs w:val="24"/>
        </w:rPr>
        <w:t>, </w:t>
      </w:r>
      <w:r w:rsidRPr="00E73966">
        <w:rPr>
          <w:rFonts w:ascii="Times New Roman" w:hAnsi="Times New Roman" w:cs="Times New Roman"/>
          <w:i/>
          <w:iCs/>
          <w:sz w:val="24"/>
          <w:szCs w:val="24"/>
        </w:rPr>
        <w:t>770</w:t>
      </w:r>
      <w:r w:rsidRPr="00E73966">
        <w:rPr>
          <w:rFonts w:ascii="Times New Roman" w:hAnsi="Times New Roman" w:cs="Times New Roman"/>
          <w:sz w:val="24"/>
          <w:szCs w:val="24"/>
        </w:rPr>
        <w:t>, 394.</w:t>
      </w:r>
    </w:p>
    <w:p w14:paraId="341A802A" w14:textId="77777777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Bakker, A. B., Demerouti, E., &amp; Schaufeli, W. B. (2002).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The validity of the Maslach Burnout Inventory–General survey: An Internet study. Anxiety, Stress, and Coping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15, 245–260.</w:t>
      </w:r>
    </w:p>
    <w:p w14:paraId="77B39F06" w14:textId="3BF4D451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Bakker, A. B., Van Der Zee, K. I., Lewig, K. A., &amp; Dollard, M. F. (2006).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The relationship between the big five personality factors and burnout: A study among volunteer counselors.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The Journal of social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146(1), 31-50.</w:t>
      </w:r>
    </w:p>
    <w:p w14:paraId="40E8AC3B" w14:textId="6A80FCB3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Bria, M., Spânu, F., Băban, A., &amp; Dumitraşcu, D. L. (2014).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Maslach burnout inventory–general survey: factorial validity and invariance among Romanian healthcare professionals.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Burnout Research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1(3), 103-111.</w:t>
      </w:r>
    </w:p>
    <w:p w14:paraId="26A831E6" w14:textId="7355544D" w:rsidR="005E149A" w:rsidRPr="00A1146C" w:rsidRDefault="005E149A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Bolger, N. (1990).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Coping as a personality process: a prospective study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. Journal of personality and social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59(3), 525.</w:t>
      </w:r>
    </w:p>
    <w:p w14:paraId="3924216F" w14:textId="05930BE6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Celik, G. T., &amp; Oral, E. L. (2013).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Burnout levels and personality traits</w:t>
      </w:r>
      <w:r w:rsidR="00AD36A4" w:rsidRPr="00F362C5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 -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The case of turkish architectural students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. Creative education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4(02), 124.</w:t>
      </w:r>
    </w:p>
    <w:p w14:paraId="3A237C89" w14:textId="4FD37C34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Cohen, J., Cohen P., West, S. G., &amp; Aiken, L. S. (2002).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Applied multiple regression/correlation</w:t>
      </w:r>
      <w:r w:rsidR="00F362C5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analysis for the behavioral sciences (3rd ed.). Hove: Psychology Press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E6D6C1B" w14:textId="150C58FC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Cordes, C. L., &amp; Dougherty, T. W. (1993).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A review and an Integration of Research on Job Burnout.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Academy of Management Review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18(4), 621-656.</w:t>
      </w:r>
    </w:p>
    <w:p w14:paraId="46D94DEE" w14:textId="58353F79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Costa, P. T., &amp; McCrae, R. R. (2000).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Revised neo personality inventtory. Interpretive Report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198F82B3" w14:textId="02D8C03A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Eysenck, H., &amp; Wilson, G. (1976).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Know your own personality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0531735" w14:textId="6498A4B3" w:rsidR="00EF051A" w:rsidRDefault="00EF051A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Faragher, E. B., Cass, M., &amp; Cooper, C. L. (2013).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The relationship between job satisfaction and health: a meta-analysis.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From Stress to Wellbeing Volume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1, 254-271.</w:t>
      </w:r>
    </w:p>
    <w:p w14:paraId="4EF352D9" w14:textId="6C47F692" w:rsidR="00F67D47" w:rsidRPr="00F67D47" w:rsidRDefault="00F67D47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67D47">
        <w:rPr>
          <w:rFonts w:ascii="Times New Roman" w:hAnsi="Times New Roman" w:cs="Times New Roman"/>
          <w:sz w:val="24"/>
          <w:szCs w:val="24"/>
        </w:rPr>
        <w:t xml:space="preserve">Frazier, P. A., Tix, A. P., &amp; Barron, K. E. (2004). </w:t>
      </w:r>
      <w:r w:rsidRPr="00F362C5">
        <w:rPr>
          <w:rFonts w:ascii="Times New Roman" w:hAnsi="Times New Roman" w:cs="Times New Roman"/>
          <w:iCs/>
          <w:sz w:val="24"/>
          <w:szCs w:val="24"/>
        </w:rPr>
        <w:t>Testing moderator and mediator effects in counseling psychology research.</w:t>
      </w:r>
      <w:r w:rsidRPr="00F67D47">
        <w:rPr>
          <w:rFonts w:ascii="Times New Roman" w:hAnsi="Times New Roman" w:cs="Times New Roman"/>
          <w:i/>
          <w:iCs/>
          <w:sz w:val="24"/>
          <w:szCs w:val="24"/>
        </w:rPr>
        <w:t> Journal of counseling psychology,</w:t>
      </w:r>
      <w:r w:rsidRPr="00F67D47">
        <w:rPr>
          <w:rFonts w:ascii="Times New Roman" w:hAnsi="Times New Roman" w:cs="Times New Roman"/>
          <w:sz w:val="24"/>
          <w:szCs w:val="24"/>
        </w:rPr>
        <w:t> 51(1), 115.</w:t>
      </w:r>
    </w:p>
    <w:p w14:paraId="770205F9" w14:textId="42281F64" w:rsidR="00CD1234" w:rsidRPr="00A1146C" w:rsidRDefault="00CD1234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Furnham, A., Eracleous, A., &amp; Chamorro‐Premuzic, T. (2009).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Personality, motivation and job satisfaction: Hertzberg meets the Big Five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. Journal of managerial psychology</w:t>
      </w:r>
      <w:r w:rsidR="00F362C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362C5" w:rsidRPr="00F362C5">
        <w:rPr>
          <w:rFonts w:ascii="Times New Roman" w:hAnsi="Times New Roman" w:cs="Times New Roman"/>
          <w:sz w:val="24"/>
          <w:szCs w:val="24"/>
          <w:shd w:val="clear" w:color="auto" w:fill="FFFFFF"/>
        </w:rPr>
        <w:t>Vol. 24 No. 8, pp. 765-779.</w:t>
      </w:r>
    </w:p>
    <w:p w14:paraId="3195BB56" w14:textId="5ACFDD82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Ghorpade, J., Lackritz, J., &amp; Singh, G. (2007).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Burnout and personality: Evidence from academia.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Career Assessment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15, 240-250.</w:t>
      </w:r>
    </w:p>
    <w:p w14:paraId="58408F75" w14:textId="6247799E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Gurven, M., Von Rueden, C., Massenkoff, M., Kaplan, H., &amp; Lero Vie, M. (2013).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How universal is the Big Five? Testing the five-factor model of personality variation among forager–farmers in the Bolivian Amazon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. Journal of personality and social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104(2), 354.</w:t>
      </w:r>
    </w:p>
    <w:p w14:paraId="372A9E04" w14:textId="5D0CE565" w:rsidR="00F3229E" w:rsidRDefault="00F3229E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Herzberg, Frederick; Mausner, Bernard; Snyderman, Barbara B. (1959).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The Motivation to Work (2nd ed.). New York: John Wiley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2C928E2" w14:textId="4793CDC3" w:rsidR="004563C9" w:rsidRPr="00A1146C" w:rsidRDefault="004563C9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563C9">
        <w:rPr>
          <w:rFonts w:ascii="Times New Roman" w:hAnsi="Times New Roman" w:cs="Times New Roman"/>
          <w:sz w:val="24"/>
          <w:szCs w:val="24"/>
        </w:rPr>
        <w:t xml:space="preserve">Iverson, R. D., </w:t>
      </w:r>
      <w:proofErr w:type="spellStart"/>
      <w:r w:rsidRPr="004563C9">
        <w:rPr>
          <w:rFonts w:ascii="Times New Roman" w:hAnsi="Times New Roman" w:cs="Times New Roman"/>
          <w:sz w:val="24"/>
          <w:szCs w:val="24"/>
        </w:rPr>
        <w:t>Olekalns</w:t>
      </w:r>
      <w:proofErr w:type="spellEnd"/>
      <w:r w:rsidRPr="004563C9">
        <w:rPr>
          <w:rFonts w:ascii="Times New Roman" w:hAnsi="Times New Roman" w:cs="Times New Roman"/>
          <w:sz w:val="24"/>
          <w:szCs w:val="24"/>
        </w:rPr>
        <w:t>, M., &amp; Erwin, P. J. (1998). </w:t>
      </w:r>
      <w:r w:rsidRPr="00F362C5">
        <w:rPr>
          <w:rFonts w:ascii="Times New Roman" w:hAnsi="Times New Roman" w:cs="Times New Roman"/>
          <w:iCs/>
          <w:sz w:val="24"/>
          <w:szCs w:val="24"/>
        </w:rPr>
        <w:t>Affectivity, Organizational Stressors, and Absenteeism: A Causal Model of Burnout and Its Consequences.</w:t>
      </w:r>
      <w:r w:rsidRPr="004563C9">
        <w:rPr>
          <w:rFonts w:ascii="Times New Roman" w:hAnsi="Times New Roman" w:cs="Times New Roman"/>
          <w:i/>
          <w:iCs/>
          <w:sz w:val="24"/>
          <w:szCs w:val="24"/>
        </w:rPr>
        <w:t xml:space="preserve"> Journal of Vocational Behavior, 52(1), 1–23.</w:t>
      </w:r>
      <w:r w:rsidRPr="004563C9">
        <w:rPr>
          <w:rFonts w:ascii="Times New Roman" w:hAnsi="Times New Roman" w:cs="Times New Roman"/>
          <w:sz w:val="24"/>
          <w:szCs w:val="24"/>
        </w:rPr>
        <w:t> doi:10.1006/jvbe.1996.1556 </w:t>
      </w:r>
    </w:p>
    <w:p w14:paraId="6B119A0E" w14:textId="0147B655" w:rsidR="00CD1234" w:rsidRPr="00A1146C" w:rsidRDefault="00CD1234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Judge, T. A., Heller, D., &amp; Mount, M. K. (2002).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Five-factor model of personality and job satisfaction: a meta-analysis.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applied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87(3), 530.</w:t>
      </w:r>
    </w:p>
    <w:p w14:paraId="3FCC64B4" w14:textId="057E1F47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Kim, H. J., Shin, K. H., &amp; Swanger, N. (2009).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Burnout and engagement: A comparative analysis using the big five personality dimensions.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International Journal of Hospitality Management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28, 96-104.</w:t>
      </w:r>
    </w:p>
    <w:p w14:paraId="1F402822" w14:textId="73059A98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Kokkinos, C. M. (2007).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Job stressors, personality and burnout in primary school teachers.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British Journal of Educational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77, 229-243.</w:t>
      </w:r>
    </w:p>
    <w:p w14:paraId="7B50528D" w14:textId="7B5FD75B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Lent, J. (2010).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The impact of work setting, demographic factors, and personality factors on burnout of professional counselors (Doctoral dissertation, University of Akron)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6D5BB6A" w14:textId="2FE105E1" w:rsidR="00355A82" w:rsidRDefault="00355A82" w:rsidP="00355A8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Maslach, C., Jackson, S.E., 1981.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The measurement of experienced burnout.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Occupational Behavior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2, 99–113.</w:t>
      </w:r>
    </w:p>
    <w:p w14:paraId="66AB4F3E" w14:textId="3A29614B" w:rsidR="007D1473" w:rsidRPr="00A1146C" w:rsidRDefault="007D1473" w:rsidP="00355A8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D1473">
        <w:rPr>
          <w:rFonts w:ascii="Times New Roman" w:hAnsi="Times New Roman" w:cs="Times New Roman"/>
          <w:sz w:val="24"/>
          <w:szCs w:val="24"/>
        </w:rPr>
        <w:t xml:space="preserve">Maslach, C., &amp; Leiter, M. P. (2016). </w:t>
      </w:r>
      <w:r w:rsidRPr="00F362C5">
        <w:rPr>
          <w:rFonts w:ascii="Times New Roman" w:hAnsi="Times New Roman" w:cs="Times New Roman"/>
          <w:iCs/>
          <w:sz w:val="24"/>
          <w:szCs w:val="24"/>
        </w:rPr>
        <w:t>Understanding the burnout experience: recent research and its implications for psychiatry.</w:t>
      </w:r>
      <w:r w:rsidRPr="007D1473">
        <w:rPr>
          <w:rFonts w:ascii="Times New Roman" w:hAnsi="Times New Roman" w:cs="Times New Roman"/>
          <w:i/>
          <w:iCs/>
          <w:sz w:val="24"/>
          <w:szCs w:val="24"/>
        </w:rPr>
        <w:t> World psychiatry</w:t>
      </w:r>
      <w:r w:rsidRPr="007D1473">
        <w:rPr>
          <w:rFonts w:ascii="Times New Roman" w:hAnsi="Times New Roman" w:cs="Times New Roman"/>
          <w:sz w:val="24"/>
          <w:szCs w:val="24"/>
        </w:rPr>
        <w:t>, </w:t>
      </w:r>
      <w:r w:rsidRPr="007D1473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7D1473">
        <w:rPr>
          <w:rFonts w:ascii="Times New Roman" w:hAnsi="Times New Roman" w:cs="Times New Roman"/>
          <w:sz w:val="24"/>
          <w:szCs w:val="24"/>
        </w:rPr>
        <w:t>(2), 103-111.</w:t>
      </w:r>
    </w:p>
    <w:p w14:paraId="537BDFE3" w14:textId="40BB789D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Maslach, C., Schaufeli, W. B., &amp; Leiter, M. P. (2001).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Job burnout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. Annual review of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52(1), 397-422.</w:t>
      </w:r>
    </w:p>
    <w:p w14:paraId="5248DA43" w14:textId="1EAFFFBB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McCrae, R. R., &amp; Terracciano, A. (2005).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Personality profiles of cultures: Aggregate personality traits.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Journal of Personality and Social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89, 407-425</w:t>
      </w:r>
    </w:p>
    <w:p w14:paraId="4FEA0B2A" w14:textId="0DE40D0E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Morgan, B. (2008).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The relationship between the big five personality traits and burnout in South African university students 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(pp. 108-117). Johannesburg: University of Johannesburg.</w:t>
      </w:r>
    </w:p>
    <w:p w14:paraId="60BB2764" w14:textId="59387ED7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Norman , W. ( 1963 ).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Toward an adequate taxonomy of personality attributes: Replicated factor structure in peer nomination personality ratings.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Abnormal and Social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, 66 , 574 – 583 .</w:t>
      </w:r>
    </w:p>
    <w:p w14:paraId="06E31F11" w14:textId="2F01DDC6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Novikova, I. A. (2013).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Big Five (The Five-Factor Model and The Five-Factor Theory). The Encyclopedia of Cross-Cultural Psychology/Ed. Kenneth D. Keith.—Hoboken, New Jersey: Wiley-Blackwell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136-138.</w:t>
      </w:r>
    </w:p>
    <w:p w14:paraId="171F49D5" w14:textId="3A9CF768" w:rsidR="00F362C5" w:rsidRPr="00F362C5" w:rsidRDefault="00EF051A" w:rsidP="00122F7A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362C5">
        <w:rPr>
          <w:rFonts w:ascii="Times New Roman" w:hAnsi="Times New Roman" w:cs="Times New Roman"/>
          <w:sz w:val="24"/>
          <w:szCs w:val="24"/>
          <w:lang w:val="bg-BG"/>
        </w:rPr>
        <w:t xml:space="preserve">Oshagbemi, T. (1999).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Overall job satisfaction: how good are single versus multiple‐item measures?</w:t>
      </w:r>
      <w:r w:rsidRPr="00F362C5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managerial Psychology</w:t>
      </w:r>
      <w:r w:rsidR="00F362C5" w:rsidRPr="00F362C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36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Vol. 14 No. 5, </w:t>
      </w:r>
      <w:r w:rsidR="00F362C5" w:rsidRPr="00F362C5">
        <w:rPr>
          <w:rFonts w:ascii="Times New Roman" w:hAnsi="Times New Roman" w:cs="Times New Roman"/>
          <w:sz w:val="24"/>
          <w:szCs w:val="24"/>
          <w:shd w:val="clear" w:color="auto" w:fill="FFFFFF"/>
        </w:rPr>
        <w:t>388-403</w:t>
      </w:r>
      <w:r w:rsidR="00F362C5">
        <w:rPr>
          <w:rFonts w:ascii="Times New Roman" w:hAnsi="Times New Roman" w:cs="Times New Roman"/>
          <w:sz w:val="24"/>
          <w:szCs w:val="24"/>
          <w:shd w:val="clear" w:color="auto" w:fill="FFFFFF"/>
          <w:lang w:val="bg-BG"/>
        </w:rPr>
        <w:t>.</w:t>
      </w:r>
    </w:p>
    <w:p w14:paraId="1F3F8035" w14:textId="5F30203E" w:rsidR="00FF3BB8" w:rsidRPr="00DE62A3" w:rsidRDefault="00DE62A3" w:rsidP="00DE62A3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E62A3">
        <w:rPr>
          <w:rFonts w:ascii="Times New Roman" w:hAnsi="Times New Roman" w:cs="Times New Roman"/>
          <w:sz w:val="24"/>
          <w:szCs w:val="24"/>
          <w:lang w:val="bg-BG"/>
        </w:rPr>
        <w:t xml:space="preserve">Patil, I. (2018). </w:t>
      </w:r>
      <w:r w:rsidRPr="00DE62A3">
        <w:rPr>
          <w:rFonts w:ascii="Times New Roman" w:hAnsi="Times New Roman" w:cs="Times New Roman"/>
          <w:i/>
          <w:iCs/>
          <w:sz w:val="24"/>
          <w:szCs w:val="24"/>
          <w:lang w:val="bg-BG"/>
        </w:rPr>
        <w:t>Visualizations with statistical details: The 'ggstatsplot' approach</w:t>
      </w:r>
      <w:r w:rsidRPr="00DE62A3">
        <w:rPr>
          <w:rFonts w:ascii="Times New Roman" w:hAnsi="Times New Roman" w:cs="Times New Roman"/>
          <w:sz w:val="24"/>
          <w:szCs w:val="24"/>
          <w:lang w:val="bg-BG"/>
        </w:rPr>
        <w:t>. PsyArxiv.doi:10.31234/osf.io/p7mku</w:t>
      </w:r>
      <w:r w:rsidR="007C603D" w:rsidRPr="00DE62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7BE90" w14:textId="50E393BB" w:rsidR="00B55C33" w:rsidRPr="00A1146C" w:rsidRDefault="00DE62A3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E62A3">
        <w:rPr>
          <w:rFonts w:ascii="Times New Roman" w:hAnsi="Times New Roman" w:cs="Times New Roman"/>
          <w:sz w:val="24"/>
          <w:szCs w:val="24"/>
        </w:rPr>
        <w:lastRenderedPageBreak/>
        <w:t xml:space="preserve">Brian G. Peterson and Peter Carl (2020). </w:t>
      </w:r>
      <w:proofErr w:type="spellStart"/>
      <w:r w:rsidRPr="00DE62A3">
        <w:rPr>
          <w:rFonts w:ascii="Times New Roman" w:hAnsi="Times New Roman" w:cs="Times New Roman"/>
          <w:i/>
          <w:iCs/>
          <w:sz w:val="24"/>
          <w:szCs w:val="24"/>
        </w:rPr>
        <w:t>PerformanceAnalytics</w:t>
      </w:r>
      <w:proofErr w:type="spellEnd"/>
      <w:r w:rsidRPr="00DE62A3">
        <w:rPr>
          <w:rFonts w:ascii="Times New Roman" w:hAnsi="Times New Roman" w:cs="Times New Roman"/>
          <w:i/>
          <w:iCs/>
          <w:sz w:val="24"/>
          <w:szCs w:val="24"/>
        </w:rPr>
        <w:t>: Econometric Tools for Performance and Risk Analysis. R package version 2.0.4.</w:t>
      </w:r>
      <w:r w:rsidRPr="00DE62A3">
        <w:rPr>
          <w:rFonts w:ascii="Times New Roman" w:hAnsi="Times New Roman" w:cs="Times New Roman"/>
          <w:sz w:val="24"/>
          <w:szCs w:val="24"/>
        </w:rPr>
        <w:t xml:space="preserve"> https://CRAN.R-project.org/package=PerformanceAnalytics</w:t>
      </w:r>
      <w:r w:rsidR="00B55C33" w:rsidRPr="00B55C33">
        <w:rPr>
          <w:rFonts w:ascii="Times New Roman" w:hAnsi="Times New Roman" w:cs="Times New Roman"/>
          <w:sz w:val="24"/>
          <w:szCs w:val="24"/>
        </w:rPr>
        <w:t>.</w:t>
      </w:r>
    </w:p>
    <w:p w14:paraId="198BDEEA" w14:textId="1EC7F1BD" w:rsidR="00BD46F2" w:rsidRDefault="00BD46F2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Podsakoff, P. M., MacKenzie, S. B., Lee, J. Y., &amp; Podsakoff, N. P. (2003).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Common method biases in behavioral research: a critical review of the literature and recommended remedies.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Journal of applied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88(5), 879.</w:t>
      </w:r>
    </w:p>
    <w:p w14:paraId="7791A378" w14:textId="56117A76" w:rsidR="006A3F85" w:rsidRPr="00A1146C" w:rsidRDefault="006A3F8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A3F85">
        <w:rPr>
          <w:rFonts w:ascii="Times New Roman" w:hAnsi="Times New Roman" w:cs="Times New Roman"/>
          <w:sz w:val="24"/>
          <w:szCs w:val="24"/>
          <w:lang w:val="bg-BG"/>
        </w:rPr>
        <w:t>R Core Team (202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A3F85">
        <w:rPr>
          <w:rFonts w:ascii="Times New Roman" w:hAnsi="Times New Roman" w:cs="Times New Roman"/>
          <w:sz w:val="24"/>
          <w:szCs w:val="24"/>
          <w:lang w:val="bg-BG"/>
        </w:rPr>
        <w:t>). R: A language and environment for statistical computing. R Foundation for Statistical Computing, Vienna, Austria. URL https://www.R-project.org/.</w:t>
      </w:r>
    </w:p>
    <w:p w14:paraId="77945E5D" w14:textId="43D6912A" w:rsidR="00CD1234" w:rsidRPr="00A1146C" w:rsidRDefault="00CD1234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Rosales, R. A., Labrague, L. J., &amp; Rosales, G. L. (2013).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Nurses' job satisfaction and burnout: Is there a connection?.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International Journal of Advanced Nursing Studies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2(1), 1.</w:t>
      </w:r>
    </w:p>
    <w:p w14:paraId="4CFFDB86" w14:textId="7F6466EE" w:rsidR="00897639" w:rsidRPr="00A1146C" w:rsidRDefault="00897639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Rosenthal, G. &amp; Rosenthal, J. (2011).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Statistics and Data Interpretation for Social Work. Springer Publishing Company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BDF3DF4" w14:textId="20F70EC9" w:rsidR="00FF3BB8" w:rsidRPr="00A1146C" w:rsidRDefault="00FF3BB8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Säfken, B., Rügamer, D., Kneib, T., &amp; Greven, S. (2018).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Conditional model selection in mixed-effects models with cAIC4. arXiv preprint arXiv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:1803.05664.</w:t>
      </w:r>
    </w:p>
    <w:p w14:paraId="522B8CB1" w14:textId="352B0113" w:rsidR="00BE3545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Schaufeli, W. B. (2003). </w:t>
      </w:r>
      <w:r w:rsidRPr="00F362C5">
        <w:rPr>
          <w:rFonts w:ascii="Times New Roman" w:hAnsi="Times New Roman" w:cs="Times New Roman"/>
          <w:iCs/>
          <w:sz w:val="24"/>
          <w:szCs w:val="24"/>
          <w:lang w:val="bg-BG"/>
        </w:rPr>
        <w:t>Past performance and future perspectives of burnout research.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South African Journal of Industrial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29, 1–15.</w:t>
      </w:r>
    </w:p>
    <w:p w14:paraId="4DD5174F" w14:textId="34353AFC" w:rsidR="00F318B7" w:rsidRPr="00A1146C" w:rsidRDefault="00F318B7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318B7">
        <w:rPr>
          <w:rFonts w:ascii="Times New Roman" w:hAnsi="Times New Roman" w:cs="Times New Roman"/>
          <w:sz w:val="24"/>
          <w:szCs w:val="24"/>
          <w:lang w:val="bg-BG"/>
        </w:rPr>
        <w:t>Shanafelt, T., Trockel, M., Ripp, J., Murphy, M. L., Sandborg, C., &amp; Bohman, B. (2018). Building a Program on Well-Being. Academic Medicine, 1. doi:10.1097/acm.0000000000002415</w:t>
      </w:r>
    </w:p>
    <w:p w14:paraId="6BC14102" w14:textId="1574BF4D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Schaufeli, W., &amp; Enzmann, D. (1998).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The burnout companion to study and practice: A critical analysis. CRC press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FE7DA57" w14:textId="59D16B03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Schmitt, D. P., Realo, A., Voracek, M., &amp; Allik, J. (2008).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>Why can’t a man be more like a woman? Sex differences in big five personality traits across 55 cultures.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Personality and Social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94, 168-182</w:t>
      </w:r>
    </w:p>
    <w:p w14:paraId="2CB03C1C" w14:textId="34D16093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Shirom, A. (2003).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Job-Related Burnout: A Review. In J. C. Quick &amp; L. E. Tetrick (Eds.), Handbook of Occupational Health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(pp. 245-264). Washington, DC, US: American Psychological Association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F72BDF1" w14:textId="4C256D84" w:rsidR="0054736B" w:rsidRPr="00A1146C" w:rsidRDefault="0054736B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Skaalvik, E. M., &amp; Skaalvik, S. (2009). Does school context matter?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>Relations with teacher burnout and job satisfaction.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Teaching and teacher education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25(3), 518-524.</w:t>
      </w:r>
    </w:p>
    <w:p w14:paraId="317807E5" w14:textId="5B6A9B71" w:rsidR="00EF051A" w:rsidRPr="00A1146C" w:rsidRDefault="00EF051A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Sousa-Poza, A., &amp; Sousa-Poza, A. A. (2000).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Well-being at work: a cross-national analysis of the levels and determinants of job satisfaction. The journal of socioeconomics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29(6), 517-538.</w:t>
      </w:r>
    </w:p>
    <w:p w14:paraId="7FFEC56D" w14:textId="33E27FEE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Storm, K., &amp; Rothmann, S. (2003).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>The relationship between burnout, personality traits and coping strategies in a corporate pharmaceutical group.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Industrial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29, 35-42.</w:t>
      </w:r>
    </w:p>
    <w:p w14:paraId="6BE8DCD5" w14:textId="5C9AA201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Swider, B. W., &amp; Zimmerman, R. D. (2010).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>Born to burnout: A meta-analytic path model of personality, job burnout, and work outcomes.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Vocational Behavior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76(3), 487-506.</w:t>
      </w:r>
    </w:p>
    <w:p w14:paraId="5F6CC97E" w14:textId="6071BCC8" w:rsidR="00BE3545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Tomic, W., Tomic, D. M., &amp; Evers, W. J. G. (2004).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A question of burnout among reformed church ministers in the Netherlands, mental health. Religion &amp; Culture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7, 225-247.</w:t>
      </w:r>
    </w:p>
    <w:p w14:paraId="06642FBC" w14:textId="1B412916" w:rsidR="00CD1234" w:rsidRPr="00EC0B1A" w:rsidRDefault="00CD1234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Tsigilis, N., Koustelios, A., &amp; Togia, A. (2004).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Multivariate relationship and discriminant validity between job satisfaction and burnout.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Journal of Managerial Psychology</w:t>
      </w:r>
      <w:r w:rsidR="00EC0B1A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EC0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Vol. 19 No. 7, </w:t>
      </w:r>
      <w:r w:rsidR="00EC0B1A" w:rsidRPr="00EC0B1A">
        <w:rPr>
          <w:rFonts w:ascii="Times New Roman" w:hAnsi="Times New Roman" w:cs="Times New Roman"/>
          <w:sz w:val="24"/>
          <w:szCs w:val="24"/>
          <w:shd w:val="clear" w:color="auto" w:fill="FFFFFF"/>
        </w:rPr>
        <w:t>666-675.</w:t>
      </w:r>
    </w:p>
    <w:p w14:paraId="775CA64E" w14:textId="624D6033" w:rsidR="00646F35" w:rsidRPr="00A1146C" w:rsidRDefault="00646F3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Hoaglin, D. C., Iglewicz, B., &amp; Tukey, J. W. (1986).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>Performance of some resistant rules for outlier labeling.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the American Statistical Association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81(396), 991-999.</w:t>
      </w:r>
    </w:p>
    <w:p w14:paraId="59929B76" w14:textId="7F9C3AD0" w:rsidR="00EF051A" w:rsidRPr="00A1146C" w:rsidRDefault="00EF051A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Warr, P., Cook, J., &amp; Wall, T. (1979).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>Scales for the measurement of some work attitudes and aspects of psychological well‐being.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Journal of occupational Psychology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52(2), 129-148.</w:t>
      </w:r>
    </w:p>
    <w:p w14:paraId="2022FE9C" w14:textId="55E86766" w:rsidR="003D566A" w:rsidRPr="00A1146C" w:rsidRDefault="003D566A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Watson, D., &amp; Pennebaker, J. W. (1989).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>Health complaints, stress, and distress: exploring the central role of negative affectivity</w:t>
      </w:r>
      <w:r w:rsidRPr="00EC0B1A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C0B1A">
        <w:rPr>
          <w:rFonts w:ascii="Times New Roman" w:hAnsi="Times New Roman" w:cs="Times New Roman"/>
          <w:i/>
          <w:sz w:val="24"/>
          <w:szCs w:val="24"/>
          <w:lang w:val="bg-BG"/>
        </w:rPr>
        <w:t>Psychological review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96(2), 234.</w:t>
      </w:r>
    </w:p>
    <w:p w14:paraId="4FD39B01" w14:textId="5F8F276E" w:rsidR="00EF051A" w:rsidRPr="00A1146C" w:rsidRDefault="00EF051A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Winefeld, A. H., Tiggeman, M., &amp; Goldney, R. D. (1988). </w:t>
      </w:r>
      <w:r w:rsidRPr="00EC0B1A">
        <w:rPr>
          <w:rFonts w:ascii="Times New Roman" w:hAnsi="Times New Roman" w:cs="Times New Roman"/>
          <w:iCs/>
          <w:sz w:val="24"/>
          <w:szCs w:val="24"/>
          <w:lang w:val="bg-BG"/>
        </w:rPr>
        <w:t>Psychological concomitants of satisfactory employment and unemployment in young people.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Social Psychiatry and Psychiatric Epidemiology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23(3), 149-157.</w:t>
      </w:r>
    </w:p>
    <w:p w14:paraId="5D0EE9C5" w14:textId="0663077D" w:rsidR="003B0E8E" w:rsidRPr="00A1146C" w:rsidRDefault="00BE3545" w:rsidP="00BE35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1146C">
        <w:rPr>
          <w:rFonts w:ascii="Times New Roman" w:hAnsi="Times New Roman" w:cs="Times New Roman"/>
          <w:sz w:val="24"/>
          <w:szCs w:val="24"/>
          <w:lang w:val="bg-BG"/>
        </w:rPr>
        <w:t xml:space="preserve">Zopiatis, A., Constanti, P., &amp; Pavlou, I. (2010). </w:t>
      </w:r>
      <w:r w:rsidRPr="00A1146C">
        <w:rPr>
          <w:rFonts w:ascii="Times New Roman" w:hAnsi="Times New Roman" w:cs="Times New Roman"/>
          <w:i/>
          <w:iCs/>
          <w:sz w:val="24"/>
          <w:szCs w:val="24"/>
          <w:lang w:val="bg-BG"/>
        </w:rPr>
        <w:t>Investigating the association of burnout and personality traits of hotel managers. International CHRIE Conference, Refereed Track</w:t>
      </w:r>
      <w:r w:rsidRPr="00A1146C">
        <w:rPr>
          <w:rFonts w:ascii="Times New Roman" w:hAnsi="Times New Roman" w:cs="Times New Roman"/>
          <w:sz w:val="24"/>
          <w:szCs w:val="24"/>
          <w:lang w:val="bg-BG"/>
        </w:rPr>
        <w:t>, Paper 11.</w:t>
      </w:r>
    </w:p>
    <w:sectPr w:rsidR="003B0E8E" w:rsidRPr="00A1146C" w:rsidSect="009D4069">
      <w:headerReference w:type="default" r:id="rId17"/>
      <w:footerReference w:type="default" r:id="rId18"/>
      <w:pgSz w:w="12240" w:h="15840"/>
      <w:pgMar w:top="1361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5A53" w14:textId="77777777" w:rsidR="00CF0A06" w:rsidRDefault="00CF0A06">
      <w:pPr>
        <w:spacing w:after="0" w:line="240" w:lineRule="auto"/>
      </w:pPr>
      <w:r>
        <w:separator/>
      </w:r>
    </w:p>
  </w:endnote>
  <w:endnote w:type="continuationSeparator" w:id="0">
    <w:p w14:paraId="4F696B12" w14:textId="77777777" w:rsidR="00CF0A06" w:rsidRDefault="00CF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866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54284" w14:textId="6E17CEDE" w:rsidR="00122F7A" w:rsidRDefault="00122F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6CB3B22C" w14:textId="56269D80" w:rsidR="00122F7A" w:rsidRDefault="00122F7A" w:rsidP="00B74ACB">
    <w:pPr>
      <w:pStyle w:val="Footer"/>
      <w:jc w:val="center"/>
    </w:pPr>
    <w:r>
      <w:rPr>
        <w:rFonts w:cstheme="minorHAnsi"/>
        <w:noProof/>
      </w:rPr>
      <w:drawing>
        <wp:inline distT="0" distB="0" distL="0" distR="0" wp14:anchorId="227517A3" wp14:editId="01187D6B">
          <wp:extent cx="560705" cy="560705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BBC5" w14:textId="77777777" w:rsidR="00CF0A06" w:rsidRDefault="00CF0A06">
      <w:pPr>
        <w:spacing w:after="0" w:line="240" w:lineRule="auto"/>
      </w:pPr>
      <w:r>
        <w:separator/>
      </w:r>
    </w:p>
  </w:footnote>
  <w:footnote w:type="continuationSeparator" w:id="0">
    <w:p w14:paraId="654A992F" w14:textId="77777777" w:rsidR="00CF0A06" w:rsidRDefault="00CF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1F6A" w14:textId="642C6DA5" w:rsidR="00122F7A" w:rsidRDefault="00122F7A" w:rsidP="00CF0264">
    <w:pPr>
      <w:pStyle w:val="Header"/>
      <w:spacing w:line="720" w:lineRule="auto"/>
      <w:jc w:val="center"/>
    </w:pPr>
    <w:r>
      <w:rPr>
        <w:noProof/>
      </w:rPr>
      <w:drawing>
        <wp:inline distT="0" distB="0" distL="0" distR="0" wp14:anchorId="564CFC13" wp14:editId="676B2BE5">
          <wp:extent cx="628650" cy="628650"/>
          <wp:effectExtent l="0" t="0" r="0" b="0"/>
          <wp:docPr id="18" name="Picture 18" descr="logo-nbu-sini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nbu-sini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BE6"/>
    <w:multiLevelType w:val="hybridMultilevel"/>
    <w:tmpl w:val="8230F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8D7"/>
    <w:multiLevelType w:val="hybridMultilevel"/>
    <w:tmpl w:val="A9C6A4B6"/>
    <w:lvl w:ilvl="0" w:tplc="5CBE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2542"/>
    <w:multiLevelType w:val="hybridMultilevel"/>
    <w:tmpl w:val="58948E98"/>
    <w:lvl w:ilvl="0" w:tplc="0B2AC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F0F3B"/>
    <w:multiLevelType w:val="multilevel"/>
    <w:tmpl w:val="59881C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21BE3383"/>
    <w:multiLevelType w:val="multilevel"/>
    <w:tmpl w:val="BAFC09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26E83D6D"/>
    <w:multiLevelType w:val="hybridMultilevel"/>
    <w:tmpl w:val="F4B8D3D8"/>
    <w:lvl w:ilvl="0" w:tplc="DFAC57E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5A75E5"/>
    <w:multiLevelType w:val="hybridMultilevel"/>
    <w:tmpl w:val="CDBAE916"/>
    <w:lvl w:ilvl="0" w:tplc="69380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F24F4D"/>
    <w:multiLevelType w:val="hybridMultilevel"/>
    <w:tmpl w:val="E0E68D04"/>
    <w:lvl w:ilvl="0" w:tplc="0B2AC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6A37"/>
    <w:multiLevelType w:val="hybridMultilevel"/>
    <w:tmpl w:val="0E5892D2"/>
    <w:lvl w:ilvl="0" w:tplc="539045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5214FC"/>
    <w:multiLevelType w:val="multilevel"/>
    <w:tmpl w:val="59BE6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AFD0BA4"/>
    <w:multiLevelType w:val="multilevel"/>
    <w:tmpl w:val="BAFC09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1" w15:restartNumberingAfterBreak="0">
    <w:nsid w:val="5A791D06"/>
    <w:multiLevelType w:val="hybridMultilevel"/>
    <w:tmpl w:val="A1F26AAE"/>
    <w:lvl w:ilvl="0" w:tplc="4A62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7652F"/>
    <w:multiLevelType w:val="hybridMultilevel"/>
    <w:tmpl w:val="565EE17C"/>
    <w:lvl w:ilvl="0" w:tplc="0B2AC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AED5FA">
      <w:start w:val="1"/>
      <w:numFmt w:val="decimal"/>
      <w:lvlText w:val="%2."/>
      <w:lvlJc w:val="left"/>
      <w:pPr>
        <w:ind w:left="1440" w:hanging="360"/>
      </w:pPr>
      <w:rPr>
        <w:rFonts w:hint="default"/>
        <w:strike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43EFF"/>
    <w:multiLevelType w:val="hybridMultilevel"/>
    <w:tmpl w:val="4BC055FE"/>
    <w:lvl w:ilvl="0" w:tplc="ED9AD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5503B4"/>
    <w:multiLevelType w:val="hybridMultilevel"/>
    <w:tmpl w:val="732CB7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D812DB"/>
    <w:multiLevelType w:val="multilevel"/>
    <w:tmpl w:val="968C1E8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774312A7"/>
    <w:multiLevelType w:val="multilevel"/>
    <w:tmpl w:val="77A8E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78A100C1"/>
    <w:multiLevelType w:val="hybridMultilevel"/>
    <w:tmpl w:val="26B45146"/>
    <w:lvl w:ilvl="0" w:tplc="506CCD3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F218A"/>
    <w:multiLevelType w:val="hybridMultilevel"/>
    <w:tmpl w:val="732CB7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E50271"/>
    <w:multiLevelType w:val="hybridMultilevel"/>
    <w:tmpl w:val="90F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77E45"/>
    <w:multiLevelType w:val="hybridMultilevel"/>
    <w:tmpl w:val="EE5247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A6C1E"/>
    <w:multiLevelType w:val="hybridMultilevel"/>
    <w:tmpl w:val="1C042D4C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E990346"/>
    <w:multiLevelType w:val="hybridMultilevel"/>
    <w:tmpl w:val="7AA45416"/>
    <w:lvl w:ilvl="0" w:tplc="F1A4CE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3416350">
    <w:abstractNumId w:val="4"/>
  </w:num>
  <w:num w:numId="2" w16cid:durableId="1673604711">
    <w:abstractNumId w:val="22"/>
  </w:num>
  <w:num w:numId="3" w16cid:durableId="355084998">
    <w:abstractNumId w:val="8"/>
  </w:num>
  <w:num w:numId="4" w16cid:durableId="392393760">
    <w:abstractNumId w:val="2"/>
  </w:num>
  <w:num w:numId="5" w16cid:durableId="559631169">
    <w:abstractNumId w:val="14"/>
  </w:num>
  <w:num w:numId="6" w16cid:durableId="1338000212">
    <w:abstractNumId w:val="1"/>
  </w:num>
  <w:num w:numId="7" w16cid:durableId="1144083521">
    <w:abstractNumId w:val="7"/>
  </w:num>
  <w:num w:numId="8" w16cid:durableId="1357192618">
    <w:abstractNumId w:val="12"/>
  </w:num>
  <w:num w:numId="9" w16cid:durableId="1167939871">
    <w:abstractNumId w:val="3"/>
  </w:num>
  <w:num w:numId="10" w16cid:durableId="581455262">
    <w:abstractNumId w:val="6"/>
  </w:num>
  <w:num w:numId="11" w16cid:durableId="976377350">
    <w:abstractNumId w:val="21"/>
  </w:num>
  <w:num w:numId="12" w16cid:durableId="1940720874">
    <w:abstractNumId w:val="20"/>
  </w:num>
  <w:num w:numId="13" w16cid:durableId="601185012">
    <w:abstractNumId w:val="0"/>
  </w:num>
  <w:num w:numId="14" w16cid:durableId="1541817725">
    <w:abstractNumId w:val="19"/>
  </w:num>
  <w:num w:numId="15" w16cid:durableId="1405251209">
    <w:abstractNumId w:val="11"/>
  </w:num>
  <w:num w:numId="16" w16cid:durableId="337194236">
    <w:abstractNumId w:val="10"/>
  </w:num>
  <w:num w:numId="17" w16cid:durableId="2030448255">
    <w:abstractNumId w:val="18"/>
  </w:num>
  <w:num w:numId="18" w16cid:durableId="1092358344">
    <w:abstractNumId w:val="9"/>
  </w:num>
  <w:num w:numId="19" w16cid:durableId="974529204">
    <w:abstractNumId w:val="17"/>
  </w:num>
  <w:num w:numId="20" w16cid:durableId="1465809547">
    <w:abstractNumId w:val="15"/>
  </w:num>
  <w:num w:numId="21" w16cid:durableId="293754706">
    <w:abstractNumId w:val="5"/>
  </w:num>
  <w:num w:numId="22" w16cid:durableId="1998874935">
    <w:abstractNumId w:val="13"/>
  </w:num>
  <w:num w:numId="23" w16cid:durableId="8107571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63"/>
    <w:rsid w:val="000015B0"/>
    <w:rsid w:val="000042A6"/>
    <w:rsid w:val="00010D4A"/>
    <w:rsid w:val="00011047"/>
    <w:rsid w:val="0001307F"/>
    <w:rsid w:val="00013560"/>
    <w:rsid w:val="000139C4"/>
    <w:rsid w:val="00016D06"/>
    <w:rsid w:val="00016FCB"/>
    <w:rsid w:val="000176B8"/>
    <w:rsid w:val="000236CB"/>
    <w:rsid w:val="000246CD"/>
    <w:rsid w:val="00025019"/>
    <w:rsid w:val="00027043"/>
    <w:rsid w:val="000276C9"/>
    <w:rsid w:val="00032CC9"/>
    <w:rsid w:val="000337DA"/>
    <w:rsid w:val="00033B55"/>
    <w:rsid w:val="000354B3"/>
    <w:rsid w:val="00035961"/>
    <w:rsid w:val="0003601F"/>
    <w:rsid w:val="00036172"/>
    <w:rsid w:val="00040673"/>
    <w:rsid w:val="00040DA3"/>
    <w:rsid w:val="000428E7"/>
    <w:rsid w:val="00043877"/>
    <w:rsid w:val="00043ACD"/>
    <w:rsid w:val="0004753D"/>
    <w:rsid w:val="000508F7"/>
    <w:rsid w:val="00051855"/>
    <w:rsid w:val="00051A0C"/>
    <w:rsid w:val="00052D76"/>
    <w:rsid w:val="000531BA"/>
    <w:rsid w:val="00053A57"/>
    <w:rsid w:val="000547AE"/>
    <w:rsid w:val="00055871"/>
    <w:rsid w:val="000638C5"/>
    <w:rsid w:val="00063A6C"/>
    <w:rsid w:val="0006596D"/>
    <w:rsid w:val="00066628"/>
    <w:rsid w:val="000671CE"/>
    <w:rsid w:val="000677EC"/>
    <w:rsid w:val="000679A8"/>
    <w:rsid w:val="00070707"/>
    <w:rsid w:val="000707B2"/>
    <w:rsid w:val="00073786"/>
    <w:rsid w:val="000754EE"/>
    <w:rsid w:val="0008112A"/>
    <w:rsid w:val="00081AF3"/>
    <w:rsid w:val="00081C0A"/>
    <w:rsid w:val="00081D59"/>
    <w:rsid w:val="00083BF4"/>
    <w:rsid w:val="00084FA5"/>
    <w:rsid w:val="000876A5"/>
    <w:rsid w:val="0009358A"/>
    <w:rsid w:val="000941DE"/>
    <w:rsid w:val="00094F94"/>
    <w:rsid w:val="000952E6"/>
    <w:rsid w:val="000963CB"/>
    <w:rsid w:val="00096785"/>
    <w:rsid w:val="00097CBF"/>
    <w:rsid w:val="000A08AD"/>
    <w:rsid w:val="000A33F1"/>
    <w:rsid w:val="000A5234"/>
    <w:rsid w:val="000A5959"/>
    <w:rsid w:val="000B3785"/>
    <w:rsid w:val="000B42A1"/>
    <w:rsid w:val="000B4817"/>
    <w:rsid w:val="000B62D9"/>
    <w:rsid w:val="000B6B5B"/>
    <w:rsid w:val="000B724D"/>
    <w:rsid w:val="000C1E85"/>
    <w:rsid w:val="000C1FDB"/>
    <w:rsid w:val="000C3AD7"/>
    <w:rsid w:val="000C4578"/>
    <w:rsid w:val="000C50E6"/>
    <w:rsid w:val="000C5E3B"/>
    <w:rsid w:val="000C72A1"/>
    <w:rsid w:val="000D02E1"/>
    <w:rsid w:val="000D581A"/>
    <w:rsid w:val="000E15F7"/>
    <w:rsid w:val="000E4E1A"/>
    <w:rsid w:val="000E54D4"/>
    <w:rsid w:val="000E591B"/>
    <w:rsid w:val="000F545C"/>
    <w:rsid w:val="000F78C0"/>
    <w:rsid w:val="000F7C0B"/>
    <w:rsid w:val="0010037F"/>
    <w:rsid w:val="00103B5C"/>
    <w:rsid w:val="0010424A"/>
    <w:rsid w:val="00105E52"/>
    <w:rsid w:val="00107730"/>
    <w:rsid w:val="001102A6"/>
    <w:rsid w:val="0011197C"/>
    <w:rsid w:val="001172BF"/>
    <w:rsid w:val="0012170C"/>
    <w:rsid w:val="00122F7A"/>
    <w:rsid w:val="001249D3"/>
    <w:rsid w:val="0012561A"/>
    <w:rsid w:val="00130650"/>
    <w:rsid w:val="00130B8F"/>
    <w:rsid w:val="00131078"/>
    <w:rsid w:val="00133006"/>
    <w:rsid w:val="00133769"/>
    <w:rsid w:val="0013583A"/>
    <w:rsid w:val="0014702D"/>
    <w:rsid w:val="001472F0"/>
    <w:rsid w:val="0014753A"/>
    <w:rsid w:val="00147CB3"/>
    <w:rsid w:val="00153853"/>
    <w:rsid w:val="00154F78"/>
    <w:rsid w:val="0015648A"/>
    <w:rsid w:val="001566EF"/>
    <w:rsid w:val="00156EB0"/>
    <w:rsid w:val="0015726A"/>
    <w:rsid w:val="00164143"/>
    <w:rsid w:val="001651CE"/>
    <w:rsid w:val="0016717B"/>
    <w:rsid w:val="001702B9"/>
    <w:rsid w:val="001714DE"/>
    <w:rsid w:val="001718E3"/>
    <w:rsid w:val="0017258E"/>
    <w:rsid w:val="0017399C"/>
    <w:rsid w:val="001751B2"/>
    <w:rsid w:val="001779E1"/>
    <w:rsid w:val="0018007B"/>
    <w:rsid w:val="00180EB0"/>
    <w:rsid w:val="00181836"/>
    <w:rsid w:val="00184499"/>
    <w:rsid w:val="00187A1C"/>
    <w:rsid w:val="00191A0A"/>
    <w:rsid w:val="00197F3B"/>
    <w:rsid w:val="001A008D"/>
    <w:rsid w:val="001A4611"/>
    <w:rsid w:val="001A5867"/>
    <w:rsid w:val="001A60D5"/>
    <w:rsid w:val="001A62A6"/>
    <w:rsid w:val="001B0A30"/>
    <w:rsid w:val="001B0D6C"/>
    <w:rsid w:val="001B11B6"/>
    <w:rsid w:val="001B172B"/>
    <w:rsid w:val="001B6791"/>
    <w:rsid w:val="001C2C0C"/>
    <w:rsid w:val="001C36BD"/>
    <w:rsid w:val="001C4A07"/>
    <w:rsid w:val="001C66F5"/>
    <w:rsid w:val="001D249B"/>
    <w:rsid w:val="001D47AC"/>
    <w:rsid w:val="001D7BDB"/>
    <w:rsid w:val="001E36A8"/>
    <w:rsid w:val="001E3845"/>
    <w:rsid w:val="001E3D8F"/>
    <w:rsid w:val="001E50D8"/>
    <w:rsid w:val="001E51EE"/>
    <w:rsid w:val="001E7191"/>
    <w:rsid w:val="001F0099"/>
    <w:rsid w:val="001F0627"/>
    <w:rsid w:val="001F32C5"/>
    <w:rsid w:val="001F5ABB"/>
    <w:rsid w:val="0020192D"/>
    <w:rsid w:val="00201F7D"/>
    <w:rsid w:val="0020365F"/>
    <w:rsid w:val="002036C6"/>
    <w:rsid w:val="0020412B"/>
    <w:rsid w:val="002051B6"/>
    <w:rsid w:val="00212CA4"/>
    <w:rsid w:val="00213619"/>
    <w:rsid w:val="002140A3"/>
    <w:rsid w:val="00214BC5"/>
    <w:rsid w:val="002154E9"/>
    <w:rsid w:val="002171BE"/>
    <w:rsid w:val="0022277C"/>
    <w:rsid w:val="002236B2"/>
    <w:rsid w:val="0022381A"/>
    <w:rsid w:val="0022691F"/>
    <w:rsid w:val="00226FFA"/>
    <w:rsid w:val="00232102"/>
    <w:rsid w:val="00232525"/>
    <w:rsid w:val="00232E87"/>
    <w:rsid w:val="0023300E"/>
    <w:rsid w:val="0023453E"/>
    <w:rsid w:val="00237D38"/>
    <w:rsid w:val="002401C1"/>
    <w:rsid w:val="0024109F"/>
    <w:rsid w:val="00242D2C"/>
    <w:rsid w:val="00244828"/>
    <w:rsid w:val="00244D7D"/>
    <w:rsid w:val="00244DCD"/>
    <w:rsid w:val="0024626E"/>
    <w:rsid w:val="002470B7"/>
    <w:rsid w:val="00251A33"/>
    <w:rsid w:val="00254E29"/>
    <w:rsid w:val="00254F55"/>
    <w:rsid w:val="002556E8"/>
    <w:rsid w:val="00255BB2"/>
    <w:rsid w:val="00255D10"/>
    <w:rsid w:val="00257969"/>
    <w:rsid w:val="0026045B"/>
    <w:rsid w:val="00260624"/>
    <w:rsid w:val="00260F1B"/>
    <w:rsid w:val="00263566"/>
    <w:rsid w:val="002636A1"/>
    <w:rsid w:val="002656E8"/>
    <w:rsid w:val="00265B6D"/>
    <w:rsid w:val="00266791"/>
    <w:rsid w:val="00266A91"/>
    <w:rsid w:val="00270B0D"/>
    <w:rsid w:val="0027147D"/>
    <w:rsid w:val="002752FD"/>
    <w:rsid w:val="00277D2B"/>
    <w:rsid w:val="00280E2E"/>
    <w:rsid w:val="002850B6"/>
    <w:rsid w:val="00286C33"/>
    <w:rsid w:val="002905F5"/>
    <w:rsid w:val="00290BD5"/>
    <w:rsid w:val="0029156E"/>
    <w:rsid w:val="00292523"/>
    <w:rsid w:val="0029576E"/>
    <w:rsid w:val="00297A42"/>
    <w:rsid w:val="002A0B88"/>
    <w:rsid w:val="002A3048"/>
    <w:rsid w:val="002A32B2"/>
    <w:rsid w:val="002A339C"/>
    <w:rsid w:val="002A3855"/>
    <w:rsid w:val="002A686A"/>
    <w:rsid w:val="002A752F"/>
    <w:rsid w:val="002A7F88"/>
    <w:rsid w:val="002B01F0"/>
    <w:rsid w:val="002B26C3"/>
    <w:rsid w:val="002B39C9"/>
    <w:rsid w:val="002B3A45"/>
    <w:rsid w:val="002B6664"/>
    <w:rsid w:val="002C17D5"/>
    <w:rsid w:val="002C3133"/>
    <w:rsid w:val="002C54BB"/>
    <w:rsid w:val="002C559E"/>
    <w:rsid w:val="002C791D"/>
    <w:rsid w:val="002D10D6"/>
    <w:rsid w:val="002D42B7"/>
    <w:rsid w:val="002D79E3"/>
    <w:rsid w:val="002F0105"/>
    <w:rsid w:val="002F02E1"/>
    <w:rsid w:val="002F0E3B"/>
    <w:rsid w:val="002F316B"/>
    <w:rsid w:val="002F46EF"/>
    <w:rsid w:val="002F4757"/>
    <w:rsid w:val="002F47EE"/>
    <w:rsid w:val="002F48FC"/>
    <w:rsid w:val="00305307"/>
    <w:rsid w:val="0030699B"/>
    <w:rsid w:val="00310A76"/>
    <w:rsid w:val="00311913"/>
    <w:rsid w:val="00313D06"/>
    <w:rsid w:val="0031762F"/>
    <w:rsid w:val="003224DD"/>
    <w:rsid w:val="00322AA8"/>
    <w:rsid w:val="00324960"/>
    <w:rsid w:val="00325769"/>
    <w:rsid w:val="00325AE9"/>
    <w:rsid w:val="00326087"/>
    <w:rsid w:val="00332718"/>
    <w:rsid w:val="003369C3"/>
    <w:rsid w:val="003402AE"/>
    <w:rsid w:val="003429D1"/>
    <w:rsid w:val="00342E7B"/>
    <w:rsid w:val="00343A57"/>
    <w:rsid w:val="0034441E"/>
    <w:rsid w:val="00345371"/>
    <w:rsid w:val="00345DA4"/>
    <w:rsid w:val="003462F3"/>
    <w:rsid w:val="003463FE"/>
    <w:rsid w:val="00351BCB"/>
    <w:rsid w:val="00351FFE"/>
    <w:rsid w:val="00352B85"/>
    <w:rsid w:val="00353A3B"/>
    <w:rsid w:val="00353C07"/>
    <w:rsid w:val="00353DCC"/>
    <w:rsid w:val="003545B3"/>
    <w:rsid w:val="00355A82"/>
    <w:rsid w:val="003576E8"/>
    <w:rsid w:val="00357CF3"/>
    <w:rsid w:val="00360177"/>
    <w:rsid w:val="003621F3"/>
    <w:rsid w:val="00362664"/>
    <w:rsid w:val="003629F5"/>
    <w:rsid w:val="00370EC9"/>
    <w:rsid w:val="00371231"/>
    <w:rsid w:val="00372503"/>
    <w:rsid w:val="0037265C"/>
    <w:rsid w:val="003751A0"/>
    <w:rsid w:val="00376293"/>
    <w:rsid w:val="0037784C"/>
    <w:rsid w:val="00377CC7"/>
    <w:rsid w:val="00380009"/>
    <w:rsid w:val="0038052B"/>
    <w:rsid w:val="00382614"/>
    <w:rsid w:val="00392F74"/>
    <w:rsid w:val="00393222"/>
    <w:rsid w:val="003934DD"/>
    <w:rsid w:val="00394789"/>
    <w:rsid w:val="00395635"/>
    <w:rsid w:val="0039742F"/>
    <w:rsid w:val="0039766B"/>
    <w:rsid w:val="00397E73"/>
    <w:rsid w:val="003A0322"/>
    <w:rsid w:val="003A1408"/>
    <w:rsid w:val="003A14A7"/>
    <w:rsid w:val="003A2403"/>
    <w:rsid w:val="003A358B"/>
    <w:rsid w:val="003A5627"/>
    <w:rsid w:val="003B0203"/>
    <w:rsid w:val="003B0E8E"/>
    <w:rsid w:val="003B2EC9"/>
    <w:rsid w:val="003B456A"/>
    <w:rsid w:val="003B53A5"/>
    <w:rsid w:val="003B57FD"/>
    <w:rsid w:val="003B762A"/>
    <w:rsid w:val="003C2407"/>
    <w:rsid w:val="003C4BF1"/>
    <w:rsid w:val="003C5E61"/>
    <w:rsid w:val="003C7730"/>
    <w:rsid w:val="003D4BFF"/>
    <w:rsid w:val="003D566A"/>
    <w:rsid w:val="003D5BCA"/>
    <w:rsid w:val="003E067A"/>
    <w:rsid w:val="003E0ED5"/>
    <w:rsid w:val="003E2ACB"/>
    <w:rsid w:val="003E331D"/>
    <w:rsid w:val="003E3D68"/>
    <w:rsid w:val="003E6DC3"/>
    <w:rsid w:val="003F01B6"/>
    <w:rsid w:val="003F1164"/>
    <w:rsid w:val="003F1707"/>
    <w:rsid w:val="003F321A"/>
    <w:rsid w:val="003F45EE"/>
    <w:rsid w:val="003F4A3E"/>
    <w:rsid w:val="00400472"/>
    <w:rsid w:val="004011B9"/>
    <w:rsid w:val="00401C5A"/>
    <w:rsid w:val="004026F8"/>
    <w:rsid w:val="00403D39"/>
    <w:rsid w:val="00404B65"/>
    <w:rsid w:val="00404D01"/>
    <w:rsid w:val="00406D63"/>
    <w:rsid w:val="00410DCF"/>
    <w:rsid w:val="00412460"/>
    <w:rsid w:val="00414E8E"/>
    <w:rsid w:val="00416EA2"/>
    <w:rsid w:val="00417D95"/>
    <w:rsid w:val="00417FD5"/>
    <w:rsid w:val="0042372E"/>
    <w:rsid w:val="00424E00"/>
    <w:rsid w:val="0042519D"/>
    <w:rsid w:val="004256D9"/>
    <w:rsid w:val="00430070"/>
    <w:rsid w:val="004309AB"/>
    <w:rsid w:val="00433C80"/>
    <w:rsid w:val="00437057"/>
    <w:rsid w:val="004404C8"/>
    <w:rsid w:val="00440633"/>
    <w:rsid w:val="004409DF"/>
    <w:rsid w:val="00441C93"/>
    <w:rsid w:val="0044313F"/>
    <w:rsid w:val="00444BB3"/>
    <w:rsid w:val="004469FF"/>
    <w:rsid w:val="00450EB7"/>
    <w:rsid w:val="00452F1C"/>
    <w:rsid w:val="00453B4F"/>
    <w:rsid w:val="00454F8E"/>
    <w:rsid w:val="004558C5"/>
    <w:rsid w:val="004563C3"/>
    <w:rsid w:val="004563C9"/>
    <w:rsid w:val="0045665E"/>
    <w:rsid w:val="0045680D"/>
    <w:rsid w:val="00461D22"/>
    <w:rsid w:val="00462FF0"/>
    <w:rsid w:val="004639A6"/>
    <w:rsid w:val="004639C0"/>
    <w:rsid w:val="00463D38"/>
    <w:rsid w:val="00464463"/>
    <w:rsid w:val="0046505D"/>
    <w:rsid w:val="00467751"/>
    <w:rsid w:val="004678E5"/>
    <w:rsid w:val="0047058B"/>
    <w:rsid w:val="00472A05"/>
    <w:rsid w:val="004735EB"/>
    <w:rsid w:val="004739E0"/>
    <w:rsid w:val="00474A58"/>
    <w:rsid w:val="00474BFE"/>
    <w:rsid w:val="00477803"/>
    <w:rsid w:val="00477E19"/>
    <w:rsid w:val="00480418"/>
    <w:rsid w:val="004808A5"/>
    <w:rsid w:val="0048165B"/>
    <w:rsid w:val="004834DB"/>
    <w:rsid w:val="00483B99"/>
    <w:rsid w:val="0048463F"/>
    <w:rsid w:val="00485E69"/>
    <w:rsid w:val="004864A7"/>
    <w:rsid w:val="00486B29"/>
    <w:rsid w:val="00491213"/>
    <w:rsid w:val="004917D6"/>
    <w:rsid w:val="00494ACD"/>
    <w:rsid w:val="0049550E"/>
    <w:rsid w:val="0049734E"/>
    <w:rsid w:val="004A041F"/>
    <w:rsid w:val="004B2E04"/>
    <w:rsid w:val="004B38F9"/>
    <w:rsid w:val="004B462D"/>
    <w:rsid w:val="004B50B2"/>
    <w:rsid w:val="004B763E"/>
    <w:rsid w:val="004C0174"/>
    <w:rsid w:val="004C7683"/>
    <w:rsid w:val="004C7A60"/>
    <w:rsid w:val="004D0464"/>
    <w:rsid w:val="004D0A97"/>
    <w:rsid w:val="004D14FE"/>
    <w:rsid w:val="004D2819"/>
    <w:rsid w:val="004D49D3"/>
    <w:rsid w:val="004D533C"/>
    <w:rsid w:val="004D60AF"/>
    <w:rsid w:val="004D6F45"/>
    <w:rsid w:val="004D715F"/>
    <w:rsid w:val="004D728E"/>
    <w:rsid w:val="004E0244"/>
    <w:rsid w:val="004E11E8"/>
    <w:rsid w:val="004E3B43"/>
    <w:rsid w:val="004E4739"/>
    <w:rsid w:val="004F0A55"/>
    <w:rsid w:val="004F2767"/>
    <w:rsid w:val="004F5888"/>
    <w:rsid w:val="004F783E"/>
    <w:rsid w:val="00503DFB"/>
    <w:rsid w:val="0050458B"/>
    <w:rsid w:val="005046BD"/>
    <w:rsid w:val="00505C16"/>
    <w:rsid w:val="005078F0"/>
    <w:rsid w:val="005104EA"/>
    <w:rsid w:val="00511E6E"/>
    <w:rsid w:val="005129AA"/>
    <w:rsid w:val="0051568E"/>
    <w:rsid w:val="00517300"/>
    <w:rsid w:val="00520154"/>
    <w:rsid w:val="00521A69"/>
    <w:rsid w:val="00522228"/>
    <w:rsid w:val="0052493B"/>
    <w:rsid w:val="00525471"/>
    <w:rsid w:val="00525895"/>
    <w:rsid w:val="0053074B"/>
    <w:rsid w:val="005327D2"/>
    <w:rsid w:val="00532ECA"/>
    <w:rsid w:val="00533CBD"/>
    <w:rsid w:val="00534811"/>
    <w:rsid w:val="005364EE"/>
    <w:rsid w:val="00540800"/>
    <w:rsid w:val="00541ADC"/>
    <w:rsid w:val="00541AF3"/>
    <w:rsid w:val="0054497E"/>
    <w:rsid w:val="00544E9D"/>
    <w:rsid w:val="005451DA"/>
    <w:rsid w:val="00545CDB"/>
    <w:rsid w:val="0054736B"/>
    <w:rsid w:val="00550521"/>
    <w:rsid w:val="00554789"/>
    <w:rsid w:val="00555EC1"/>
    <w:rsid w:val="00556387"/>
    <w:rsid w:val="00557728"/>
    <w:rsid w:val="00557B0B"/>
    <w:rsid w:val="005610C4"/>
    <w:rsid w:val="00561707"/>
    <w:rsid w:val="00561978"/>
    <w:rsid w:val="00570776"/>
    <w:rsid w:val="00572881"/>
    <w:rsid w:val="005752F0"/>
    <w:rsid w:val="005774EC"/>
    <w:rsid w:val="00577D10"/>
    <w:rsid w:val="00581D61"/>
    <w:rsid w:val="00583363"/>
    <w:rsid w:val="005840B3"/>
    <w:rsid w:val="005848FE"/>
    <w:rsid w:val="0058613A"/>
    <w:rsid w:val="0058750B"/>
    <w:rsid w:val="00587BB4"/>
    <w:rsid w:val="00592FD8"/>
    <w:rsid w:val="00594ED8"/>
    <w:rsid w:val="005973DA"/>
    <w:rsid w:val="005A03C1"/>
    <w:rsid w:val="005A48C8"/>
    <w:rsid w:val="005A59FB"/>
    <w:rsid w:val="005A6977"/>
    <w:rsid w:val="005A6C00"/>
    <w:rsid w:val="005A7514"/>
    <w:rsid w:val="005A7873"/>
    <w:rsid w:val="005B0DBB"/>
    <w:rsid w:val="005B150A"/>
    <w:rsid w:val="005B17FC"/>
    <w:rsid w:val="005B2226"/>
    <w:rsid w:val="005B2382"/>
    <w:rsid w:val="005B5C7E"/>
    <w:rsid w:val="005C0258"/>
    <w:rsid w:val="005C5F32"/>
    <w:rsid w:val="005D2CD3"/>
    <w:rsid w:val="005D66B8"/>
    <w:rsid w:val="005D6949"/>
    <w:rsid w:val="005D6953"/>
    <w:rsid w:val="005E1475"/>
    <w:rsid w:val="005E149A"/>
    <w:rsid w:val="005E155A"/>
    <w:rsid w:val="005E2FDD"/>
    <w:rsid w:val="005E31CE"/>
    <w:rsid w:val="005E33BB"/>
    <w:rsid w:val="005E474E"/>
    <w:rsid w:val="005E481F"/>
    <w:rsid w:val="005E4F44"/>
    <w:rsid w:val="005E79AF"/>
    <w:rsid w:val="005F2BCF"/>
    <w:rsid w:val="005F41EB"/>
    <w:rsid w:val="005F69B8"/>
    <w:rsid w:val="005F70FA"/>
    <w:rsid w:val="006003E0"/>
    <w:rsid w:val="00602B5F"/>
    <w:rsid w:val="00606995"/>
    <w:rsid w:val="006129DB"/>
    <w:rsid w:val="006130E2"/>
    <w:rsid w:val="00613221"/>
    <w:rsid w:val="006145B2"/>
    <w:rsid w:val="00614DF1"/>
    <w:rsid w:val="006151B0"/>
    <w:rsid w:val="00617DF3"/>
    <w:rsid w:val="00620011"/>
    <w:rsid w:val="00623C5F"/>
    <w:rsid w:val="00624861"/>
    <w:rsid w:val="00625700"/>
    <w:rsid w:val="00626A6C"/>
    <w:rsid w:val="00631574"/>
    <w:rsid w:val="00632D6C"/>
    <w:rsid w:val="00634CA2"/>
    <w:rsid w:val="00635B85"/>
    <w:rsid w:val="00636BC0"/>
    <w:rsid w:val="00637669"/>
    <w:rsid w:val="006401D5"/>
    <w:rsid w:val="0064065B"/>
    <w:rsid w:val="00641BA6"/>
    <w:rsid w:val="00641D08"/>
    <w:rsid w:val="00641EF7"/>
    <w:rsid w:val="006426F0"/>
    <w:rsid w:val="006438CA"/>
    <w:rsid w:val="006443BB"/>
    <w:rsid w:val="00644694"/>
    <w:rsid w:val="006454AF"/>
    <w:rsid w:val="00646F35"/>
    <w:rsid w:val="00647820"/>
    <w:rsid w:val="0065126E"/>
    <w:rsid w:val="00651489"/>
    <w:rsid w:val="00652141"/>
    <w:rsid w:val="00653F0A"/>
    <w:rsid w:val="006561EF"/>
    <w:rsid w:val="006577F4"/>
    <w:rsid w:val="006616DF"/>
    <w:rsid w:val="0066219C"/>
    <w:rsid w:val="006664AC"/>
    <w:rsid w:val="00666C17"/>
    <w:rsid w:val="00670A07"/>
    <w:rsid w:val="006716FD"/>
    <w:rsid w:val="00672AF5"/>
    <w:rsid w:val="00673F9D"/>
    <w:rsid w:val="006758E2"/>
    <w:rsid w:val="00675AD2"/>
    <w:rsid w:val="00681473"/>
    <w:rsid w:val="00682E26"/>
    <w:rsid w:val="00682E3E"/>
    <w:rsid w:val="00685C3C"/>
    <w:rsid w:val="0068637B"/>
    <w:rsid w:val="00687ECE"/>
    <w:rsid w:val="00691CAF"/>
    <w:rsid w:val="006937F6"/>
    <w:rsid w:val="00693B6D"/>
    <w:rsid w:val="00693BCD"/>
    <w:rsid w:val="00693C21"/>
    <w:rsid w:val="006941CB"/>
    <w:rsid w:val="0069449C"/>
    <w:rsid w:val="00695554"/>
    <w:rsid w:val="006957E4"/>
    <w:rsid w:val="006973BA"/>
    <w:rsid w:val="006A08AF"/>
    <w:rsid w:val="006A0B10"/>
    <w:rsid w:val="006A1E42"/>
    <w:rsid w:val="006A3F3E"/>
    <w:rsid w:val="006A3F85"/>
    <w:rsid w:val="006A54FF"/>
    <w:rsid w:val="006A6B63"/>
    <w:rsid w:val="006A7079"/>
    <w:rsid w:val="006A7F1C"/>
    <w:rsid w:val="006B00D9"/>
    <w:rsid w:val="006B0695"/>
    <w:rsid w:val="006B360A"/>
    <w:rsid w:val="006B46EA"/>
    <w:rsid w:val="006B48E2"/>
    <w:rsid w:val="006B4993"/>
    <w:rsid w:val="006B49F1"/>
    <w:rsid w:val="006B6546"/>
    <w:rsid w:val="006C00C9"/>
    <w:rsid w:val="006C01F5"/>
    <w:rsid w:val="006C1ADB"/>
    <w:rsid w:val="006C2046"/>
    <w:rsid w:val="006C27E7"/>
    <w:rsid w:val="006C56D9"/>
    <w:rsid w:val="006C612E"/>
    <w:rsid w:val="006C66EB"/>
    <w:rsid w:val="006C6FAF"/>
    <w:rsid w:val="006C7B0F"/>
    <w:rsid w:val="006C7BFC"/>
    <w:rsid w:val="006D265D"/>
    <w:rsid w:val="006D28C3"/>
    <w:rsid w:val="006D6790"/>
    <w:rsid w:val="006D7F22"/>
    <w:rsid w:val="006E04AE"/>
    <w:rsid w:val="006E0747"/>
    <w:rsid w:val="006E1F1B"/>
    <w:rsid w:val="006E33D2"/>
    <w:rsid w:val="006E622F"/>
    <w:rsid w:val="006E7B3B"/>
    <w:rsid w:val="006F0054"/>
    <w:rsid w:val="006F1279"/>
    <w:rsid w:val="006F26BA"/>
    <w:rsid w:val="006F2B25"/>
    <w:rsid w:val="006F415E"/>
    <w:rsid w:val="006F5036"/>
    <w:rsid w:val="00700E44"/>
    <w:rsid w:val="00704C68"/>
    <w:rsid w:val="00705F4D"/>
    <w:rsid w:val="007064DF"/>
    <w:rsid w:val="00711527"/>
    <w:rsid w:val="007117EC"/>
    <w:rsid w:val="00713113"/>
    <w:rsid w:val="0071543A"/>
    <w:rsid w:val="00715D4D"/>
    <w:rsid w:val="00723A2E"/>
    <w:rsid w:val="007264F1"/>
    <w:rsid w:val="00726525"/>
    <w:rsid w:val="007303AC"/>
    <w:rsid w:val="00732C1A"/>
    <w:rsid w:val="00732F48"/>
    <w:rsid w:val="007336F6"/>
    <w:rsid w:val="00734849"/>
    <w:rsid w:val="00736A82"/>
    <w:rsid w:val="00741C03"/>
    <w:rsid w:val="00744029"/>
    <w:rsid w:val="007454A7"/>
    <w:rsid w:val="0074560D"/>
    <w:rsid w:val="007458D7"/>
    <w:rsid w:val="00745D25"/>
    <w:rsid w:val="007460FD"/>
    <w:rsid w:val="00751892"/>
    <w:rsid w:val="007519ED"/>
    <w:rsid w:val="00752D0F"/>
    <w:rsid w:val="0075324F"/>
    <w:rsid w:val="00755EAD"/>
    <w:rsid w:val="007625D4"/>
    <w:rsid w:val="00762B6D"/>
    <w:rsid w:val="007638CA"/>
    <w:rsid w:val="007646F9"/>
    <w:rsid w:val="00764987"/>
    <w:rsid w:val="00772A78"/>
    <w:rsid w:val="00773003"/>
    <w:rsid w:val="00782F48"/>
    <w:rsid w:val="0078443D"/>
    <w:rsid w:val="00784E76"/>
    <w:rsid w:val="0078542C"/>
    <w:rsid w:val="00785B7A"/>
    <w:rsid w:val="0078689C"/>
    <w:rsid w:val="007875F4"/>
    <w:rsid w:val="00791845"/>
    <w:rsid w:val="007927F7"/>
    <w:rsid w:val="0079589B"/>
    <w:rsid w:val="0079622F"/>
    <w:rsid w:val="007A243B"/>
    <w:rsid w:val="007A462D"/>
    <w:rsid w:val="007A5B00"/>
    <w:rsid w:val="007A7C6C"/>
    <w:rsid w:val="007B1136"/>
    <w:rsid w:val="007B3235"/>
    <w:rsid w:val="007B6A9B"/>
    <w:rsid w:val="007B70FE"/>
    <w:rsid w:val="007B7AD8"/>
    <w:rsid w:val="007B7D70"/>
    <w:rsid w:val="007C1CDB"/>
    <w:rsid w:val="007C3217"/>
    <w:rsid w:val="007C3574"/>
    <w:rsid w:val="007C3C83"/>
    <w:rsid w:val="007C603D"/>
    <w:rsid w:val="007C6BD0"/>
    <w:rsid w:val="007C6D8B"/>
    <w:rsid w:val="007C789C"/>
    <w:rsid w:val="007D1473"/>
    <w:rsid w:val="007D1808"/>
    <w:rsid w:val="007D2C5D"/>
    <w:rsid w:val="007D3A35"/>
    <w:rsid w:val="007D4E74"/>
    <w:rsid w:val="007D6BFD"/>
    <w:rsid w:val="007D7AE9"/>
    <w:rsid w:val="007E0722"/>
    <w:rsid w:val="007E1F1B"/>
    <w:rsid w:val="007E4744"/>
    <w:rsid w:val="007E532D"/>
    <w:rsid w:val="007E6D8C"/>
    <w:rsid w:val="007F0E33"/>
    <w:rsid w:val="007F16CA"/>
    <w:rsid w:val="007F216A"/>
    <w:rsid w:val="007F2328"/>
    <w:rsid w:val="007F501D"/>
    <w:rsid w:val="007F6988"/>
    <w:rsid w:val="00804113"/>
    <w:rsid w:val="00805375"/>
    <w:rsid w:val="00805879"/>
    <w:rsid w:val="008079BC"/>
    <w:rsid w:val="00807DC6"/>
    <w:rsid w:val="00810A2D"/>
    <w:rsid w:val="00810F61"/>
    <w:rsid w:val="00811E34"/>
    <w:rsid w:val="0081377D"/>
    <w:rsid w:val="00813A3C"/>
    <w:rsid w:val="00814606"/>
    <w:rsid w:val="00815189"/>
    <w:rsid w:val="008154E1"/>
    <w:rsid w:val="0081647F"/>
    <w:rsid w:val="00816CD5"/>
    <w:rsid w:val="00817D9D"/>
    <w:rsid w:val="00817F0B"/>
    <w:rsid w:val="0082045B"/>
    <w:rsid w:val="00820BF2"/>
    <w:rsid w:val="00821DAD"/>
    <w:rsid w:val="0082214E"/>
    <w:rsid w:val="00822A7F"/>
    <w:rsid w:val="00824A49"/>
    <w:rsid w:val="00825F39"/>
    <w:rsid w:val="008269A9"/>
    <w:rsid w:val="00827F33"/>
    <w:rsid w:val="00833D80"/>
    <w:rsid w:val="0083519A"/>
    <w:rsid w:val="00836CFA"/>
    <w:rsid w:val="0084106D"/>
    <w:rsid w:val="008417DD"/>
    <w:rsid w:val="00844094"/>
    <w:rsid w:val="008501E3"/>
    <w:rsid w:val="008502B2"/>
    <w:rsid w:val="00852E5D"/>
    <w:rsid w:val="008544E9"/>
    <w:rsid w:val="00854EE5"/>
    <w:rsid w:val="008550B4"/>
    <w:rsid w:val="0085536F"/>
    <w:rsid w:val="00856F4A"/>
    <w:rsid w:val="00860321"/>
    <w:rsid w:val="00860906"/>
    <w:rsid w:val="00861FF9"/>
    <w:rsid w:val="0086341A"/>
    <w:rsid w:val="00864E68"/>
    <w:rsid w:val="00865FC4"/>
    <w:rsid w:val="008667B6"/>
    <w:rsid w:val="008712E0"/>
    <w:rsid w:val="008735CD"/>
    <w:rsid w:val="00873AD5"/>
    <w:rsid w:val="00873F20"/>
    <w:rsid w:val="00874441"/>
    <w:rsid w:val="00882C21"/>
    <w:rsid w:val="00883E8E"/>
    <w:rsid w:val="008879CD"/>
    <w:rsid w:val="00887B3B"/>
    <w:rsid w:val="008902D7"/>
    <w:rsid w:val="00890301"/>
    <w:rsid w:val="0089375A"/>
    <w:rsid w:val="008946A5"/>
    <w:rsid w:val="00895595"/>
    <w:rsid w:val="00896131"/>
    <w:rsid w:val="00896BB8"/>
    <w:rsid w:val="00897639"/>
    <w:rsid w:val="008A3021"/>
    <w:rsid w:val="008A3648"/>
    <w:rsid w:val="008A6127"/>
    <w:rsid w:val="008B0D7E"/>
    <w:rsid w:val="008B116F"/>
    <w:rsid w:val="008B1BA7"/>
    <w:rsid w:val="008B21F5"/>
    <w:rsid w:val="008B26C8"/>
    <w:rsid w:val="008B2B22"/>
    <w:rsid w:val="008B490C"/>
    <w:rsid w:val="008B4EC7"/>
    <w:rsid w:val="008B5EE2"/>
    <w:rsid w:val="008B68CD"/>
    <w:rsid w:val="008B6995"/>
    <w:rsid w:val="008B75C6"/>
    <w:rsid w:val="008B793F"/>
    <w:rsid w:val="008C01A4"/>
    <w:rsid w:val="008C0826"/>
    <w:rsid w:val="008C0F9D"/>
    <w:rsid w:val="008C24A1"/>
    <w:rsid w:val="008C37A3"/>
    <w:rsid w:val="008C3FCB"/>
    <w:rsid w:val="008C6259"/>
    <w:rsid w:val="008D16C1"/>
    <w:rsid w:val="008D30E0"/>
    <w:rsid w:val="008D36E9"/>
    <w:rsid w:val="008D4260"/>
    <w:rsid w:val="008D427B"/>
    <w:rsid w:val="008D4EBE"/>
    <w:rsid w:val="008D6609"/>
    <w:rsid w:val="008D7337"/>
    <w:rsid w:val="008D7506"/>
    <w:rsid w:val="008D7E21"/>
    <w:rsid w:val="008E08B4"/>
    <w:rsid w:val="008E167E"/>
    <w:rsid w:val="008E1FDA"/>
    <w:rsid w:val="008E302B"/>
    <w:rsid w:val="008E397C"/>
    <w:rsid w:val="008E5413"/>
    <w:rsid w:val="008E6C10"/>
    <w:rsid w:val="008E7A56"/>
    <w:rsid w:val="008F0E04"/>
    <w:rsid w:val="008F19AF"/>
    <w:rsid w:val="008F1BC9"/>
    <w:rsid w:val="008F7DEA"/>
    <w:rsid w:val="00901323"/>
    <w:rsid w:val="00902A3A"/>
    <w:rsid w:val="0090406F"/>
    <w:rsid w:val="009054D9"/>
    <w:rsid w:val="0091032E"/>
    <w:rsid w:val="00914474"/>
    <w:rsid w:val="0091558B"/>
    <w:rsid w:val="00920D75"/>
    <w:rsid w:val="0092138F"/>
    <w:rsid w:val="00921ACE"/>
    <w:rsid w:val="00922F46"/>
    <w:rsid w:val="009264BA"/>
    <w:rsid w:val="00926F2A"/>
    <w:rsid w:val="00927A0D"/>
    <w:rsid w:val="0093037F"/>
    <w:rsid w:val="009310AB"/>
    <w:rsid w:val="00934A0B"/>
    <w:rsid w:val="00936826"/>
    <w:rsid w:val="0094065B"/>
    <w:rsid w:val="00940740"/>
    <w:rsid w:val="00941A1A"/>
    <w:rsid w:val="00942321"/>
    <w:rsid w:val="009423A0"/>
    <w:rsid w:val="009451AF"/>
    <w:rsid w:val="009457EA"/>
    <w:rsid w:val="00946A79"/>
    <w:rsid w:val="00947F16"/>
    <w:rsid w:val="00950713"/>
    <w:rsid w:val="00950E6A"/>
    <w:rsid w:val="009515B9"/>
    <w:rsid w:val="00953952"/>
    <w:rsid w:val="00954FE6"/>
    <w:rsid w:val="00955314"/>
    <w:rsid w:val="009557C3"/>
    <w:rsid w:val="009627CA"/>
    <w:rsid w:val="00964117"/>
    <w:rsid w:val="009647BF"/>
    <w:rsid w:val="0096545C"/>
    <w:rsid w:val="009658BA"/>
    <w:rsid w:val="00965ACC"/>
    <w:rsid w:val="00965EC6"/>
    <w:rsid w:val="0096721B"/>
    <w:rsid w:val="00967FA0"/>
    <w:rsid w:val="009734B1"/>
    <w:rsid w:val="009755B2"/>
    <w:rsid w:val="0097595F"/>
    <w:rsid w:val="00976C6E"/>
    <w:rsid w:val="00981744"/>
    <w:rsid w:val="009841A6"/>
    <w:rsid w:val="00984761"/>
    <w:rsid w:val="009851CA"/>
    <w:rsid w:val="00985CD0"/>
    <w:rsid w:val="00985CDD"/>
    <w:rsid w:val="00986853"/>
    <w:rsid w:val="00990CD5"/>
    <w:rsid w:val="00991980"/>
    <w:rsid w:val="0099203D"/>
    <w:rsid w:val="009A5673"/>
    <w:rsid w:val="009B03F9"/>
    <w:rsid w:val="009B0871"/>
    <w:rsid w:val="009B1BFB"/>
    <w:rsid w:val="009B2D2F"/>
    <w:rsid w:val="009B3B18"/>
    <w:rsid w:val="009B3DF1"/>
    <w:rsid w:val="009B54D9"/>
    <w:rsid w:val="009C0249"/>
    <w:rsid w:val="009C0295"/>
    <w:rsid w:val="009C1065"/>
    <w:rsid w:val="009C12D9"/>
    <w:rsid w:val="009C6732"/>
    <w:rsid w:val="009D0063"/>
    <w:rsid w:val="009D381A"/>
    <w:rsid w:val="009D4069"/>
    <w:rsid w:val="009E0D59"/>
    <w:rsid w:val="009E16AD"/>
    <w:rsid w:val="009E5468"/>
    <w:rsid w:val="009E5880"/>
    <w:rsid w:val="009F0C73"/>
    <w:rsid w:val="009F658E"/>
    <w:rsid w:val="009F6FC2"/>
    <w:rsid w:val="00A000BB"/>
    <w:rsid w:val="00A008C9"/>
    <w:rsid w:val="00A01413"/>
    <w:rsid w:val="00A02F5B"/>
    <w:rsid w:val="00A04041"/>
    <w:rsid w:val="00A05727"/>
    <w:rsid w:val="00A07815"/>
    <w:rsid w:val="00A07D9C"/>
    <w:rsid w:val="00A1146C"/>
    <w:rsid w:val="00A1244E"/>
    <w:rsid w:val="00A12848"/>
    <w:rsid w:val="00A131CD"/>
    <w:rsid w:val="00A13735"/>
    <w:rsid w:val="00A13A55"/>
    <w:rsid w:val="00A14B50"/>
    <w:rsid w:val="00A177DB"/>
    <w:rsid w:val="00A224E7"/>
    <w:rsid w:val="00A271CF"/>
    <w:rsid w:val="00A27707"/>
    <w:rsid w:val="00A30F9F"/>
    <w:rsid w:val="00A31744"/>
    <w:rsid w:val="00A31BB6"/>
    <w:rsid w:val="00A35432"/>
    <w:rsid w:val="00A40543"/>
    <w:rsid w:val="00A4117D"/>
    <w:rsid w:val="00A4312E"/>
    <w:rsid w:val="00A44738"/>
    <w:rsid w:val="00A45F63"/>
    <w:rsid w:val="00A5080B"/>
    <w:rsid w:val="00A519D0"/>
    <w:rsid w:val="00A519DE"/>
    <w:rsid w:val="00A5408E"/>
    <w:rsid w:val="00A54E1B"/>
    <w:rsid w:val="00A579C3"/>
    <w:rsid w:val="00A6052F"/>
    <w:rsid w:val="00A626BD"/>
    <w:rsid w:val="00A63270"/>
    <w:rsid w:val="00A63946"/>
    <w:rsid w:val="00A6398B"/>
    <w:rsid w:val="00A64FA9"/>
    <w:rsid w:val="00A65907"/>
    <w:rsid w:val="00A66868"/>
    <w:rsid w:val="00A702C6"/>
    <w:rsid w:val="00A72378"/>
    <w:rsid w:val="00A72D50"/>
    <w:rsid w:val="00A7357E"/>
    <w:rsid w:val="00A76295"/>
    <w:rsid w:val="00A7730D"/>
    <w:rsid w:val="00A80D24"/>
    <w:rsid w:val="00A81B7E"/>
    <w:rsid w:val="00A81BE1"/>
    <w:rsid w:val="00A8499D"/>
    <w:rsid w:val="00A855C4"/>
    <w:rsid w:val="00A8651D"/>
    <w:rsid w:val="00A87C3A"/>
    <w:rsid w:val="00A90074"/>
    <w:rsid w:val="00A90C3F"/>
    <w:rsid w:val="00A91727"/>
    <w:rsid w:val="00A927DC"/>
    <w:rsid w:val="00A92980"/>
    <w:rsid w:val="00A958DD"/>
    <w:rsid w:val="00A96439"/>
    <w:rsid w:val="00AA0013"/>
    <w:rsid w:val="00AA17AE"/>
    <w:rsid w:val="00AA2142"/>
    <w:rsid w:val="00AA23D8"/>
    <w:rsid w:val="00AA2C92"/>
    <w:rsid w:val="00AA3E2D"/>
    <w:rsid w:val="00AA660E"/>
    <w:rsid w:val="00AB1825"/>
    <w:rsid w:val="00AB22DA"/>
    <w:rsid w:val="00AB35BE"/>
    <w:rsid w:val="00AB5962"/>
    <w:rsid w:val="00AB6486"/>
    <w:rsid w:val="00AC0A0E"/>
    <w:rsid w:val="00AC36A1"/>
    <w:rsid w:val="00AC7C0A"/>
    <w:rsid w:val="00AD36A4"/>
    <w:rsid w:val="00AD41A5"/>
    <w:rsid w:val="00AD44F0"/>
    <w:rsid w:val="00AD5E55"/>
    <w:rsid w:val="00AE059A"/>
    <w:rsid w:val="00AE13FB"/>
    <w:rsid w:val="00AE17D4"/>
    <w:rsid w:val="00AE1E1F"/>
    <w:rsid w:val="00AE2109"/>
    <w:rsid w:val="00AE39A2"/>
    <w:rsid w:val="00AE557A"/>
    <w:rsid w:val="00AE7316"/>
    <w:rsid w:val="00AE74CE"/>
    <w:rsid w:val="00AF174B"/>
    <w:rsid w:val="00AF240E"/>
    <w:rsid w:val="00AF3BE5"/>
    <w:rsid w:val="00AF47A4"/>
    <w:rsid w:val="00AF4EBF"/>
    <w:rsid w:val="00AF5CDA"/>
    <w:rsid w:val="00AF6704"/>
    <w:rsid w:val="00B01029"/>
    <w:rsid w:val="00B010DC"/>
    <w:rsid w:val="00B015D0"/>
    <w:rsid w:val="00B01FB8"/>
    <w:rsid w:val="00B039A2"/>
    <w:rsid w:val="00B076CA"/>
    <w:rsid w:val="00B10054"/>
    <w:rsid w:val="00B113B1"/>
    <w:rsid w:val="00B12977"/>
    <w:rsid w:val="00B1310D"/>
    <w:rsid w:val="00B140C8"/>
    <w:rsid w:val="00B15082"/>
    <w:rsid w:val="00B16E9B"/>
    <w:rsid w:val="00B227A8"/>
    <w:rsid w:val="00B24236"/>
    <w:rsid w:val="00B314B2"/>
    <w:rsid w:val="00B36FEF"/>
    <w:rsid w:val="00B40391"/>
    <w:rsid w:val="00B41898"/>
    <w:rsid w:val="00B41E30"/>
    <w:rsid w:val="00B41F7D"/>
    <w:rsid w:val="00B42FEE"/>
    <w:rsid w:val="00B431D2"/>
    <w:rsid w:val="00B44051"/>
    <w:rsid w:val="00B44A81"/>
    <w:rsid w:val="00B44D1B"/>
    <w:rsid w:val="00B45A2A"/>
    <w:rsid w:val="00B464C7"/>
    <w:rsid w:val="00B47B10"/>
    <w:rsid w:val="00B47CAA"/>
    <w:rsid w:val="00B47D88"/>
    <w:rsid w:val="00B50B6A"/>
    <w:rsid w:val="00B52D5D"/>
    <w:rsid w:val="00B556F1"/>
    <w:rsid w:val="00B55C33"/>
    <w:rsid w:val="00B57F68"/>
    <w:rsid w:val="00B6070F"/>
    <w:rsid w:val="00B632CD"/>
    <w:rsid w:val="00B636D3"/>
    <w:rsid w:val="00B63817"/>
    <w:rsid w:val="00B63D5D"/>
    <w:rsid w:val="00B64D10"/>
    <w:rsid w:val="00B665A0"/>
    <w:rsid w:val="00B70506"/>
    <w:rsid w:val="00B70941"/>
    <w:rsid w:val="00B70DC7"/>
    <w:rsid w:val="00B714CC"/>
    <w:rsid w:val="00B72687"/>
    <w:rsid w:val="00B743E0"/>
    <w:rsid w:val="00B74ACB"/>
    <w:rsid w:val="00B77CDD"/>
    <w:rsid w:val="00B80780"/>
    <w:rsid w:val="00B808F5"/>
    <w:rsid w:val="00B8090C"/>
    <w:rsid w:val="00B80987"/>
    <w:rsid w:val="00B84C84"/>
    <w:rsid w:val="00B922E4"/>
    <w:rsid w:val="00B9410E"/>
    <w:rsid w:val="00B94B1A"/>
    <w:rsid w:val="00B95A82"/>
    <w:rsid w:val="00B972C8"/>
    <w:rsid w:val="00BB032D"/>
    <w:rsid w:val="00BB047D"/>
    <w:rsid w:val="00BB6EA4"/>
    <w:rsid w:val="00BB74D7"/>
    <w:rsid w:val="00BB7D3B"/>
    <w:rsid w:val="00BC303D"/>
    <w:rsid w:val="00BD46F2"/>
    <w:rsid w:val="00BD50B7"/>
    <w:rsid w:val="00BD57D3"/>
    <w:rsid w:val="00BD7F88"/>
    <w:rsid w:val="00BE1A4E"/>
    <w:rsid w:val="00BE3545"/>
    <w:rsid w:val="00BE683E"/>
    <w:rsid w:val="00BE7A4D"/>
    <w:rsid w:val="00BE7BFF"/>
    <w:rsid w:val="00BF0C1C"/>
    <w:rsid w:val="00BF1F07"/>
    <w:rsid w:val="00BF315A"/>
    <w:rsid w:val="00BF3376"/>
    <w:rsid w:val="00BF3A20"/>
    <w:rsid w:val="00BF5128"/>
    <w:rsid w:val="00BF5E7D"/>
    <w:rsid w:val="00BF5E97"/>
    <w:rsid w:val="00BF5FFA"/>
    <w:rsid w:val="00BF720F"/>
    <w:rsid w:val="00BF7DAB"/>
    <w:rsid w:val="00C006D2"/>
    <w:rsid w:val="00C02D3D"/>
    <w:rsid w:val="00C03F21"/>
    <w:rsid w:val="00C10992"/>
    <w:rsid w:val="00C10FD5"/>
    <w:rsid w:val="00C1226A"/>
    <w:rsid w:val="00C1333B"/>
    <w:rsid w:val="00C14A6C"/>
    <w:rsid w:val="00C17E32"/>
    <w:rsid w:val="00C2027E"/>
    <w:rsid w:val="00C20E49"/>
    <w:rsid w:val="00C21B69"/>
    <w:rsid w:val="00C23A2B"/>
    <w:rsid w:val="00C23B03"/>
    <w:rsid w:val="00C2448E"/>
    <w:rsid w:val="00C24E64"/>
    <w:rsid w:val="00C27A89"/>
    <w:rsid w:val="00C27AC8"/>
    <w:rsid w:val="00C31253"/>
    <w:rsid w:val="00C347B0"/>
    <w:rsid w:val="00C35172"/>
    <w:rsid w:val="00C36B8A"/>
    <w:rsid w:val="00C40060"/>
    <w:rsid w:val="00C402DE"/>
    <w:rsid w:val="00C40C2D"/>
    <w:rsid w:val="00C51358"/>
    <w:rsid w:val="00C55825"/>
    <w:rsid w:val="00C6003A"/>
    <w:rsid w:val="00C60386"/>
    <w:rsid w:val="00C603D6"/>
    <w:rsid w:val="00C707BB"/>
    <w:rsid w:val="00C70D49"/>
    <w:rsid w:val="00C71B2F"/>
    <w:rsid w:val="00C727DC"/>
    <w:rsid w:val="00C8097D"/>
    <w:rsid w:val="00C8130C"/>
    <w:rsid w:val="00C8292D"/>
    <w:rsid w:val="00C8298E"/>
    <w:rsid w:val="00C85EAC"/>
    <w:rsid w:val="00C860F8"/>
    <w:rsid w:val="00C86868"/>
    <w:rsid w:val="00C87034"/>
    <w:rsid w:val="00C9298F"/>
    <w:rsid w:val="00C953F8"/>
    <w:rsid w:val="00C9571F"/>
    <w:rsid w:val="00C9648B"/>
    <w:rsid w:val="00C96F0B"/>
    <w:rsid w:val="00C979EB"/>
    <w:rsid w:val="00CA08DF"/>
    <w:rsid w:val="00CA1285"/>
    <w:rsid w:val="00CA2AE0"/>
    <w:rsid w:val="00CA4024"/>
    <w:rsid w:val="00CA64E2"/>
    <w:rsid w:val="00CA7003"/>
    <w:rsid w:val="00CB0BA6"/>
    <w:rsid w:val="00CB1824"/>
    <w:rsid w:val="00CB1B61"/>
    <w:rsid w:val="00CB1D0D"/>
    <w:rsid w:val="00CB2C1E"/>
    <w:rsid w:val="00CB2F9D"/>
    <w:rsid w:val="00CB40F9"/>
    <w:rsid w:val="00CB4381"/>
    <w:rsid w:val="00CB5AA4"/>
    <w:rsid w:val="00CB5B74"/>
    <w:rsid w:val="00CB5F25"/>
    <w:rsid w:val="00CB603C"/>
    <w:rsid w:val="00CC02D2"/>
    <w:rsid w:val="00CC10B0"/>
    <w:rsid w:val="00CC1EA8"/>
    <w:rsid w:val="00CC3074"/>
    <w:rsid w:val="00CC32A1"/>
    <w:rsid w:val="00CC3C74"/>
    <w:rsid w:val="00CC536C"/>
    <w:rsid w:val="00CC72DA"/>
    <w:rsid w:val="00CC72ED"/>
    <w:rsid w:val="00CC72EF"/>
    <w:rsid w:val="00CC7BB5"/>
    <w:rsid w:val="00CD0C70"/>
    <w:rsid w:val="00CD0DBF"/>
    <w:rsid w:val="00CD1234"/>
    <w:rsid w:val="00CD1A8D"/>
    <w:rsid w:val="00CD27D9"/>
    <w:rsid w:val="00CD4B7B"/>
    <w:rsid w:val="00CE212A"/>
    <w:rsid w:val="00CE2617"/>
    <w:rsid w:val="00CE6C57"/>
    <w:rsid w:val="00CE6F61"/>
    <w:rsid w:val="00CE772F"/>
    <w:rsid w:val="00CF0264"/>
    <w:rsid w:val="00CF02DE"/>
    <w:rsid w:val="00CF088B"/>
    <w:rsid w:val="00CF0A06"/>
    <w:rsid w:val="00CF10ED"/>
    <w:rsid w:val="00CF50FE"/>
    <w:rsid w:val="00CF53CD"/>
    <w:rsid w:val="00CF5BD6"/>
    <w:rsid w:val="00CF67D3"/>
    <w:rsid w:val="00CF72D3"/>
    <w:rsid w:val="00D0120A"/>
    <w:rsid w:val="00D022CA"/>
    <w:rsid w:val="00D02E4C"/>
    <w:rsid w:val="00D0319A"/>
    <w:rsid w:val="00D03A55"/>
    <w:rsid w:val="00D04688"/>
    <w:rsid w:val="00D04ACB"/>
    <w:rsid w:val="00D0543D"/>
    <w:rsid w:val="00D05986"/>
    <w:rsid w:val="00D076DA"/>
    <w:rsid w:val="00D07821"/>
    <w:rsid w:val="00D07C8D"/>
    <w:rsid w:val="00D127E4"/>
    <w:rsid w:val="00D13201"/>
    <w:rsid w:val="00D140FA"/>
    <w:rsid w:val="00D16AA6"/>
    <w:rsid w:val="00D17837"/>
    <w:rsid w:val="00D204B2"/>
    <w:rsid w:val="00D22911"/>
    <w:rsid w:val="00D2366D"/>
    <w:rsid w:val="00D24740"/>
    <w:rsid w:val="00D254EA"/>
    <w:rsid w:val="00D26FB5"/>
    <w:rsid w:val="00D30726"/>
    <w:rsid w:val="00D3594A"/>
    <w:rsid w:val="00D378B5"/>
    <w:rsid w:val="00D37F6D"/>
    <w:rsid w:val="00D409E3"/>
    <w:rsid w:val="00D411AB"/>
    <w:rsid w:val="00D46717"/>
    <w:rsid w:val="00D473EC"/>
    <w:rsid w:val="00D55777"/>
    <w:rsid w:val="00D60E2D"/>
    <w:rsid w:val="00D61434"/>
    <w:rsid w:val="00D61845"/>
    <w:rsid w:val="00D61A8C"/>
    <w:rsid w:val="00D62952"/>
    <w:rsid w:val="00D64B8E"/>
    <w:rsid w:val="00D655FF"/>
    <w:rsid w:val="00D66A21"/>
    <w:rsid w:val="00D66E8D"/>
    <w:rsid w:val="00D678F5"/>
    <w:rsid w:val="00D720E5"/>
    <w:rsid w:val="00D724E1"/>
    <w:rsid w:val="00D75700"/>
    <w:rsid w:val="00D75DF3"/>
    <w:rsid w:val="00D7744B"/>
    <w:rsid w:val="00D77529"/>
    <w:rsid w:val="00D85555"/>
    <w:rsid w:val="00D87B34"/>
    <w:rsid w:val="00D91A3E"/>
    <w:rsid w:val="00D94E9A"/>
    <w:rsid w:val="00D958FB"/>
    <w:rsid w:val="00DA2D90"/>
    <w:rsid w:val="00DA4FB7"/>
    <w:rsid w:val="00DB044F"/>
    <w:rsid w:val="00DB0462"/>
    <w:rsid w:val="00DB05D7"/>
    <w:rsid w:val="00DB2B0B"/>
    <w:rsid w:val="00DB3634"/>
    <w:rsid w:val="00DB3BFA"/>
    <w:rsid w:val="00DB4764"/>
    <w:rsid w:val="00DB57F4"/>
    <w:rsid w:val="00DB70DA"/>
    <w:rsid w:val="00DC0512"/>
    <w:rsid w:val="00DC084A"/>
    <w:rsid w:val="00DC2BD9"/>
    <w:rsid w:val="00DC63BA"/>
    <w:rsid w:val="00DC6FA5"/>
    <w:rsid w:val="00DD44EE"/>
    <w:rsid w:val="00DD46BE"/>
    <w:rsid w:val="00DD4FCE"/>
    <w:rsid w:val="00DD6262"/>
    <w:rsid w:val="00DE11A6"/>
    <w:rsid w:val="00DE62A3"/>
    <w:rsid w:val="00DE7372"/>
    <w:rsid w:val="00DF0AD7"/>
    <w:rsid w:val="00DF0DA4"/>
    <w:rsid w:val="00DF2ADB"/>
    <w:rsid w:val="00DF4384"/>
    <w:rsid w:val="00DF4983"/>
    <w:rsid w:val="00DF4F0B"/>
    <w:rsid w:val="00DF4FAE"/>
    <w:rsid w:val="00DF6269"/>
    <w:rsid w:val="00DF7E64"/>
    <w:rsid w:val="00E00223"/>
    <w:rsid w:val="00E012A6"/>
    <w:rsid w:val="00E029E9"/>
    <w:rsid w:val="00E045B5"/>
    <w:rsid w:val="00E0665C"/>
    <w:rsid w:val="00E11D29"/>
    <w:rsid w:val="00E1358F"/>
    <w:rsid w:val="00E138B8"/>
    <w:rsid w:val="00E139BD"/>
    <w:rsid w:val="00E14526"/>
    <w:rsid w:val="00E154A5"/>
    <w:rsid w:val="00E16BA6"/>
    <w:rsid w:val="00E20CFC"/>
    <w:rsid w:val="00E22CBA"/>
    <w:rsid w:val="00E2748F"/>
    <w:rsid w:val="00E31C54"/>
    <w:rsid w:val="00E354C8"/>
    <w:rsid w:val="00E41067"/>
    <w:rsid w:val="00E423BF"/>
    <w:rsid w:val="00E42F01"/>
    <w:rsid w:val="00E4670B"/>
    <w:rsid w:val="00E47BDA"/>
    <w:rsid w:val="00E52448"/>
    <w:rsid w:val="00E5308D"/>
    <w:rsid w:val="00E536C2"/>
    <w:rsid w:val="00E549EC"/>
    <w:rsid w:val="00E60BF5"/>
    <w:rsid w:val="00E62B34"/>
    <w:rsid w:val="00E6456E"/>
    <w:rsid w:val="00E663AA"/>
    <w:rsid w:val="00E67938"/>
    <w:rsid w:val="00E7175D"/>
    <w:rsid w:val="00E71BC1"/>
    <w:rsid w:val="00E72F20"/>
    <w:rsid w:val="00E73966"/>
    <w:rsid w:val="00E74E33"/>
    <w:rsid w:val="00E75840"/>
    <w:rsid w:val="00E77AF7"/>
    <w:rsid w:val="00E83C11"/>
    <w:rsid w:val="00E83FE4"/>
    <w:rsid w:val="00E856FE"/>
    <w:rsid w:val="00E859F4"/>
    <w:rsid w:val="00E85CF4"/>
    <w:rsid w:val="00E866BA"/>
    <w:rsid w:val="00E906E5"/>
    <w:rsid w:val="00E91731"/>
    <w:rsid w:val="00E935A2"/>
    <w:rsid w:val="00E9400B"/>
    <w:rsid w:val="00E950D9"/>
    <w:rsid w:val="00E97300"/>
    <w:rsid w:val="00EA2B47"/>
    <w:rsid w:val="00EA3447"/>
    <w:rsid w:val="00EA4F57"/>
    <w:rsid w:val="00EA50F6"/>
    <w:rsid w:val="00EA6532"/>
    <w:rsid w:val="00EA7C2F"/>
    <w:rsid w:val="00EB0E28"/>
    <w:rsid w:val="00EB3754"/>
    <w:rsid w:val="00EB3FA5"/>
    <w:rsid w:val="00EB4718"/>
    <w:rsid w:val="00EB4766"/>
    <w:rsid w:val="00EB4821"/>
    <w:rsid w:val="00EB762E"/>
    <w:rsid w:val="00EC0B1A"/>
    <w:rsid w:val="00EC2338"/>
    <w:rsid w:val="00EC47E5"/>
    <w:rsid w:val="00EC6379"/>
    <w:rsid w:val="00EC79CD"/>
    <w:rsid w:val="00EC7DA1"/>
    <w:rsid w:val="00ED07D8"/>
    <w:rsid w:val="00ED1B93"/>
    <w:rsid w:val="00ED4A32"/>
    <w:rsid w:val="00ED66C4"/>
    <w:rsid w:val="00EE02C1"/>
    <w:rsid w:val="00EE24B2"/>
    <w:rsid w:val="00EE372B"/>
    <w:rsid w:val="00EE4762"/>
    <w:rsid w:val="00EE63D8"/>
    <w:rsid w:val="00EE739C"/>
    <w:rsid w:val="00EF0359"/>
    <w:rsid w:val="00EF051A"/>
    <w:rsid w:val="00EF0F88"/>
    <w:rsid w:val="00EF10DB"/>
    <w:rsid w:val="00EF34F3"/>
    <w:rsid w:val="00EF5768"/>
    <w:rsid w:val="00EF585B"/>
    <w:rsid w:val="00EF7172"/>
    <w:rsid w:val="00F0019C"/>
    <w:rsid w:val="00F01784"/>
    <w:rsid w:val="00F02A31"/>
    <w:rsid w:val="00F02EC7"/>
    <w:rsid w:val="00F0407D"/>
    <w:rsid w:val="00F048B7"/>
    <w:rsid w:val="00F04E78"/>
    <w:rsid w:val="00F05257"/>
    <w:rsid w:val="00F1246D"/>
    <w:rsid w:val="00F12609"/>
    <w:rsid w:val="00F1265E"/>
    <w:rsid w:val="00F1295E"/>
    <w:rsid w:val="00F1385F"/>
    <w:rsid w:val="00F20A08"/>
    <w:rsid w:val="00F218E4"/>
    <w:rsid w:val="00F23431"/>
    <w:rsid w:val="00F23C6E"/>
    <w:rsid w:val="00F23FF4"/>
    <w:rsid w:val="00F27799"/>
    <w:rsid w:val="00F30502"/>
    <w:rsid w:val="00F318B7"/>
    <w:rsid w:val="00F3229E"/>
    <w:rsid w:val="00F33BC2"/>
    <w:rsid w:val="00F3438B"/>
    <w:rsid w:val="00F34A1E"/>
    <w:rsid w:val="00F34B94"/>
    <w:rsid w:val="00F34C1F"/>
    <w:rsid w:val="00F362C5"/>
    <w:rsid w:val="00F408B3"/>
    <w:rsid w:val="00F42281"/>
    <w:rsid w:val="00F4246F"/>
    <w:rsid w:val="00F43DCA"/>
    <w:rsid w:val="00F445E7"/>
    <w:rsid w:val="00F450BB"/>
    <w:rsid w:val="00F52732"/>
    <w:rsid w:val="00F52A90"/>
    <w:rsid w:val="00F52EAB"/>
    <w:rsid w:val="00F53873"/>
    <w:rsid w:val="00F53ECE"/>
    <w:rsid w:val="00F57509"/>
    <w:rsid w:val="00F6221F"/>
    <w:rsid w:val="00F624D2"/>
    <w:rsid w:val="00F62646"/>
    <w:rsid w:val="00F65528"/>
    <w:rsid w:val="00F67D47"/>
    <w:rsid w:val="00F7667B"/>
    <w:rsid w:val="00F76DC0"/>
    <w:rsid w:val="00F77913"/>
    <w:rsid w:val="00F80DC0"/>
    <w:rsid w:val="00F80ECD"/>
    <w:rsid w:val="00F8135E"/>
    <w:rsid w:val="00F9091C"/>
    <w:rsid w:val="00F91E0D"/>
    <w:rsid w:val="00F93123"/>
    <w:rsid w:val="00F949B3"/>
    <w:rsid w:val="00FA1889"/>
    <w:rsid w:val="00FA2386"/>
    <w:rsid w:val="00FA2DA3"/>
    <w:rsid w:val="00FA3318"/>
    <w:rsid w:val="00FA46C8"/>
    <w:rsid w:val="00FA5CA2"/>
    <w:rsid w:val="00FA7916"/>
    <w:rsid w:val="00FB0028"/>
    <w:rsid w:val="00FB0577"/>
    <w:rsid w:val="00FB0B65"/>
    <w:rsid w:val="00FB4A59"/>
    <w:rsid w:val="00FB56A9"/>
    <w:rsid w:val="00FB58EE"/>
    <w:rsid w:val="00FB7670"/>
    <w:rsid w:val="00FC297C"/>
    <w:rsid w:val="00FC3C77"/>
    <w:rsid w:val="00FC628F"/>
    <w:rsid w:val="00FC773D"/>
    <w:rsid w:val="00FD2851"/>
    <w:rsid w:val="00FD30E0"/>
    <w:rsid w:val="00FD719D"/>
    <w:rsid w:val="00FD7FA2"/>
    <w:rsid w:val="00FE00B3"/>
    <w:rsid w:val="00FE06F7"/>
    <w:rsid w:val="00FE0E70"/>
    <w:rsid w:val="00FE4B7E"/>
    <w:rsid w:val="00FE6567"/>
    <w:rsid w:val="00FF0E21"/>
    <w:rsid w:val="00FF1900"/>
    <w:rsid w:val="00FF3AFA"/>
    <w:rsid w:val="00FF3BB8"/>
    <w:rsid w:val="00FF47E7"/>
    <w:rsid w:val="00FF6192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52C31"/>
  <w15:docId w15:val="{49143DCE-698C-4D23-9E57-D4051FDE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A1"/>
  </w:style>
  <w:style w:type="paragraph" w:styleId="Heading1">
    <w:name w:val="heading 1"/>
    <w:basedOn w:val="Normal"/>
    <w:next w:val="Normal"/>
    <w:link w:val="Heading1Char"/>
    <w:uiPriority w:val="9"/>
    <w:qFormat/>
    <w:rsid w:val="006A5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CB"/>
  </w:style>
  <w:style w:type="paragraph" w:styleId="Footer">
    <w:name w:val="footer"/>
    <w:basedOn w:val="Normal"/>
    <w:link w:val="FooterChar"/>
    <w:uiPriority w:val="99"/>
    <w:unhideWhenUsed/>
    <w:rsid w:val="00B7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CB"/>
  </w:style>
  <w:style w:type="character" w:customStyle="1" w:styleId="apple-converted-space">
    <w:name w:val="apple-converted-space"/>
    <w:basedOn w:val="DefaultParagraphFont"/>
    <w:rsid w:val="00244DCD"/>
  </w:style>
  <w:style w:type="paragraph" w:styleId="ListParagraph">
    <w:name w:val="List Paragraph"/>
    <w:basedOn w:val="Normal"/>
    <w:uiPriority w:val="34"/>
    <w:qFormat/>
    <w:rsid w:val="00836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BC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1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F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5C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3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5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54F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3648"/>
    <w:pPr>
      <w:spacing w:after="100"/>
    </w:pPr>
    <w:rPr>
      <w:rFonts w:eastAsiaTheme="minorEastAsia" w:cs="Times New Roman"/>
      <w:b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A54F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236CB"/>
    <w:pPr>
      <w:spacing w:after="100" w:line="360" w:lineRule="auto"/>
      <w:ind w:left="446"/>
      <w:jc w:val="both"/>
    </w:pPr>
    <w:rPr>
      <w:rFonts w:ascii="Times New Roman" w:eastAsiaTheme="minorEastAsia" w:hAnsi="Times New Roman" w:cs="Times New Roman"/>
      <w:sz w:val="24"/>
      <w:szCs w:val="24"/>
      <w:lang w:val="bg-BG"/>
    </w:rPr>
  </w:style>
  <w:style w:type="paragraph" w:styleId="Revision">
    <w:name w:val="Revision"/>
    <w:hidden/>
    <w:uiPriority w:val="99"/>
    <w:semiHidden/>
    <w:rsid w:val="0010424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1647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6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forms/4ZxxzClyKYJWGlgH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\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81-48B1-B878-DEF555D11E91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81-48B1-B878-DEF555D11E91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A81-48B1-B878-DEF555D11E9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Sheet4!$O$10:$O$12</c:f>
              <c:strCache>
                <c:ptCount val="3"/>
                <c:pt idx="0">
                  <c:v>До 30 години</c:v>
                </c:pt>
                <c:pt idx="1">
                  <c:v>30 до 40 години</c:v>
                </c:pt>
                <c:pt idx="2">
                  <c:v>Над 40 години</c:v>
                </c:pt>
              </c:strCache>
            </c:strRef>
          </c:cat>
          <c:val>
            <c:numRef>
              <c:f>Sheet4!$P$10:$P$12</c:f>
              <c:numCache>
                <c:formatCode>General</c:formatCode>
                <c:ptCount val="3"/>
                <c:pt idx="0">
                  <c:v>21</c:v>
                </c:pt>
                <c:pt idx="1">
                  <c:v>43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81-48B1-B878-DEF555D11E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AF3-4927-93D5-6E8171676F26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AF3-4927-93D5-6E8171676F26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AF3-4927-93D5-6E8171676F2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Sheet4!$S$10:$S$11</c:f>
              <c:strCache>
                <c:ptCount val="2"/>
                <c:pt idx="0">
                  <c:v>Мъже</c:v>
                </c:pt>
                <c:pt idx="1">
                  <c:v>Жени</c:v>
                </c:pt>
              </c:strCache>
            </c:strRef>
          </c:cat>
          <c:val>
            <c:numRef>
              <c:f>Sheet4!$T$10:$T$11</c:f>
              <c:numCache>
                <c:formatCode>General</c:formatCode>
                <c:ptCount val="2"/>
                <c:pt idx="0">
                  <c:v>51</c:v>
                </c:pt>
                <c:pt idx="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AF3-4927-93D5-6E8171676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0654-3638-4399-A2FA-F5037FB4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45</Pages>
  <Words>11114</Words>
  <Characters>63353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Metodi Simeonov</dc:creator>
  <cp:lastModifiedBy>Metodi Simeonov</cp:lastModifiedBy>
  <cp:revision>152</cp:revision>
  <cp:lastPrinted>2021-03-01T07:13:00Z</cp:lastPrinted>
  <dcterms:created xsi:type="dcterms:W3CDTF">2021-04-24T19:46:00Z</dcterms:created>
  <dcterms:modified xsi:type="dcterms:W3CDTF">2022-07-13T04:52:00Z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2021-04-09T07:34:20Z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08068699-ece7-4c3b-960a-c30279238f66</vt:lpwstr>
  </property>
  <property fmtid="{D5CDD505-2E9C-101B-9397-08002B2CF9AE}" pid="8" name="MSIP_Label_50a58a55-8d55-4c7b-aa85-1ae890a4cc64_ContentBits">
    <vt:lpwstr>0</vt:lpwstr>
  </property>
</Properties>
</file>