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11"/>
        <w:gridCol w:w="1504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-2.15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(0.66)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domainegend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domainiafric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domainideolrep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domainigend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(0.12)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domainlifesat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domainnegaffect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domainposaffect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parameters_coded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Method.complex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covidconditional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CounterFactual_Presence_Final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n_domains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team_discipline.datasci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team_discipline.SBsci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(0.65)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Multidisciplinary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team_size.coded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(0.13)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team_education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subexpert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(0.10)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Domain_Publications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 **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cantSplit/>
          <w:trHeight w:val="66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previous_tournament.coded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 *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(0.17)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905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(team_name)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120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1940.35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2074.97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    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cantSplit/>
          <w:trHeight w:val="670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continuous predictors are mean-centered and scaled by 2 standard deviations. 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2022-05-06T08:50:25Z</dcterms:modified>
  <cp:category/>
</cp:coreProperties>
</file>