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711"/>
        <w:gridCol w:w="1504"/>
      </w:tblGrid>
      <w:tr>
        <w:trPr>
          <w:cantSplit/>
          <w:trHeight w:val="625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-2.15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domaineasian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domainegend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domainiafric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domainideoldem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domainideolrep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domainigend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domainlifesat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domainnegaffect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domainpolar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domainposaffect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parameters_coded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Method.complex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covidconditional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CounterFactual_Presence_Final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n_domains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team_discipline.datasci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team_discipline.SBsci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(0.65)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Multidisciplinary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team_size.coded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subexpert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Domain_Publications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previous_tournament.coded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905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(team_name)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120   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1940.35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2074.97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    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    </w:t>
            </w:r>
          </w:p>
        </w:tc>
      </w:tr>
      <w:tr>
        <w:trPr>
          <w:cantSplit/>
          <w:trHeight w:val="670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continuous predictors are mean-centered and scaled by 2 standard deviations. Standard errors are heteroskedasticity robust. 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2022-05-15T14:51:39Z</dcterms:modified>
  <cp:category/>
</cp:coreProperties>
</file>