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黑体" w:hAnsi="黑体" w:eastAsia="黑体"/>
          <w:b/>
          <w:sz w:val="36"/>
        </w:rPr>
        <w:t>面向 AI 调用的学说知识资产化：方法、四语料复现与定义分层</w:t>
      </w:r>
    </w:p>
    <w:p>
      <w:pPr>
        <w:ind w:firstLine="420"/>
      </w:pPr>
      <w:r>
        <w:rPr>
          <w:rFonts w:ascii="宋体" w:hAnsi="宋体" w:eastAsia="宋体"/>
          <w:b/>
          <w:sz w:val="21"/>
        </w:rPr>
        <w:t>作者</w:t>
      </w:r>
      <w:r>
        <w:rPr>
          <w:rFonts w:ascii="宋体" w:hAnsi="宋体" w:eastAsia="宋体"/>
          <w:sz w:val="21"/>
        </w:rPr>
        <w:t>：元意识（重庆）人工智能科技有限公司 · MCAI 研究组</w:t>
      </w:r>
    </w:p>
    <w:p>
      <w:pPr>
        <w:ind w:firstLine="420"/>
      </w:pPr>
      <w:r>
        <w:rPr>
          <w:rFonts w:ascii="宋体" w:hAnsi="宋体" w:eastAsia="宋体"/>
          <w:b/>
          <w:sz w:val="21"/>
        </w:rPr>
        <w:t>版本</w:t>
      </w:r>
      <w:r>
        <w:rPr>
          <w:rFonts w:ascii="宋体" w:hAnsi="宋体" w:eastAsia="宋体"/>
          <w:sz w:val="21"/>
        </w:rPr>
        <w:t>：预印本 v1.1 · 2026-10-31</w:t>
      </w:r>
    </w:p>
    <w:p>
      <w:pPr>
        <w:ind w:firstLine="420"/>
      </w:pPr>
      <w:r>
        <w:rPr>
          <w:rFonts w:ascii="宋体" w:hAnsi="宋体" w:eastAsia="宋体"/>
          <w:b/>
          <w:sz w:val="21"/>
        </w:rPr>
        <w:t>摘要</w:t>
      </w:r>
      <w:r>
        <w:rPr>
          <w:rFonts w:ascii="宋体" w:hAnsi="宋体" w:eastAsia="宋体"/>
          <w:sz w:val="21"/>
        </w:rPr>
        <w:t>：大语言模型在回答非主流学说时，常出现三类偏差：未收录而按字面猜测、以同名概念替换原概念、以及似是而非的混合表述。本文提出一套把思想学说转化为可被 AI 与 Agent 调用的知识资产的方法，包含四个环节：术语抽取与多源冲突裁定、问答的人工撰写、发布前的质量门槛、以及多形态分发（软件包、MCP 接口、开放数据集、结构化站点与 DOI）。方法首先在元意识学说上完成端到端实现，构建了含 64 个概念、122 组标准问答、270 条概念关系与 213 条原文引证的知识库；随后在《孙子兵法》《荀子·正名》《道德经》三份公共领域文本上复现，分别得到 13、12、10 个概念，引证核验均为 100%。复现暴露了四类规则缺口：无词表文本需先建立「术语—原句」对照；中文数字开头与单字术语需要有条件放行；无定义句的文本必须把原文句与编者释义分层。本文给出相应修订，并讨论版本差异对引文对齐的影响。</w:t>
      </w:r>
    </w:p>
    <w:p>
      <w:pPr>
        <w:ind w:firstLine="420"/>
      </w:pPr>
      <w:r>
        <w:rPr>
          <w:rFonts w:ascii="宋体" w:hAnsi="宋体" w:eastAsia="宋体"/>
          <w:b/>
          <w:sz w:val="21"/>
        </w:rPr>
        <w:t>关键词</w:t>
      </w:r>
      <w:r>
        <w:rPr>
          <w:rFonts w:ascii="宋体" w:hAnsi="宋体" w:eastAsia="宋体"/>
          <w:sz w:val="21"/>
        </w:rPr>
        <w:t>：知识资产；学说数字化；模型上下文协议；知识图谱；数字人文</w:t>
      </w:r>
    </w:p>
    <w:p>
      <w:pPr>
        <w:spacing w:before="240" w:after="160"/>
      </w:pPr>
      <w:r>
        <w:rPr>
          <w:rFonts w:ascii="黑体" w:hAnsi="黑体" w:eastAsia="黑体"/>
          <w:b/>
          <w:sz w:val="28"/>
        </w:rPr>
        <w:t>1 引言</w:t>
      </w:r>
    </w:p>
    <w:p>
      <w:pPr>
        <w:ind w:firstLine="420"/>
      </w:pPr>
      <w:r>
        <w:rPr>
          <w:rFonts w:ascii="宋体" w:hAnsi="宋体" w:eastAsia="宋体"/>
          <w:sz w:val="21"/>
        </w:rPr>
        <w:t>大语言模型对某一学说的回答质量，取决于该学说在其训练语料与检索范围内的呈现方式。对于尚未进入主流语料的学说，常见三类偏差：</w:t>
      </w:r>
    </w:p>
    <w:p>
      <w:pPr>
        <w:pStyle w:val="ListNumber"/>
      </w:pPr>
      <w:r>
        <w:rPr>
          <w:rFonts w:ascii="宋体" w:hAnsi="宋体" w:eastAsia="宋体"/>
          <w:b/>
          <w:sz w:val="21"/>
        </w:rPr>
        <w:t>未收录</w:t>
      </w:r>
      <w:r>
        <w:rPr>
          <w:rFonts w:ascii="宋体" w:hAnsi="宋体" w:eastAsia="宋体"/>
          <w:sz w:val="21"/>
        </w:rPr>
        <w:t>：模型未接触过该学说，按字面语义猜测；</w:t>
      </w:r>
    </w:p>
    <w:p>
      <w:pPr>
        <w:pStyle w:val="ListNumber"/>
      </w:pPr>
      <w:r>
        <w:rPr>
          <w:rFonts w:ascii="宋体" w:hAnsi="宋体" w:eastAsia="宋体"/>
          <w:b/>
          <w:sz w:val="21"/>
        </w:rPr>
        <w:t>语义替换</w:t>
      </w:r>
      <w:r>
        <w:rPr>
          <w:rFonts w:ascii="宋体" w:hAnsi="宋体" w:eastAsia="宋体"/>
          <w:sz w:val="21"/>
        </w:rPr>
        <w:t>：模型以同名或近名概念替换原概念，例如把「元意识」理解为心理学的 meta-awareness；</w:t>
      </w:r>
    </w:p>
    <w:p>
      <w:pPr>
        <w:pStyle w:val="ListNumber"/>
      </w:pPr>
      <w:r>
        <w:rPr>
          <w:rFonts w:ascii="宋体" w:hAnsi="宋体" w:eastAsia="宋体"/>
          <w:b/>
          <w:sz w:val="21"/>
        </w:rPr>
        <w:t>混合表述</w:t>
      </w:r>
      <w:r>
        <w:rPr>
          <w:rFonts w:ascii="宋体" w:hAnsi="宋体" w:eastAsia="宋体"/>
          <w:sz w:val="21"/>
        </w:rPr>
        <w:t>：模型给出似是而非的答案，读者难以区分哪部分来自原文、哪部分是模型补充。</w:t>
      </w:r>
    </w:p>
    <w:p>
      <w:pPr>
        <w:ind w:firstLine="420"/>
      </w:pPr>
      <w:r>
        <w:rPr>
          <w:rFonts w:ascii="宋体" w:hAnsi="宋体" w:eastAsia="宋体"/>
          <w:sz w:val="21"/>
        </w:rPr>
        <w:t>第三类最难识别。其本质不是模型能力不足，而是缺少一个机器可读、可调用、可追溯的入口。</w:t>
      </w:r>
    </w:p>
    <w:p>
      <w:pPr>
        <w:ind w:firstLine="420"/>
      </w:pPr>
      <w:r>
        <w:rPr>
          <w:rFonts w:ascii="宋体" w:hAnsi="宋体" w:eastAsia="宋体"/>
          <w:sz w:val="21"/>
        </w:rPr>
        <w:t>本文的主张是：与其期待模型「记住」某一学说，不如把学说工程化为可被调用的知识资产，使模型在需要时能够检索、引用并回查出处。</w:t>
      </w:r>
    </w:p>
    <w:p>
      <w:pPr>
        <w:ind w:firstLine="420"/>
      </w:pPr>
      <w:r>
        <w:rPr>
          <w:rFonts w:ascii="宋体" w:hAnsi="宋体" w:eastAsia="宋体"/>
          <w:sz w:val="21"/>
        </w:rPr>
        <w:t>本文的贡献有三点：其一，把转化路径写成可执行流程；其二，在四个语料上完成端到端复现；其三，给出「定义分层」与「术语形态」两组规则，用于处理无定义句的文本与单字术语。</w:t>
      </w:r>
    </w:p>
    <w:p>
      <w:pPr>
        <w:spacing w:before="240" w:after="160"/>
      </w:pPr>
      <w:r>
        <w:rPr>
          <w:rFonts w:ascii="黑体" w:hAnsi="黑体" w:eastAsia="黑体"/>
          <w:b/>
          <w:sz w:val="28"/>
        </w:rPr>
        <w:t>2 相关工作</w:t>
      </w:r>
    </w:p>
    <w:p>
      <w:pPr>
        <w:ind w:firstLine="420"/>
      </w:pPr>
      <w:r>
        <w:rPr>
          <w:rFonts w:ascii="宋体" w:hAnsi="宋体" w:eastAsia="宋体"/>
          <w:sz w:val="21"/>
        </w:rPr>
        <w:t xml:space="preserve">知识组织领域已有成熟实践：本体与知识图谱用于表达概念及其关系；Schema.org 提供 </w:t>
      </w:r>
      <w:r>
        <w:rPr>
          <w:rFonts w:ascii="Consolas" w:hAnsi="Consolas"/>
          <w:sz w:val="19"/>
        </w:rPr>
        <w:t>DefinedTerm</w:t>
      </w:r>
      <w:r>
        <w:rPr>
          <w:rFonts w:ascii="宋体" w:hAnsi="宋体" w:eastAsia="宋体"/>
          <w:sz w:val="21"/>
        </w:rPr>
        <w:t>、</w:t>
      </w:r>
      <w:r>
        <w:rPr>
          <w:rFonts w:ascii="Consolas" w:hAnsi="Consolas"/>
          <w:sz w:val="19"/>
        </w:rPr>
        <w:t>FAQPage</w:t>
      </w:r>
      <w:r>
        <w:rPr>
          <w:rFonts w:ascii="宋体" w:hAnsi="宋体" w:eastAsia="宋体"/>
          <w:sz w:val="21"/>
        </w:rPr>
        <w:t>、</w:t>
      </w:r>
      <w:r>
        <w:rPr>
          <w:rFonts w:ascii="Consolas" w:hAnsi="Consolas"/>
          <w:sz w:val="19"/>
        </w:rPr>
        <w:t>Dataset</w:t>
      </w:r>
      <w:r>
        <w:rPr>
          <w:rFonts w:ascii="宋体" w:hAnsi="宋体" w:eastAsia="宋体"/>
          <w:sz w:val="21"/>
        </w:rPr>
        <w:t xml:space="preserve"> 等结构化标记；</w:t>
      </w:r>
      <w:r>
        <w:rPr>
          <w:rFonts w:ascii="Consolas" w:hAnsi="Consolas"/>
          <w:sz w:val="19"/>
        </w:rPr>
        <w:t>llms.txt</w:t>
      </w:r>
      <w:r>
        <w:rPr>
          <w:rFonts w:ascii="宋体" w:hAnsi="宋体" w:eastAsia="宋体"/>
          <w:sz w:val="21"/>
        </w:rPr>
        <w:t xml:space="preserve"> 为语言模型提供站点索引；模型上下文协议（MCP）为 AI 应用提供标准化的工具调用接口。上述工作分别解决了「如何表达」「如何标记」「如何索引」「如何调用」，但较少讨论：</w:t>
      </w:r>
      <w:r>
        <w:rPr>
          <w:rFonts w:ascii="宋体" w:hAnsi="宋体" w:eastAsia="宋体"/>
          <w:b/>
          <w:sz w:val="21"/>
        </w:rPr>
        <w:t>一套原创学说如何从原始文本，稳定地转化为上述形态，并保持术语一致性。</w:t>
      </w:r>
    </w:p>
    <w:p>
      <w:pPr>
        <w:ind w:firstLine="420"/>
      </w:pPr>
      <w:r>
        <w:rPr>
          <w:rFonts w:ascii="宋体" w:hAnsi="宋体" w:eastAsia="宋体"/>
          <w:sz w:val="21"/>
        </w:rPr>
        <w:t>本文的贡献在于把这条转化路径写成可执行的流程，并以四个语料给出实现与复现。</w:t>
      </w:r>
    </w:p>
    <w:p>
      <w:pPr>
        <w:spacing w:before="240" w:after="160"/>
      </w:pPr>
      <w:r>
        <w:rPr>
          <w:rFonts w:ascii="黑体" w:hAnsi="黑体" w:eastAsia="黑体"/>
          <w:b/>
          <w:sz w:val="28"/>
        </w:rPr>
        <w:t>3 方法</w:t>
      </w:r>
    </w:p>
    <w:p>
      <w:pPr>
        <w:ind w:firstLine="420"/>
      </w:pPr>
      <w:r>
        <w:rPr>
          <w:rFonts w:ascii="宋体" w:hAnsi="宋体" w:eastAsia="宋体"/>
          <w:sz w:val="21"/>
        </w:rPr>
        <w:t>方法分为四个环节。</w:t>
      </w:r>
    </w:p>
    <w:p>
      <w:pPr>
        <w:spacing w:before="240" w:after="160"/>
      </w:pPr>
      <w:r>
        <w:rPr>
          <w:rFonts w:ascii="黑体" w:hAnsi="黑体" w:eastAsia="黑体"/>
          <w:b/>
          <w:sz w:val="24"/>
        </w:rPr>
        <w:t>3.1 术语抽取与冲突裁定</w:t>
      </w:r>
    </w:p>
    <w:p>
      <w:pPr>
        <w:pStyle w:val="ListBullet"/>
      </w:pPr>
      <w:r>
        <w:rPr>
          <w:rFonts w:ascii="宋体" w:hAnsi="宋体" w:eastAsia="宋体"/>
          <w:sz w:val="21"/>
        </w:rPr>
        <w:t>仅从词表类与模型类文档抽取定义，叙事文本只作为引证；</w:t>
      </w:r>
    </w:p>
    <w:p>
      <w:pPr>
        <w:pStyle w:val="ListBullet"/>
      </w:pPr>
      <w:r>
        <w:rPr>
          <w:rFonts w:ascii="宋体" w:hAnsi="宋体" w:eastAsia="宋体"/>
          <w:sz w:val="21"/>
        </w:rPr>
        <w:t>同一术语多源定义时，按文档优先级选主分支，其余保留为来源；相似度低于阈值记为冲突，进入人工裁定；</w:t>
      </w:r>
    </w:p>
    <w:p>
      <w:pPr>
        <w:pStyle w:val="ListBullet"/>
      </w:pPr>
      <w:r>
        <w:rPr>
          <w:rFonts w:ascii="宋体" w:hAnsi="宋体" w:eastAsia="宋体"/>
          <w:sz w:val="21"/>
        </w:rPr>
        <w:t>正名不得作为别名，避免别名反向吞并正名；</w:t>
      </w:r>
    </w:p>
    <w:p>
      <w:pPr>
        <w:pStyle w:val="ListBullet"/>
      </w:pPr>
      <w:r>
        <w:rPr>
          <w:rFonts w:ascii="宋体" w:hAnsi="宋体" w:eastAsia="宋体"/>
          <w:sz w:val="21"/>
        </w:rPr>
        <w:t>建立禁止项清单（人物、机构、商业信息），在抽取、引证、问答与质检四处执行；</w:t>
      </w:r>
    </w:p>
    <w:p>
      <w:pPr>
        <w:pStyle w:val="ListBullet"/>
      </w:pPr>
      <w:r>
        <w:rPr>
          <w:rFonts w:ascii="宋体" w:hAnsi="宋体" w:eastAsia="宋体"/>
          <w:sz w:val="21"/>
        </w:rPr>
        <w:t>无现成词表的文本，先建立「术语—原句」对照表，再进入抽取；</w:t>
      </w:r>
    </w:p>
    <w:p>
      <w:pPr>
        <w:pStyle w:val="ListBullet"/>
      </w:pPr>
      <w:r>
        <w:rPr>
          <w:rFonts w:ascii="宋体" w:hAnsi="宋体" w:eastAsia="宋体"/>
          <w:sz w:val="21"/>
        </w:rPr>
        <w:t>允许中文数字开头的术语（如「五事」「九地」），只拒绝「数字 + 分隔符」的编号行；</w:t>
      </w:r>
    </w:p>
    <w:p>
      <w:pPr>
        <w:pStyle w:val="ListBullet"/>
      </w:pPr>
      <w:r>
        <w:rPr>
          <w:rFonts w:ascii="宋体" w:hAnsi="宋体" w:eastAsia="宋体"/>
          <w:sz w:val="21"/>
        </w:rPr>
        <w:t>允许单字术语（如「性」「名」），但必须在人工分类中登记。</w:t>
      </w:r>
    </w:p>
    <w:p>
      <w:pPr>
        <w:spacing w:before="240" w:after="160"/>
      </w:pPr>
      <w:r>
        <w:rPr>
          <w:rFonts w:ascii="黑体" w:hAnsi="黑体" w:eastAsia="黑体"/>
          <w:b/>
          <w:sz w:val="24"/>
        </w:rPr>
        <w:t>3.2 定义分层</w:t>
      </w:r>
    </w:p>
    <w:p>
      <w:pPr>
        <w:ind w:firstLine="420"/>
      </w:pPr>
      <w:r>
        <w:rPr>
          <w:rFonts w:ascii="宋体" w:hAnsi="宋体" w:eastAsia="宋体"/>
          <w:sz w:val="21"/>
        </w:rPr>
        <w:t>有定义句的文本，</w:t>
      </w:r>
      <w:r>
        <w:rPr>
          <w:rFonts w:ascii="Consolas" w:hAnsi="Consolas"/>
          <w:sz w:val="19"/>
        </w:rPr>
        <w:t>definition</w:t>
      </w:r>
      <w:r>
        <w:rPr>
          <w:rFonts w:ascii="宋体" w:hAnsi="宋体" w:eastAsia="宋体"/>
          <w:sz w:val="21"/>
        </w:rPr>
        <w:t xml:space="preserve"> 直接取原文，逐字可核验。无定义句的文本（如《道德经》），任何「定义」都是后人的解释，因此必须分层：</w:t>
      </w:r>
    </w:p>
    <w:p>
      <w:pPr>
        <w:pStyle w:val="ListBullet"/>
      </w:pPr>
      <w:r>
        <w:rPr>
          <w:rFonts w:ascii="Consolas" w:hAnsi="Consolas"/>
          <w:sz w:val="19"/>
        </w:rPr>
        <w:t>definition</w:t>
      </w:r>
      <w:r>
        <w:rPr>
          <w:rFonts w:ascii="宋体" w:hAnsi="宋体" w:eastAsia="宋体"/>
          <w:sz w:val="21"/>
        </w:rPr>
        <w:t xml:space="preserve"> 仍是原文句，不做改写；</w:t>
      </w:r>
    </w:p>
    <w:p>
      <w:pPr>
        <w:pStyle w:val="ListBullet"/>
      </w:pPr>
      <w:r>
        <w:rPr>
          <w:rFonts w:ascii="Consolas" w:hAnsi="Consolas"/>
          <w:sz w:val="19"/>
        </w:rPr>
        <w:t>editor_note</w:t>
      </w:r>
      <w:r>
        <w:rPr>
          <w:rFonts w:ascii="宋体" w:hAnsi="宋体" w:eastAsia="宋体"/>
          <w:sz w:val="21"/>
        </w:rPr>
        <w:t xml:space="preserve"> 单独存放编者释义，并明确标注「非原文」；</w:t>
      </w:r>
    </w:p>
    <w:p>
      <w:pPr>
        <w:pStyle w:val="ListBullet"/>
      </w:pPr>
      <w:r>
        <w:rPr>
          <w:rFonts w:ascii="宋体" w:hAnsi="宋体" w:eastAsia="宋体"/>
          <w:sz w:val="21"/>
        </w:rPr>
        <w:t>接口、页面与数据集均分开呈现，禁止把编者释义伪装成原文定义。</w:t>
      </w:r>
    </w:p>
    <w:p>
      <w:pPr>
        <w:spacing w:before="240" w:after="160"/>
      </w:pPr>
      <w:r>
        <w:rPr>
          <w:rFonts w:ascii="黑体" w:hAnsi="黑体" w:eastAsia="黑体"/>
          <w:b/>
          <w:sz w:val="24"/>
        </w:rPr>
        <w:t>3.3 问答的人工撰写</w:t>
      </w:r>
    </w:p>
    <w:p>
      <w:pPr>
        <w:ind w:firstLine="420"/>
      </w:pPr>
      <w:r>
        <w:rPr>
          <w:rFonts w:ascii="宋体" w:hAnsi="宋体" w:eastAsia="宋体"/>
          <w:sz w:val="21"/>
        </w:rPr>
        <w:t>问答分五类：定义、辨析、关系、引证、边界。每个核心术语至少一条定义型问答；易混术语必须有辨析型问答；复合问题在接口层拆分，而非在问答库中堆砌。问答不采用自动生成，原因是自动生成会抹平术语的细微差别。</w:t>
      </w:r>
    </w:p>
    <w:p>
      <w:pPr>
        <w:spacing w:before="240" w:after="160"/>
      </w:pPr>
      <w:r>
        <w:rPr>
          <w:rFonts w:ascii="黑体" w:hAnsi="黑体" w:eastAsia="黑体"/>
          <w:b/>
          <w:sz w:val="24"/>
        </w:rPr>
        <w:t>3.4 质量门槛</w:t>
      </w:r>
    </w:p>
    <w:p>
      <w:pPr>
        <w:ind w:firstLine="420"/>
      </w:pPr>
      <w:r>
        <w:rPr>
          <w:rFonts w:ascii="宋体" w:hAnsi="宋体" w:eastAsia="宋体"/>
          <w:sz w:val="21"/>
        </w:rPr>
        <w:t>发布前需通过五类检查：</w:t>
      </w:r>
    </w:p>
    <w:p>
      <w:pPr>
        <w:pStyle w:val="ListBullet"/>
      </w:pPr>
      <w:r>
        <w:rPr>
          <w:rFonts w:ascii="宋体" w:hAnsi="宋体" w:eastAsia="宋体"/>
          <w:sz w:val="21"/>
        </w:rPr>
        <w:t>结构：必填字段齐全，出处可解析，关系两端存在；</w:t>
      </w:r>
    </w:p>
    <w:p>
      <w:pPr>
        <w:pStyle w:val="ListBullet"/>
      </w:pPr>
      <w:r>
        <w:rPr>
          <w:rFonts w:ascii="宋体" w:hAnsi="宋体" w:eastAsia="宋体"/>
          <w:sz w:val="21"/>
        </w:rPr>
        <w:t>一致性：同一术语多定义、别名与正名冲突、循环依赖；</w:t>
      </w:r>
    </w:p>
    <w:p>
      <w:pPr>
        <w:pStyle w:val="ListBullet"/>
      </w:pPr>
      <w:r>
        <w:rPr>
          <w:rFonts w:ascii="宋体" w:hAnsi="宋体" w:eastAsia="宋体"/>
          <w:sz w:val="21"/>
        </w:rPr>
        <w:t>政策：禁止项泄露；</w:t>
      </w:r>
    </w:p>
    <w:p>
      <w:pPr>
        <w:pStyle w:val="ListBullet"/>
      </w:pPr>
      <w:r>
        <w:rPr>
          <w:rFonts w:ascii="宋体" w:hAnsi="宋体" w:eastAsia="宋体"/>
          <w:sz w:val="21"/>
        </w:rPr>
        <w:t>引文：逐字命中，字符区间可回查；</w:t>
      </w:r>
    </w:p>
    <w:p>
      <w:pPr>
        <w:pStyle w:val="ListBullet"/>
      </w:pPr>
      <w:r>
        <w:rPr>
          <w:rFonts w:ascii="宋体" w:hAnsi="宋体" w:eastAsia="宋体"/>
          <w:sz w:val="21"/>
        </w:rPr>
        <w:t>抽检：人工按比例抽查定义与问答。</w:t>
      </w:r>
    </w:p>
    <w:p>
      <w:pPr>
        <w:ind w:firstLine="420"/>
      </w:pPr>
      <w:r>
        <w:rPr>
          <w:rFonts w:ascii="宋体" w:hAnsi="宋体" w:eastAsia="宋体"/>
          <w:sz w:val="21"/>
        </w:rPr>
        <w:t>核心指标为「出处覆盖率」，目标为 100%；未裁定冲突数应为 0。</w:t>
      </w:r>
    </w:p>
    <w:p>
      <w:pPr>
        <w:spacing w:before="240" w:after="160"/>
      </w:pPr>
      <w:r>
        <w:rPr>
          <w:rFonts w:ascii="黑体" w:hAnsi="黑体" w:eastAsia="黑体"/>
          <w:b/>
          <w:sz w:val="24"/>
        </w:rPr>
        <w:t>3.5 多形态分发</w:t>
      </w:r>
    </w:p>
    <w:p>
      <w:pPr>
        <w:ind w:firstLine="420"/>
      </w:pPr>
      <w:r>
        <w:rPr>
          <w:rFonts w:ascii="宋体" w:hAnsi="宋体" w:eastAsia="宋体"/>
          <w:sz w:val="21"/>
        </w:rPr>
        <w:t>同一份源头数据发布为五种形态：</w:t>
      </w:r>
    </w:p>
    <w:p>
      <w:pPr>
        <w:pStyle w:val="ListNumber"/>
      </w:pPr>
      <w:r>
        <w:rPr>
          <w:rFonts w:ascii="宋体" w:hAnsi="宋体" w:eastAsia="宋体"/>
          <w:sz w:val="21"/>
        </w:rPr>
        <w:t>可安装软件包，内置完整知识库；</w:t>
      </w:r>
    </w:p>
    <w:p>
      <w:pPr>
        <w:pStyle w:val="ListNumber"/>
      </w:pPr>
      <w:r>
        <w:rPr>
          <w:rFonts w:ascii="宋体" w:hAnsi="宋体" w:eastAsia="宋体"/>
          <w:sz w:val="21"/>
        </w:rPr>
        <w:t>MCP 接口，提供回答、取词条、检索、关系、目录五类工具；</w:t>
      </w:r>
    </w:p>
    <w:p>
      <w:pPr>
        <w:pStyle w:val="ListNumber"/>
      </w:pPr>
      <w:r>
        <w:rPr>
          <w:rFonts w:ascii="宋体" w:hAnsi="宋体" w:eastAsia="宋体"/>
          <w:sz w:val="21"/>
        </w:rPr>
        <w:t>开放数据集（JSONL / CSV / 图结构），申请 DOI；</w:t>
      </w:r>
    </w:p>
    <w:p>
      <w:pPr>
        <w:pStyle w:val="ListNumber"/>
      </w:pPr>
      <w:r>
        <w:rPr>
          <w:rFonts w:ascii="宋体" w:hAnsi="宋体" w:eastAsia="宋体"/>
          <w:sz w:val="21"/>
        </w:rPr>
        <w:t xml:space="preserve">结构化站点，每个概念独立 URL，带 </w:t>
      </w:r>
      <w:r>
        <w:rPr>
          <w:rFonts w:ascii="Consolas" w:hAnsi="Consolas"/>
          <w:sz w:val="19"/>
        </w:rPr>
        <w:t>DefinedTerm</w:t>
      </w:r>
      <w:r>
        <w:rPr>
          <w:rFonts w:ascii="宋体" w:hAnsi="宋体" w:eastAsia="宋体"/>
          <w:sz w:val="21"/>
        </w:rPr>
        <w:t>、</w:t>
      </w:r>
      <w:r>
        <w:rPr>
          <w:rFonts w:ascii="Consolas" w:hAnsi="Consolas"/>
          <w:sz w:val="19"/>
        </w:rPr>
        <w:t>FAQPage</w:t>
      </w:r>
      <w:r>
        <w:rPr>
          <w:rFonts w:ascii="宋体" w:hAnsi="宋体" w:eastAsia="宋体"/>
          <w:sz w:val="21"/>
        </w:rPr>
        <w:t>、</w:t>
      </w:r>
      <w:r>
        <w:rPr>
          <w:rFonts w:ascii="Consolas" w:hAnsi="Consolas"/>
          <w:sz w:val="19"/>
        </w:rPr>
        <w:t>Dataset</w:t>
      </w:r>
      <w:r>
        <w:rPr>
          <w:rFonts w:ascii="宋体" w:hAnsi="宋体" w:eastAsia="宋体"/>
          <w:sz w:val="21"/>
        </w:rPr>
        <w:t xml:space="preserve"> 标记与 </w:t>
      </w:r>
      <w:r>
        <w:rPr>
          <w:rFonts w:ascii="Consolas" w:hAnsi="Consolas"/>
          <w:sz w:val="19"/>
        </w:rPr>
        <w:t>llms.txt</w:t>
      </w:r>
      <w:r>
        <w:rPr>
          <w:rFonts w:ascii="宋体" w:hAnsi="宋体" w:eastAsia="宋体"/>
          <w:sz w:val="21"/>
        </w:rPr>
        <w:t>；</w:t>
      </w:r>
    </w:p>
    <w:p>
      <w:pPr>
        <w:pStyle w:val="ListNumber"/>
      </w:pPr>
      <w:r>
        <w:rPr>
          <w:rFonts w:ascii="宋体" w:hAnsi="宋体" w:eastAsia="宋体"/>
          <w:sz w:val="21"/>
        </w:rPr>
        <w:t>目录与注册表收录，便于被发现。</w:t>
      </w:r>
    </w:p>
    <w:p>
      <w:pPr>
        <w:ind w:firstLine="420"/>
      </w:pPr>
      <w:r>
        <w:rPr>
          <w:rFonts w:ascii="宋体" w:hAnsi="宋体" w:eastAsia="宋体"/>
          <w:sz w:val="21"/>
        </w:rPr>
        <w:t>远程 MCP 采用 Streamable HTTP，令牌鉴权、限流与批量请求均已在部署实例上验证。</w:t>
      </w:r>
    </w:p>
    <w:p>
      <w:pPr>
        <w:spacing w:before="240" w:after="160"/>
      </w:pPr>
      <w:r>
        <w:rPr>
          <w:rFonts w:ascii="黑体" w:hAnsi="黑体" w:eastAsia="黑体"/>
          <w:b/>
          <w:sz w:val="28"/>
        </w:rPr>
        <w:t>4 案例与复现</w:t>
      </w:r>
    </w:p>
    <w:p>
      <w:pPr>
        <w:spacing w:before="240" w:after="160"/>
      </w:pPr>
      <w:r>
        <w:rPr>
          <w:rFonts w:ascii="黑体" w:hAnsi="黑体" w:eastAsia="黑体"/>
          <w:b/>
          <w:sz w:val="24"/>
        </w:rPr>
        <w:t>4.1 元意识学说</w:t>
      </w:r>
    </w:p>
    <w:p>
      <w:pPr>
        <w:ind w:firstLine="420"/>
      </w:pPr>
      <w:r>
        <w:rPr>
          <w:rFonts w:ascii="宋体" w:hAnsi="宋体" w:eastAsia="宋体"/>
          <w:sz w:val="21"/>
        </w:rPr>
        <w:t>以元意识学说为对象，按上述流程构建知识库，结果如下：</w:t>
      </w:r>
    </w:p>
    <w:tbl>
      <w:tblPr>
        <w:tblStyle w:val="TableGrid"/>
        <w:tblW w:type="auto" w:w="0"/>
        <w:jc w:val="center"/>
        <w:tblLook w:firstColumn="1" w:firstRow="1" w:lastColumn="0" w:lastRow="0" w:noHBand="0" w:noVBand="1" w:val="04A0"/>
      </w:tblPr>
      <w:tblGrid>
        <w:gridCol w:w="4703"/>
        <w:gridCol w:w="4703"/>
      </w:tblGrid>
      <w:tr>
        <w:tc>
          <w:tcPr>
            <w:tcW w:type="dxa" w:w="4703"/>
          </w:tcPr>
          <w:p>
            <w:r>
              <w:rPr>
                <w:b/>
              </w:rPr>
            </w:r>
            <w:r>
              <w:rPr>
                <w:rFonts w:ascii="宋体" w:hAnsi="宋体" w:eastAsia="宋体"/>
                <w:b/>
                <w:sz w:val="19"/>
              </w:rPr>
              <w:t>项目</w:t>
            </w:r>
          </w:p>
        </w:tc>
        <w:tc>
          <w:tcPr>
            <w:tcW w:type="dxa" w:w="4703"/>
          </w:tcPr>
          <w:p>
            <w:r>
              <w:rPr>
                <w:b/>
              </w:rPr>
            </w:r>
            <w:r>
              <w:rPr>
                <w:rFonts w:ascii="宋体" w:hAnsi="宋体" w:eastAsia="宋体"/>
                <w:b/>
                <w:sz w:val="19"/>
              </w:rPr>
              <w:t>数量</w:t>
            </w:r>
          </w:p>
        </w:tc>
      </w:tr>
      <w:tr>
        <w:tc>
          <w:tcPr>
            <w:tcW w:type="dxa" w:w="4703"/>
          </w:tcPr>
          <w:p>
            <w:r/>
            <w:r>
              <w:rPr>
                <w:rFonts w:ascii="宋体" w:hAnsi="宋体" w:eastAsia="宋体"/>
                <w:sz w:val="19"/>
              </w:rPr>
              <w:t>概念</w:t>
            </w:r>
          </w:p>
        </w:tc>
        <w:tc>
          <w:tcPr>
            <w:tcW w:type="dxa" w:w="4703"/>
          </w:tcPr>
          <w:p>
            <w:r/>
            <w:r>
              <w:rPr>
                <w:rFonts w:ascii="宋体" w:hAnsi="宋体" w:eastAsia="宋体"/>
                <w:sz w:val="19"/>
              </w:rPr>
              <w:t>64（58 个主词条 + 6 个衍生术语）</w:t>
            </w:r>
          </w:p>
        </w:tc>
      </w:tr>
      <w:tr>
        <w:tc>
          <w:tcPr>
            <w:tcW w:type="dxa" w:w="4703"/>
          </w:tcPr>
          <w:p>
            <w:r/>
            <w:r>
              <w:rPr>
                <w:rFonts w:ascii="宋体" w:hAnsi="宋体" w:eastAsia="宋体"/>
                <w:sz w:val="19"/>
              </w:rPr>
              <w:t>标准问答</w:t>
            </w:r>
          </w:p>
        </w:tc>
        <w:tc>
          <w:tcPr>
            <w:tcW w:type="dxa" w:w="4703"/>
          </w:tcPr>
          <w:p>
            <w:r/>
            <w:r>
              <w:rPr>
                <w:rFonts w:ascii="宋体" w:hAnsi="宋体" w:eastAsia="宋体"/>
                <w:sz w:val="19"/>
              </w:rPr>
              <w:t>122</w:t>
            </w:r>
          </w:p>
        </w:tc>
      </w:tr>
      <w:tr>
        <w:tc>
          <w:tcPr>
            <w:tcW w:type="dxa" w:w="4703"/>
          </w:tcPr>
          <w:p>
            <w:r/>
            <w:r>
              <w:rPr>
                <w:rFonts w:ascii="宋体" w:hAnsi="宋体" w:eastAsia="宋体"/>
                <w:sz w:val="19"/>
              </w:rPr>
              <w:t>概念关系</w:t>
            </w:r>
          </w:p>
        </w:tc>
        <w:tc>
          <w:tcPr>
            <w:tcW w:type="dxa" w:w="4703"/>
          </w:tcPr>
          <w:p>
            <w:r/>
            <w:r>
              <w:rPr>
                <w:rFonts w:ascii="宋体" w:hAnsi="宋体" w:eastAsia="宋体"/>
                <w:sz w:val="19"/>
              </w:rPr>
              <w:t>270</w:t>
            </w:r>
          </w:p>
        </w:tc>
      </w:tr>
      <w:tr>
        <w:tc>
          <w:tcPr>
            <w:tcW w:type="dxa" w:w="4703"/>
          </w:tcPr>
          <w:p>
            <w:r/>
            <w:r>
              <w:rPr>
                <w:rFonts w:ascii="宋体" w:hAnsi="宋体" w:eastAsia="宋体"/>
                <w:sz w:val="19"/>
              </w:rPr>
              <w:t>原文引证</w:t>
            </w:r>
          </w:p>
        </w:tc>
        <w:tc>
          <w:tcPr>
            <w:tcW w:type="dxa" w:w="4703"/>
          </w:tcPr>
          <w:p>
            <w:r/>
            <w:r>
              <w:rPr>
                <w:rFonts w:ascii="宋体" w:hAnsi="宋体" w:eastAsia="宋体"/>
                <w:sz w:val="19"/>
              </w:rPr>
              <w:t>213</w:t>
            </w:r>
          </w:p>
        </w:tc>
      </w:tr>
      <w:tr>
        <w:tc>
          <w:tcPr>
            <w:tcW w:type="dxa" w:w="4703"/>
          </w:tcPr>
          <w:p>
            <w:r/>
            <w:r>
              <w:rPr>
                <w:rFonts w:ascii="宋体" w:hAnsi="宋体" w:eastAsia="宋体"/>
                <w:sz w:val="19"/>
              </w:rPr>
              <w:t>语料规模</w:t>
            </w:r>
          </w:p>
        </w:tc>
        <w:tc>
          <w:tcPr>
            <w:tcW w:type="dxa" w:w="4703"/>
          </w:tcPr>
          <w:p>
            <w:r/>
            <w:r>
              <w:rPr>
                <w:rFonts w:ascii="宋体" w:hAnsi="宋体" w:eastAsia="宋体"/>
                <w:sz w:val="19"/>
              </w:rPr>
              <w:t>8 份文档 / 953 段 / 115,247 字</w:t>
            </w:r>
          </w:p>
        </w:tc>
      </w:tr>
    </w:tbl>
    <w:p/>
    <w:p>
      <w:pPr>
        <w:ind w:firstLine="420"/>
      </w:pPr>
      <w:r>
        <w:rPr>
          <w:rFonts w:ascii="宋体" w:hAnsi="宋体" w:eastAsia="宋体"/>
          <w:sz w:val="21"/>
        </w:rPr>
        <w:t>发布情况：</w:t>
      </w:r>
    </w:p>
    <w:p>
      <w:pPr>
        <w:pStyle w:val="ListBullet"/>
      </w:pPr>
      <w:r>
        <w:rPr>
          <w:rFonts w:ascii="宋体" w:hAnsi="宋体" w:eastAsia="宋体"/>
          <w:sz w:val="21"/>
        </w:rPr>
        <w:t xml:space="preserve">PyPI 包 </w:t>
      </w:r>
      <w:r>
        <w:rPr>
          <w:rFonts w:ascii="Consolas" w:hAnsi="Consolas"/>
          <w:sz w:val="19"/>
        </w:rPr>
        <w:t>mcai-knowledge</w:t>
      </w:r>
      <w:r>
        <w:rPr>
          <w:rFonts w:ascii="宋体" w:hAnsi="宋体" w:eastAsia="宋体"/>
          <w:sz w:val="21"/>
        </w:rPr>
        <w:t>，包内自带完整知识库；</w:t>
      </w:r>
    </w:p>
    <w:p>
      <w:pPr>
        <w:pStyle w:val="ListBullet"/>
      </w:pPr>
      <w:r>
        <w:rPr>
          <w:rFonts w:ascii="宋体" w:hAnsi="宋体" w:eastAsia="宋体"/>
          <w:sz w:val="21"/>
        </w:rPr>
        <w:t>MCP 官方注册表收录，提供 5 个工具；</w:t>
      </w:r>
    </w:p>
    <w:p>
      <w:pPr>
        <w:pStyle w:val="ListBullet"/>
      </w:pPr>
      <w:r>
        <w:rPr>
          <w:rFonts w:ascii="宋体" w:hAnsi="宋体" w:eastAsia="宋体"/>
          <w:sz w:val="21"/>
        </w:rPr>
        <w:t xml:space="preserve">Zenodo 数据集，DOI </w:t>
      </w:r>
      <w:r>
        <w:rPr>
          <w:rFonts w:ascii="Consolas" w:hAnsi="Consolas"/>
          <w:sz w:val="19"/>
        </w:rPr>
        <w:t>10.5281/zenodo.23789330</w:t>
      </w:r>
      <w:r>
        <w:rPr>
          <w:rFonts w:ascii="宋体" w:hAnsi="宋体" w:eastAsia="宋体"/>
          <w:sz w:val="21"/>
        </w:rPr>
        <w:t>，许可 CC BY-NC-SA 4.0；</w:t>
      </w:r>
    </w:p>
    <w:p>
      <w:pPr>
        <w:pStyle w:val="ListBullet"/>
      </w:pPr>
      <w:r>
        <w:rPr>
          <w:rFonts w:ascii="宋体" w:hAnsi="宋体" w:eastAsia="宋体"/>
          <w:sz w:val="21"/>
        </w:rPr>
        <w:t xml:space="preserve">静态站点提供逐概念页面与 </w:t>
      </w:r>
      <w:r>
        <w:rPr>
          <w:rFonts w:ascii="Consolas" w:hAnsi="Consolas"/>
          <w:sz w:val="19"/>
        </w:rPr>
        <w:t>llms.txt</w:t>
      </w:r>
      <w:r>
        <w:rPr>
          <w:rFonts w:ascii="宋体" w:hAnsi="宋体" w:eastAsia="宋体"/>
          <w:sz w:val="21"/>
        </w:rPr>
        <w:t>；</w:t>
      </w:r>
    </w:p>
    <w:p>
      <w:pPr>
        <w:pStyle w:val="ListBullet"/>
      </w:pPr>
      <w:r>
        <w:rPr>
          <w:rFonts w:ascii="宋体" w:hAnsi="宋体" w:eastAsia="宋体"/>
          <w:sz w:val="21"/>
        </w:rPr>
        <w:t>第三方目录收录。</w:t>
      </w:r>
    </w:p>
    <w:p>
      <w:pPr>
        <w:spacing w:before="240" w:after="160"/>
      </w:pPr>
      <w:r>
        <w:rPr>
          <w:rFonts w:ascii="黑体" w:hAnsi="黑体" w:eastAsia="黑体"/>
          <w:b/>
          <w:sz w:val="24"/>
        </w:rPr>
        <w:t>4.2 三份公共领域文本的复现</w:t>
      </w:r>
    </w:p>
    <w:p>
      <w:pPr>
        <w:ind w:firstLine="420"/>
      </w:pPr>
      <w:r>
        <w:rPr>
          <w:rFonts w:ascii="宋体" w:hAnsi="宋体" w:eastAsia="宋体"/>
          <w:sz w:val="21"/>
        </w:rPr>
        <w:t>为检验方法是否依赖特定内容，选取三份公共领域文本，用同一套流水线复现：</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rPr>
            </w:r>
            <w:r>
              <w:rPr>
                <w:rFonts w:ascii="宋体" w:hAnsi="宋体" w:eastAsia="宋体"/>
                <w:b/>
                <w:sz w:val="19"/>
              </w:rPr>
              <w:t>语料</w:t>
            </w:r>
          </w:p>
        </w:tc>
        <w:tc>
          <w:tcPr>
            <w:tcW w:type="dxa" w:w="1568"/>
          </w:tcPr>
          <w:p>
            <w:r>
              <w:rPr>
                <w:b/>
              </w:rPr>
            </w:r>
            <w:r>
              <w:rPr>
                <w:rFonts w:ascii="宋体" w:hAnsi="宋体" w:eastAsia="宋体"/>
                <w:b/>
                <w:sz w:val="19"/>
              </w:rPr>
              <w:t>概念</w:t>
            </w:r>
          </w:p>
        </w:tc>
        <w:tc>
          <w:tcPr>
            <w:tcW w:type="dxa" w:w="1568"/>
          </w:tcPr>
          <w:p>
            <w:r>
              <w:rPr>
                <w:b/>
              </w:rPr>
            </w:r>
            <w:r>
              <w:rPr>
                <w:rFonts w:ascii="宋体" w:hAnsi="宋体" w:eastAsia="宋体"/>
                <w:b/>
                <w:sz w:val="19"/>
              </w:rPr>
              <w:t>问答</w:t>
            </w:r>
          </w:p>
        </w:tc>
        <w:tc>
          <w:tcPr>
            <w:tcW w:type="dxa" w:w="1568"/>
          </w:tcPr>
          <w:p>
            <w:r>
              <w:rPr>
                <w:b/>
              </w:rPr>
            </w:r>
            <w:r>
              <w:rPr>
                <w:rFonts w:ascii="宋体" w:hAnsi="宋体" w:eastAsia="宋体"/>
                <w:b/>
                <w:sz w:val="19"/>
              </w:rPr>
              <w:t>关系</w:t>
            </w:r>
          </w:p>
        </w:tc>
        <w:tc>
          <w:tcPr>
            <w:tcW w:type="dxa" w:w="1568"/>
          </w:tcPr>
          <w:p>
            <w:r>
              <w:rPr>
                <w:b/>
              </w:rPr>
            </w:r>
            <w:r>
              <w:rPr>
                <w:rFonts w:ascii="宋体" w:hAnsi="宋体" w:eastAsia="宋体"/>
                <w:b/>
                <w:sz w:val="19"/>
              </w:rPr>
              <w:t>引证核验</w:t>
            </w:r>
          </w:p>
        </w:tc>
        <w:tc>
          <w:tcPr>
            <w:tcW w:type="dxa" w:w="1568"/>
          </w:tcPr>
          <w:p>
            <w:r>
              <w:rPr>
                <w:b/>
              </w:rPr>
            </w:r>
            <w:r>
              <w:rPr>
                <w:rFonts w:ascii="宋体" w:hAnsi="宋体" w:eastAsia="宋体"/>
                <w:b/>
                <w:sz w:val="19"/>
              </w:rPr>
              <w:t>定义类型</w:t>
            </w:r>
          </w:p>
        </w:tc>
      </w:tr>
      <w:tr>
        <w:tc>
          <w:tcPr>
            <w:tcW w:type="dxa" w:w="1568"/>
          </w:tcPr>
          <w:p>
            <w:r/>
            <w:r>
              <w:rPr>
                <w:rFonts w:ascii="宋体" w:hAnsi="宋体" w:eastAsia="宋体"/>
                <w:sz w:val="19"/>
              </w:rPr>
              <w:t>元意识学说</w:t>
            </w:r>
          </w:p>
        </w:tc>
        <w:tc>
          <w:tcPr>
            <w:tcW w:type="dxa" w:w="1568"/>
          </w:tcPr>
          <w:p>
            <w:r/>
            <w:r>
              <w:rPr>
                <w:rFonts w:ascii="宋体" w:hAnsi="宋体" w:eastAsia="宋体"/>
                <w:sz w:val="19"/>
              </w:rPr>
              <w:t>64</w:t>
            </w:r>
          </w:p>
        </w:tc>
        <w:tc>
          <w:tcPr>
            <w:tcW w:type="dxa" w:w="1568"/>
          </w:tcPr>
          <w:p>
            <w:r/>
            <w:r>
              <w:rPr>
                <w:rFonts w:ascii="宋体" w:hAnsi="宋体" w:eastAsia="宋体"/>
                <w:sz w:val="19"/>
              </w:rPr>
              <w:t>122</w:t>
            </w:r>
          </w:p>
        </w:tc>
        <w:tc>
          <w:tcPr>
            <w:tcW w:type="dxa" w:w="1568"/>
          </w:tcPr>
          <w:p>
            <w:r/>
            <w:r>
              <w:rPr>
                <w:rFonts w:ascii="宋体" w:hAnsi="宋体" w:eastAsia="宋体"/>
                <w:sz w:val="19"/>
              </w:rPr>
              <w:t>270</w:t>
            </w:r>
          </w:p>
        </w:tc>
        <w:tc>
          <w:tcPr>
            <w:tcW w:type="dxa" w:w="1568"/>
          </w:tcPr>
          <w:p>
            <w:r/>
            <w:r>
              <w:rPr>
                <w:rFonts w:ascii="宋体" w:hAnsi="宋体" w:eastAsia="宋体"/>
                <w:sz w:val="19"/>
              </w:rPr>
              <w:t>55/55</w:t>
            </w:r>
          </w:p>
        </w:tc>
        <w:tc>
          <w:tcPr>
            <w:tcW w:type="dxa" w:w="1568"/>
          </w:tcPr>
          <w:p>
            <w:r/>
            <w:r>
              <w:rPr>
                <w:rFonts w:ascii="宋体" w:hAnsi="宋体" w:eastAsia="宋体"/>
                <w:sz w:val="19"/>
              </w:rPr>
              <w:t>原文</w:t>
            </w:r>
          </w:p>
        </w:tc>
      </w:tr>
      <w:tr>
        <w:tc>
          <w:tcPr>
            <w:tcW w:type="dxa" w:w="1568"/>
          </w:tcPr>
          <w:p>
            <w:r/>
            <w:r>
              <w:rPr>
                <w:rFonts w:ascii="宋体" w:hAnsi="宋体" w:eastAsia="宋体"/>
                <w:sz w:val="19"/>
              </w:rPr>
              <w:t>孙子兵法</w:t>
            </w:r>
          </w:p>
        </w:tc>
        <w:tc>
          <w:tcPr>
            <w:tcW w:type="dxa" w:w="1568"/>
          </w:tcPr>
          <w:p>
            <w:r/>
            <w:r>
              <w:rPr>
                <w:rFonts w:ascii="宋体" w:hAnsi="宋体" w:eastAsia="宋体"/>
                <w:sz w:val="19"/>
              </w:rPr>
              <w:t>13</w:t>
            </w:r>
          </w:p>
        </w:tc>
        <w:tc>
          <w:tcPr>
            <w:tcW w:type="dxa" w:w="1568"/>
          </w:tcPr>
          <w:p>
            <w:r/>
            <w:r>
              <w:rPr>
                <w:rFonts w:ascii="宋体" w:hAnsi="宋体" w:eastAsia="宋体"/>
                <w:sz w:val="19"/>
              </w:rPr>
              <w:t>17</w:t>
            </w:r>
          </w:p>
        </w:tc>
        <w:tc>
          <w:tcPr>
            <w:tcW w:type="dxa" w:w="1568"/>
          </w:tcPr>
          <w:p>
            <w:r/>
            <w:r>
              <w:rPr>
                <w:rFonts w:ascii="宋体" w:hAnsi="宋体" w:eastAsia="宋体"/>
                <w:sz w:val="19"/>
              </w:rPr>
              <w:t>6</w:t>
            </w:r>
          </w:p>
        </w:tc>
        <w:tc>
          <w:tcPr>
            <w:tcW w:type="dxa" w:w="1568"/>
          </w:tcPr>
          <w:p>
            <w:r/>
            <w:r>
              <w:rPr>
                <w:rFonts w:ascii="宋体" w:hAnsi="宋体" w:eastAsia="宋体"/>
                <w:sz w:val="19"/>
              </w:rPr>
              <w:t>13/13</w:t>
            </w:r>
          </w:p>
        </w:tc>
        <w:tc>
          <w:tcPr>
            <w:tcW w:type="dxa" w:w="1568"/>
          </w:tcPr>
          <w:p>
            <w:r/>
            <w:r>
              <w:rPr>
                <w:rFonts w:ascii="宋体" w:hAnsi="宋体" w:eastAsia="宋体"/>
                <w:sz w:val="19"/>
              </w:rPr>
              <w:t>原文</w:t>
            </w:r>
          </w:p>
        </w:tc>
      </w:tr>
      <w:tr>
        <w:tc>
          <w:tcPr>
            <w:tcW w:type="dxa" w:w="1568"/>
          </w:tcPr>
          <w:p>
            <w:r/>
            <w:r>
              <w:rPr>
                <w:rFonts w:ascii="宋体" w:hAnsi="宋体" w:eastAsia="宋体"/>
                <w:sz w:val="19"/>
              </w:rPr>
              <w:t>荀子·正名</w:t>
            </w:r>
          </w:p>
        </w:tc>
        <w:tc>
          <w:tcPr>
            <w:tcW w:type="dxa" w:w="1568"/>
          </w:tcPr>
          <w:p>
            <w:r/>
            <w:r>
              <w:rPr>
                <w:rFonts w:ascii="宋体" w:hAnsi="宋体" w:eastAsia="宋体"/>
                <w:sz w:val="19"/>
              </w:rPr>
              <w:t>12</w:t>
            </w:r>
          </w:p>
        </w:tc>
        <w:tc>
          <w:tcPr>
            <w:tcW w:type="dxa" w:w="1568"/>
          </w:tcPr>
          <w:p>
            <w:r/>
            <w:r>
              <w:rPr>
                <w:rFonts w:ascii="宋体" w:hAnsi="宋体" w:eastAsia="宋体"/>
                <w:sz w:val="19"/>
              </w:rPr>
              <w:t>5</w:t>
            </w:r>
          </w:p>
        </w:tc>
        <w:tc>
          <w:tcPr>
            <w:tcW w:type="dxa" w:w="1568"/>
          </w:tcPr>
          <w:p>
            <w:r/>
            <w:r>
              <w:rPr>
                <w:rFonts w:ascii="宋体" w:hAnsi="宋体" w:eastAsia="宋体"/>
                <w:sz w:val="19"/>
              </w:rPr>
              <w:t>9</w:t>
            </w:r>
          </w:p>
        </w:tc>
        <w:tc>
          <w:tcPr>
            <w:tcW w:type="dxa" w:w="1568"/>
          </w:tcPr>
          <w:p>
            <w:r/>
            <w:r>
              <w:rPr>
                <w:rFonts w:ascii="宋体" w:hAnsi="宋体" w:eastAsia="宋体"/>
                <w:sz w:val="19"/>
              </w:rPr>
              <w:t>12/12</w:t>
            </w:r>
          </w:p>
        </w:tc>
        <w:tc>
          <w:tcPr>
            <w:tcW w:type="dxa" w:w="1568"/>
          </w:tcPr>
          <w:p>
            <w:r/>
            <w:r>
              <w:rPr>
                <w:rFonts w:ascii="宋体" w:hAnsi="宋体" w:eastAsia="宋体"/>
                <w:sz w:val="19"/>
              </w:rPr>
              <w:t>原文</w:t>
            </w:r>
          </w:p>
        </w:tc>
      </w:tr>
      <w:tr>
        <w:tc>
          <w:tcPr>
            <w:tcW w:type="dxa" w:w="1568"/>
          </w:tcPr>
          <w:p>
            <w:r/>
            <w:r>
              <w:rPr>
                <w:rFonts w:ascii="宋体" w:hAnsi="宋体" w:eastAsia="宋体"/>
                <w:sz w:val="19"/>
              </w:rPr>
              <w:t>道德经</w:t>
            </w:r>
          </w:p>
        </w:tc>
        <w:tc>
          <w:tcPr>
            <w:tcW w:type="dxa" w:w="1568"/>
          </w:tcPr>
          <w:p>
            <w:r/>
            <w:r>
              <w:rPr>
                <w:rFonts w:ascii="宋体" w:hAnsi="宋体" w:eastAsia="宋体"/>
                <w:sz w:val="19"/>
              </w:rPr>
              <w:t>10</w:t>
            </w:r>
          </w:p>
        </w:tc>
        <w:tc>
          <w:tcPr>
            <w:tcW w:type="dxa" w:w="1568"/>
          </w:tcPr>
          <w:p>
            <w:r/>
            <w:r>
              <w:rPr>
                <w:rFonts w:ascii="宋体" w:hAnsi="宋体" w:eastAsia="宋体"/>
                <w:sz w:val="19"/>
              </w:rPr>
              <w:t>8</w:t>
            </w:r>
          </w:p>
        </w:tc>
        <w:tc>
          <w:tcPr>
            <w:tcW w:type="dxa" w:w="1568"/>
          </w:tcPr>
          <w:p>
            <w:r/>
            <w:r>
              <w:rPr>
                <w:rFonts w:ascii="宋体" w:hAnsi="宋体" w:eastAsia="宋体"/>
                <w:sz w:val="19"/>
              </w:rPr>
              <w:t>7</w:t>
            </w:r>
          </w:p>
        </w:tc>
        <w:tc>
          <w:tcPr>
            <w:tcW w:type="dxa" w:w="1568"/>
          </w:tcPr>
          <w:p>
            <w:r/>
            <w:r>
              <w:rPr>
                <w:rFonts w:ascii="宋体" w:hAnsi="宋体" w:eastAsia="宋体"/>
                <w:sz w:val="19"/>
              </w:rPr>
              <w:t>10/10</w:t>
            </w:r>
          </w:p>
        </w:tc>
        <w:tc>
          <w:tcPr>
            <w:tcW w:type="dxa" w:w="1568"/>
          </w:tcPr>
          <w:p>
            <w:r/>
            <w:r>
              <w:rPr>
                <w:rFonts w:ascii="宋体" w:hAnsi="宋体" w:eastAsia="宋体"/>
                <w:sz w:val="19"/>
              </w:rPr>
              <w:t>原文 + 编者释义</w:t>
            </w:r>
          </w:p>
        </w:tc>
      </w:tr>
    </w:tbl>
    <w:p/>
    <w:p>
      <w:pPr>
        <w:ind w:firstLine="420"/>
      </w:pPr>
      <w:r>
        <w:rPr>
          <w:rFonts w:ascii="宋体" w:hAnsi="宋体" w:eastAsia="宋体"/>
          <w:sz w:val="21"/>
        </w:rPr>
        <w:t>复现过程暴露的规则缺口与修订：</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r>
            <w:r>
              <w:rPr>
                <w:rFonts w:ascii="宋体" w:hAnsi="宋体" w:eastAsia="宋体"/>
                <w:b/>
                <w:sz w:val="19"/>
              </w:rPr>
              <w:t>问题</w:t>
            </w:r>
          </w:p>
        </w:tc>
        <w:tc>
          <w:tcPr>
            <w:tcW w:type="dxa" w:w="3135"/>
          </w:tcPr>
          <w:p>
            <w:r>
              <w:rPr>
                <w:b/>
              </w:rPr>
            </w:r>
            <w:r>
              <w:rPr>
                <w:rFonts w:ascii="宋体" w:hAnsi="宋体" w:eastAsia="宋体"/>
                <w:b/>
                <w:sz w:val="19"/>
              </w:rPr>
              <w:t>表现</w:t>
            </w:r>
          </w:p>
        </w:tc>
        <w:tc>
          <w:tcPr>
            <w:tcW w:type="dxa" w:w="3135"/>
          </w:tcPr>
          <w:p>
            <w:r>
              <w:rPr>
                <w:b/>
              </w:rPr>
            </w:r>
            <w:r>
              <w:rPr>
                <w:rFonts w:ascii="宋体" w:hAnsi="宋体" w:eastAsia="宋体"/>
                <w:b/>
                <w:sz w:val="19"/>
              </w:rPr>
              <w:t>修订</w:t>
            </w:r>
          </w:p>
        </w:tc>
      </w:tr>
      <w:tr>
        <w:tc>
          <w:tcPr>
            <w:tcW w:type="dxa" w:w="3135"/>
          </w:tcPr>
          <w:p>
            <w:r/>
            <w:r>
              <w:rPr>
                <w:rFonts w:ascii="宋体" w:hAnsi="宋体" w:eastAsia="宋体"/>
                <w:sz w:val="19"/>
              </w:rPr>
              <w:t>中文数字开头术语</w:t>
            </w:r>
          </w:p>
        </w:tc>
        <w:tc>
          <w:tcPr>
            <w:tcW w:type="dxa" w:w="3135"/>
          </w:tcPr>
          <w:p>
            <w:r/>
            <w:r>
              <w:rPr>
                <w:rFonts w:ascii="宋体" w:hAnsi="宋体" w:eastAsia="宋体"/>
                <w:sz w:val="19"/>
              </w:rPr>
              <w:t>「五事」「九地」被当作编号丢弃</w:t>
            </w:r>
          </w:p>
        </w:tc>
        <w:tc>
          <w:tcPr>
            <w:tcW w:type="dxa" w:w="3135"/>
          </w:tcPr>
          <w:p>
            <w:r/>
            <w:r>
              <w:rPr>
                <w:rFonts w:ascii="宋体" w:hAnsi="宋体" w:eastAsia="宋体"/>
                <w:sz w:val="19"/>
              </w:rPr>
              <w:t>只拒绝「数字 + 分隔符」</w:t>
            </w:r>
          </w:p>
        </w:tc>
      </w:tr>
      <w:tr>
        <w:tc>
          <w:tcPr>
            <w:tcW w:type="dxa" w:w="3135"/>
          </w:tcPr>
          <w:p>
            <w:r/>
            <w:r>
              <w:rPr>
                <w:rFonts w:ascii="宋体" w:hAnsi="宋体" w:eastAsia="宋体"/>
                <w:sz w:val="19"/>
              </w:rPr>
              <w:t>单字术语</w:t>
            </w:r>
          </w:p>
        </w:tc>
        <w:tc>
          <w:tcPr>
            <w:tcW w:type="dxa" w:w="3135"/>
          </w:tcPr>
          <w:p>
            <w:r/>
            <w:r>
              <w:rPr>
                <w:rFonts w:ascii="宋体" w:hAnsi="宋体" w:eastAsia="宋体"/>
                <w:sz w:val="19"/>
              </w:rPr>
              <w:t>「性」「名」等被长度规则拒绝</w:t>
            </w:r>
          </w:p>
        </w:tc>
        <w:tc>
          <w:tcPr>
            <w:tcW w:type="dxa" w:w="3135"/>
          </w:tcPr>
          <w:p>
            <w:r/>
            <w:r>
              <w:rPr>
                <w:rFonts w:ascii="宋体" w:hAnsi="宋体" w:eastAsia="宋体"/>
                <w:sz w:val="19"/>
              </w:rPr>
              <w:t>人工分类登记后放行</w:t>
            </w:r>
          </w:p>
        </w:tc>
      </w:tr>
      <w:tr>
        <w:tc>
          <w:tcPr>
            <w:tcW w:type="dxa" w:w="3135"/>
          </w:tcPr>
          <w:p>
            <w:r/>
            <w:r>
              <w:rPr>
                <w:rFonts w:ascii="宋体" w:hAnsi="宋体" w:eastAsia="宋体"/>
                <w:sz w:val="19"/>
              </w:rPr>
              <w:t>无词表文本</w:t>
            </w:r>
          </w:p>
        </w:tc>
        <w:tc>
          <w:tcPr>
            <w:tcW w:type="dxa" w:w="3135"/>
          </w:tcPr>
          <w:p>
            <w:r/>
            <w:r>
              <w:rPr>
                <w:rFonts w:ascii="宋体" w:hAnsi="宋体" w:eastAsia="宋体"/>
                <w:sz w:val="19"/>
              </w:rPr>
              <w:t>古典文本没有现成定义行</w:t>
            </w:r>
          </w:p>
        </w:tc>
        <w:tc>
          <w:tcPr>
            <w:tcW w:type="dxa" w:w="3135"/>
          </w:tcPr>
          <w:p>
            <w:r/>
            <w:r>
              <w:rPr>
                <w:rFonts w:ascii="宋体" w:hAnsi="宋体" w:eastAsia="宋体"/>
                <w:sz w:val="19"/>
              </w:rPr>
              <w:t>先做「术语—原句」对照</w:t>
            </w:r>
          </w:p>
        </w:tc>
      </w:tr>
      <w:tr>
        <w:tc>
          <w:tcPr>
            <w:tcW w:type="dxa" w:w="3135"/>
          </w:tcPr>
          <w:p>
            <w:r/>
            <w:r>
              <w:rPr>
                <w:rFonts w:ascii="宋体" w:hAnsi="宋体" w:eastAsia="宋体"/>
                <w:sz w:val="19"/>
              </w:rPr>
              <w:t>无定义句文本</w:t>
            </w:r>
          </w:p>
        </w:tc>
        <w:tc>
          <w:tcPr>
            <w:tcW w:type="dxa" w:w="3135"/>
          </w:tcPr>
          <w:p>
            <w:r/>
            <w:r>
              <w:rPr>
                <w:rFonts w:ascii="宋体" w:hAnsi="宋体" w:eastAsia="宋体"/>
                <w:sz w:val="19"/>
              </w:rPr>
              <w:t>任何定义都是解释</w:t>
            </w:r>
          </w:p>
        </w:tc>
        <w:tc>
          <w:tcPr>
            <w:tcW w:type="dxa" w:w="3135"/>
          </w:tcPr>
          <w:p>
            <w:r/>
            <w:r>
              <w:rPr>
                <w:rFonts w:ascii="宋体" w:hAnsi="宋体" w:eastAsia="宋体"/>
                <w:sz w:val="19"/>
              </w:rPr>
              <w:t>定义分层：原文句 + 编者释义</w:t>
            </w:r>
          </w:p>
        </w:tc>
      </w:tr>
    </w:tbl>
    <w:p/>
    <w:p>
      <w:pPr>
        <w:spacing w:before="240" w:after="160"/>
      </w:pPr>
      <w:r>
        <w:rPr>
          <w:rFonts w:ascii="黑体" w:hAnsi="黑体" w:eastAsia="黑体"/>
          <w:b/>
          <w:sz w:val="24"/>
        </w:rPr>
        <w:t>4.3 一个版本问题</w:t>
      </w:r>
    </w:p>
    <w:p>
      <w:pPr>
        <w:ind w:firstLine="420"/>
      </w:pPr>
      <w:r>
        <w:rPr>
          <w:rFonts w:ascii="宋体" w:hAnsi="宋体" w:eastAsia="宋体"/>
          <w:sz w:val="21"/>
        </w:rPr>
        <w:t>《道德经》不同版本字句不同：所据直译本作「见素抱扑」「水利万物」，通行本多作「见素抱朴」「水善利万物」。复现时未按通行本「更正」，而是逐字保留所据版本。这说明：</w:t>
      </w:r>
      <w:r>
        <w:rPr>
          <w:rFonts w:ascii="宋体" w:hAnsi="宋体" w:eastAsia="宋体"/>
          <w:b/>
          <w:sz w:val="21"/>
        </w:rPr>
        <w:t>同一经典的不同版本，字句不同，引文必须与版本绑定</w:t>
      </w:r>
      <w:r>
        <w:rPr>
          <w:rFonts w:ascii="宋体" w:hAnsi="宋体" w:eastAsia="宋体"/>
          <w:sz w:val="21"/>
        </w:rPr>
        <w:t>，否则跨版本的引文无法对齐。本文将其列为下一版规范的修订项。</w:t>
      </w:r>
    </w:p>
    <w:p>
      <w:pPr>
        <w:spacing w:before="240" w:after="160"/>
      </w:pPr>
      <w:r>
        <w:rPr>
          <w:rFonts w:ascii="黑体" w:hAnsi="黑体" w:eastAsia="黑体"/>
          <w:b/>
          <w:sz w:val="28"/>
        </w:rPr>
        <w:t>5 讨论</w:t>
      </w:r>
    </w:p>
    <w:p>
      <w:pPr>
        <w:spacing w:before="240" w:after="160"/>
      </w:pPr>
      <w:r>
        <w:rPr>
          <w:rFonts w:ascii="黑体" w:hAnsi="黑体" w:eastAsia="黑体"/>
          <w:b/>
          <w:sz w:val="24"/>
        </w:rPr>
        <w:t>5.1 适用边界</w:t>
      </w:r>
    </w:p>
    <w:p>
      <w:pPr>
        <w:ind w:firstLine="420"/>
      </w:pPr>
      <w:r>
        <w:rPr>
          <w:rFonts w:ascii="宋体" w:hAnsi="宋体" w:eastAsia="宋体"/>
          <w:sz w:val="21"/>
        </w:rPr>
        <w:t>本方法适用于有稳定文本来源、术语边界相对清晰的学说或知识体系；不适用于以观点生成为目标的内容生产场景。方法明确不自动生成问答，也不做观点生成。</w:t>
      </w:r>
    </w:p>
    <w:p>
      <w:pPr>
        <w:spacing w:before="240" w:after="160"/>
      </w:pPr>
      <w:r>
        <w:rPr>
          <w:rFonts w:ascii="黑体" w:hAnsi="黑体" w:eastAsia="黑体"/>
          <w:b/>
          <w:sz w:val="24"/>
        </w:rPr>
        <w:t>5.2 局限</w:t>
      </w:r>
    </w:p>
    <w:p>
      <w:pPr>
        <w:pStyle w:val="ListNumber"/>
      </w:pPr>
      <w:r>
        <w:rPr>
          <w:rFonts w:ascii="宋体" w:hAnsi="宋体" w:eastAsia="宋体"/>
          <w:b/>
          <w:sz w:val="21"/>
        </w:rPr>
        <w:t>外部采用证据不足</w:t>
      </w:r>
      <w:r>
        <w:rPr>
          <w:rFonts w:ascii="宋体" w:hAnsi="宋体" w:eastAsia="宋体"/>
          <w:sz w:val="21"/>
        </w:rPr>
        <w:t>：数据集与接口已公开，但尚无第三方引用、复用或调用数据；</w:t>
      </w:r>
    </w:p>
    <w:p>
      <w:pPr>
        <w:pStyle w:val="ListNumber"/>
      </w:pPr>
      <w:r>
        <w:rPr>
          <w:rFonts w:ascii="宋体" w:hAnsi="宋体" w:eastAsia="宋体"/>
          <w:b/>
          <w:sz w:val="21"/>
        </w:rPr>
        <w:t>翻译问题</w:t>
      </w:r>
      <w:r>
        <w:rPr>
          <w:rFonts w:ascii="宋体" w:hAnsi="宋体" w:eastAsia="宋体"/>
          <w:sz w:val="21"/>
        </w:rPr>
        <w:t>：英文材料依赖机器翻译，术语译法未统一，暂未构建英文知识库；</w:t>
      </w:r>
    </w:p>
    <w:p>
      <w:pPr>
        <w:pStyle w:val="ListNumber"/>
      </w:pPr>
      <w:r>
        <w:rPr>
          <w:rFonts w:ascii="宋体" w:hAnsi="宋体" w:eastAsia="宋体"/>
          <w:b/>
          <w:sz w:val="21"/>
        </w:rPr>
        <w:t>形式化不足</w:t>
      </w:r>
      <w:r>
        <w:rPr>
          <w:rFonts w:ascii="宋体" w:hAnsi="宋体" w:eastAsia="宋体"/>
          <w:sz w:val="21"/>
        </w:rPr>
        <w:t>：核心概念尚未数学化，模型只能引用而不能据此推理；</w:t>
      </w:r>
    </w:p>
    <w:p>
      <w:pPr>
        <w:pStyle w:val="ListNumber"/>
      </w:pPr>
      <w:r>
        <w:rPr>
          <w:rFonts w:ascii="宋体" w:hAnsi="宋体" w:eastAsia="宋体"/>
          <w:b/>
          <w:sz w:val="21"/>
        </w:rPr>
        <w:t>版本未入模型</w:t>
      </w:r>
      <w:r>
        <w:rPr>
          <w:rFonts w:ascii="宋体" w:hAnsi="宋体" w:eastAsia="宋体"/>
          <w:sz w:val="21"/>
        </w:rPr>
        <w:t>：语料尚未记录版本字段，多版本引证无法自动对齐。</w:t>
      </w:r>
    </w:p>
    <w:p>
      <w:pPr>
        <w:spacing w:before="240" w:after="160"/>
      </w:pPr>
      <w:r>
        <w:rPr>
          <w:rFonts w:ascii="黑体" w:hAnsi="黑体" w:eastAsia="黑体"/>
          <w:b/>
          <w:sz w:val="24"/>
        </w:rPr>
        <w:t>5.3 后续工作</w:t>
      </w:r>
    </w:p>
    <w:p>
      <w:pPr>
        <w:pStyle w:val="ListBullet"/>
      </w:pPr>
      <w:r>
        <w:rPr>
          <w:rFonts w:ascii="宋体" w:hAnsi="宋体" w:eastAsia="宋体"/>
          <w:sz w:val="21"/>
        </w:rPr>
        <w:t xml:space="preserve">在语料与引证模型中记录 </w:t>
      </w:r>
      <w:r>
        <w:rPr>
          <w:rFonts w:ascii="Consolas" w:hAnsi="Consolas"/>
          <w:sz w:val="19"/>
        </w:rPr>
        <w:t>edition</w:t>
      </w:r>
      <w:r>
        <w:rPr>
          <w:rFonts w:ascii="宋体" w:hAnsi="宋体" w:eastAsia="宋体"/>
          <w:sz w:val="21"/>
        </w:rPr>
        <w:t>（版本、来源、校勘），支持多版本引证并存；</w:t>
      </w:r>
    </w:p>
    <w:p>
      <w:pPr>
        <w:pStyle w:val="ListBullet"/>
      </w:pPr>
      <w:r>
        <w:rPr>
          <w:rFonts w:ascii="宋体" w:hAnsi="宋体" w:eastAsia="宋体"/>
          <w:sz w:val="21"/>
        </w:rPr>
        <w:t>构建经作者逐条裁定的英文术语表，再考虑英文知识库；</w:t>
      </w:r>
    </w:p>
    <w:p>
      <w:pPr>
        <w:pStyle w:val="ListBullet"/>
      </w:pPr>
      <w:r>
        <w:rPr>
          <w:rFonts w:ascii="宋体" w:hAnsi="宋体" w:eastAsia="宋体"/>
          <w:sz w:val="21"/>
        </w:rPr>
        <w:t>评估问答质量的客观指标，减少对人工抽检的依赖；</w:t>
      </w:r>
    </w:p>
    <w:p>
      <w:pPr>
        <w:pStyle w:val="ListBullet"/>
      </w:pPr>
      <w:r>
        <w:rPr>
          <w:rFonts w:ascii="宋体" w:hAnsi="宋体" w:eastAsia="宋体"/>
          <w:sz w:val="21"/>
        </w:rPr>
        <w:t>收集第三方调用与引用数据，作为方法有效性的外部证据。</w:t>
      </w:r>
    </w:p>
    <w:p>
      <w:pPr>
        <w:spacing w:before="240" w:after="160"/>
      </w:pPr>
      <w:r>
        <w:rPr>
          <w:rFonts w:ascii="黑体" w:hAnsi="黑体" w:eastAsia="黑体"/>
          <w:b/>
          <w:sz w:val="28"/>
        </w:rPr>
        <w:t>6 结论</w:t>
      </w:r>
    </w:p>
    <w:p>
      <w:pPr>
        <w:ind w:firstLine="420"/>
      </w:pPr>
      <w:r>
        <w:rPr>
          <w:rFonts w:ascii="宋体" w:hAnsi="宋体" w:eastAsia="宋体"/>
          <w:sz w:val="21"/>
        </w:rPr>
        <w:t>把学说转化为可被 AI 调用的知识资产，关键不在于让模型记住内容，而在于让每次调用都能拿到准确、可回查的版本。本文给出的流程在一个原创学说与三份公共领域文本上完成了端到端实现，并公开了数据与接口。其有效性仍需外部采用与更多语料来检验。</w:t>
      </w:r>
    </w:p>
    <w:p>
      <w:pPr>
        <w:spacing w:before="240" w:after="160"/>
      </w:pPr>
      <w:r>
        <w:rPr>
          <w:rFonts w:ascii="黑体" w:hAnsi="黑体" w:eastAsia="黑体"/>
          <w:b/>
          <w:sz w:val="28"/>
        </w:rPr>
        <w:t>参考文献</w:t>
      </w:r>
    </w:p>
    <w:p>
      <w:pPr>
        <w:ind w:firstLine="420"/>
      </w:pPr>
      <w:r>
        <w:rPr>
          <w:rFonts w:ascii="宋体" w:hAnsi="宋体" w:eastAsia="宋体"/>
          <w:sz w:val="21"/>
        </w:rPr>
        <w:t>[1] Anthropic. Model Context Protocol Specification. 2025.</w:t>
      </w:r>
    </w:p>
    <w:p>
      <w:pPr>
        <w:ind w:firstLine="420"/>
      </w:pPr>
      <w:r>
        <w:rPr>
          <w:rFonts w:ascii="宋体" w:hAnsi="宋体" w:eastAsia="宋体"/>
          <w:sz w:val="21"/>
        </w:rPr>
        <w:t>[2] Schema.org. DefinedTerm, FAQPage, Dataset. https://schema.org</w:t>
      </w:r>
    </w:p>
    <w:p>
      <w:pPr>
        <w:ind w:firstLine="420"/>
      </w:pPr>
      <w:r>
        <w:rPr>
          <w:rFonts w:ascii="宋体" w:hAnsi="宋体" w:eastAsia="宋体"/>
          <w:sz w:val="21"/>
        </w:rPr>
        <w:t>[3] Zenodo. MCAI Knowledge Base. DOI: 10.5281/zenodo.23789330, 2026.</w:t>
      </w:r>
    </w:p>
    <w:p>
      <w:pPr>
        <w:ind w:firstLine="420"/>
      </w:pPr>
      <w:r>
        <w:rPr>
          <w:rFonts w:ascii="宋体" w:hAnsi="宋体" w:eastAsia="宋体"/>
          <w:sz w:val="21"/>
        </w:rPr>
        <w:t>[4] 元意识学说极简版（标准词表）. 内部资料, 2026.</w:t>
      </w:r>
    </w:p>
    <w:p>
      <w:pPr>
        <w:ind w:firstLine="420"/>
      </w:pPr>
      <w:r>
        <w:rPr>
          <w:rFonts w:ascii="宋体" w:hAnsi="宋体" w:eastAsia="宋体"/>
          <w:sz w:val="21"/>
        </w:rPr>
        <w:t>[5] 知识资产通过 AI 分发实现数字永生的操作手册. 内部资料, 2026.</w:t>
      </w:r>
    </w:p>
    <w:p>
      <w:pPr>
        <w:ind w:firstLine="420"/>
      </w:pPr>
      <w:r>
        <w:rPr>
          <w:rFonts w:ascii="宋体" w:hAnsi="宋体" w:eastAsia="宋体"/>
          <w:sz w:val="21"/>
        </w:rPr>
        <w:t>[6] llmstxt.org. llms.txt 提案.</w:t>
      </w:r>
    </w:p>
    <w:p>
      <w:pPr>
        <w:ind w:firstLine="420"/>
      </w:pPr>
      <w:r>
        <w:rPr>
          <w:rFonts w:ascii="宋体" w:hAnsi="宋体" w:eastAsia="宋体"/>
          <w:sz w:val="21"/>
        </w:rPr>
        <w:t>[7] 孙武. 孙子兵法. 公共领域.</w:t>
      </w:r>
    </w:p>
    <w:p>
      <w:pPr>
        <w:ind w:firstLine="420"/>
      </w:pPr>
      <w:r>
        <w:rPr>
          <w:rFonts w:ascii="宋体" w:hAnsi="宋体" w:eastAsia="宋体"/>
          <w:sz w:val="21"/>
        </w:rPr>
        <w:t>[8] 荀况. 荀子·正名. 公共领域.</w:t>
      </w:r>
    </w:p>
    <w:p>
      <w:pPr>
        <w:ind w:firstLine="420"/>
      </w:pPr>
      <w:r>
        <w:rPr>
          <w:rFonts w:ascii="宋体" w:hAnsi="宋体" w:eastAsia="宋体"/>
          <w:sz w:val="21"/>
        </w:rPr>
        <w:t>[9] 老子. 道德经. 公共领域.</w:t>
      </w:r>
    </w:p>
    <w:p>
      <w:pPr>
        <w:ind w:firstLine="420"/>
      </w:pPr>
      <w:r>
        <w:rPr>
          <w:rFonts w:ascii="宋体" w:hAnsi="宋体" w:eastAsia="宋体"/>
          <w:sz w:val="21"/>
        </w:rPr>
        <w:t>[10] MCAI 研究组. 学说知识资产化规范 V1.1. 内部资料, 2026.</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