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Health Insurance Agency - Complete Business &amp; Launch Plan</w:t>
      </w:r>
    </w:p>
    <w:p>
      <w:pPr>
        <w:pStyle w:val="Heading2"/>
      </w:pPr>
      <w:r>
        <w:t>1. Business Model</w:t>
      </w:r>
    </w:p>
    <w:p>
      <w:r>
        <w:t>Choose Independent Agency (Recommended) or Captive Agency. Independent allows multiple carriers and greater flexibility.</w:t>
      </w:r>
    </w:p>
    <w:p>
      <w:pPr>
        <w:pStyle w:val="Heading2"/>
      </w:pPr>
      <w:r>
        <w:t>2. Target Market</w:t>
      </w:r>
    </w:p>
    <w:p>
      <w:r>
        <w:t>Focus on niches such as self‑employed individuals, small businesses, families, athletes, retirees, and underserved communities.</w:t>
      </w:r>
    </w:p>
    <w:p>
      <w:pPr>
        <w:pStyle w:val="Heading2"/>
      </w:pPr>
      <w:r>
        <w:t>3. Licensing Requirements</w:t>
      </w:r>
    </w:p>
    <w:p>
      <w:r>
        <w:t>Complete pre‑licensing course, pass exam, background check, and apply for state licenses.</w:t>
      </w:r>
    </w:p>
    <w:p>
      <w:pPr>
        <w:pStyle w:val="Heading2"/>
      </w:pPr>
      <w:r>
        <w:t>4. Carrier Appointments</w:t>
      </w:r>
    </w:p>
    <w:p>
      <w:r>
        <w:t>Partner with UnitedHealthcare, Aetna, Blue Cross Blue Shield, Cigna, Humana, and others.</w:t>
      </w:r>
    </w:p>
    <w:p>
      <w:pPr>
        <w:pStyle w:val="Heading2"/>
      </w:pPr>
      <w:r>
        <w:t>5. Online Infrastructure</w:t>
      </w:r>
    </w:p>
    <w:p>
      <w:r>
        <w:t>Website, CRM, email automation, appointment booking, and lead capture forms.</w:t>
      </w:r>
    </w:p>
    <w:p>
      <w:pPr>
        <w:pStyle w:val="Heading2"/>
      </w:pPr>
      <w:r>
        <w:t>6. Marketing Strategy</w:t>
      </w:r>
    </w:p>
    <w:p>
      <w:r>
        <w:t>Social media, referrals, paid ads, educational content.</w:t>
      </w:r>
    </w:p>
    <w:p>
      <w:pPr>
        <w:pStyle w:val="Heading2"/>
      </w:pPr>
      <w:r>
        <w:t>7. Revenue Model</w:t>
      </w:r>
    </w:p>
    <w:p>
      <w:r>
        <w:t>Recurring commissions from enrolled clients.</w:t>
      </w:r>
    </w:p>
    <w:p>
      <w:pPr>
        <w:pStyle w:val="Heading2"/>
      </w:pPr>
      <w:r>
        <w:t>8. Launch Checklist</w:t>
      </w:r>
    </w:p>
    <w:p>
      <w:r>
        <w:t>Business registration, licensing, website, CRM, carrier approvals, marketing setup.</w:t>
      </w:r>
    </w:p>
    <w:p>
      <w:pPr>
        <w:pStyle w:val="Heading2"/>
      </w:pPr>
      <w:r>
        <w:t>9. Hiring Plan</w:t>
      </w:r>
    </w:p>
    <w:p>
      <w:r>
        <w:t>Phase 1: Virtual Assistant</w:t>
        <w:br/>
        <w:t>Phase 2: Licensed Agent</w:t>
        <w:br/>
        <w:t>Phase 3: Client Success Manager</w:t>
        <w:br/>
        <w:t>Phase 4: Sales Manager</w:t>
      </w:r>
    </w:p>
    <w:p>
      <w:pPr>
        <w:pStyle w:val="Heading2"/>
      </w:pPr>
      <w:r>
        <w:t>10. Operations Workflow</w:t>
      </w:r>
    </w:p>
    <w:p>
      <w:r>
        <w:t>Lead capture, consultation, enrollment, onboarding, retention.</w:t>
      </w:r>
    </w:p>
    <w:p>
      <w:pPr>
        <w:pStyle w:val="Heading2"/>
      </w:pPr>
      <w:r>
        <w:t>11. Budget</w:t>
      </w:r>
    </w:p>
    <w:p>
      <w:r>
        <w:t>Startup costs estimated $1,000–$3,000.</w:t>
      </w:r>
    </w:p>
    <w:p>
      <w:pPr>
        <w:pStyle w:val="Heading2"/>
      </w:pPr>
      <w:r>
        <w:t>12. 90‑Day Launch Plan</w:t>
      </w:r>
    </w:p>
    <w:p>
      <w:r>
        <w:t>Days 1‑30: Setup</w:t>
        <w:br/>
        <w:t>Days 30‑60: Appointments</w:t>
        <w:br/>
        <w:t>Days 60‑90: Launch and growth</w:t>
      </w:r>
    </w:p>
    <w:p>
      <w:pPr>
        <w:pStyle w:val="Heading2"/>
      </w:pPr>
      <w:r>
        <w:t>13. Growth Plan</w:t>
      </w:r>
    </w:p>
    <w:p>
      <w:r>
        <w:t>Year 1: 200 clients</w:t>
        <w:br/>
        <w:t>Year 2: 500 clients</w:t>
        <w:br/>
        <w:t>Year 3: Full agency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